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bCs/>
          <w:i/>
          <w:iCs/>
          <w:color w:val="000000"/>
          <w:lang w:val="en-US" w:bidi="it-IT"/>
        </w:rPr>
      </w:pPr>
      <w:r w:rsidRPr="00182782">
        <w:rPr>
          <w:bCs/>
          <w:i/>
          <w:iCs/>
          <w:color w:val="000000"/>
          <w:lang w:val="en-US" w:bidi="it-IT"/>
        </w:rPr>
        <w:t xml:space="preserve">Additional file 2. </w:t>
      </w:r>
    </w:p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b/>
          <w:color w:val="000000" w:themeColor="text1"/>
          <w:lang w:val="en-US" w:bidi="it-IT"/>
        </w:rPr>
      </w:pPr>
      <w:r w:rsidRPr="00182782">
        <w:rPr>
          <w:b/>
          <w:color w:val="000000"/>
          <w:lang w:val="en-US" w:bidi="it-IT"/>
        </w:rPr>
        <w:t xml:space="preserve">Behavioral effects of a </w:t>
      </w:r>
      <w:r w:rsidRPr="00182782">
        <w:rPr>
          <w:b/>
          <w:bCs/>
          <w:iCs/>
          <w:color w:val="000000"/>
          <w:lang w:val="en-US"/>
        </w:rPr>
        <w:t xml:space="preserve">14-week </w:t>
      </w:r>
      <w:r w:rsidRPr="00182782">
        <w:rPr>
          <w:b/>
          <w:color w:val="000000"/>
          <w:lang w:val="en-US" w:bidi="it-IT"/>
        </w:rPr>
        <w:t xml:space="preserve">FBR </w:t>
      </w:r>
      <w:r w:rsidRPr="00182782">
        <w:rPr>
          <w:b/>
          <w:color w:val="000000" w:themeColor="text1"/>
          <w:lang w:val="en-US" w:bidi="it-IT"/>
        </w:rPr>
        <w:t xml:space="preserve">administration </w:t>
      </w:r>
      <w:r w:rsidRPr="00182782">
        <w:rPr>
          <w:b/>
          <w:bCs/>
          <w:iCs/>
          <w:color w:val="000000" w:themeColor="text1"/>
          <w:lang w:val="en-US"/>
        </w:rPr>
        <w:t>on social deficits and perseverative behavior in adult</w:t>
      </w:r>
      <w:r w:rsidRPr="00182782">
        <w:rPr>
          <w:b/>
          <w:color w:val="000000" w:themeColor="text1"/>
          <w:lang w:val="en-US" w:bidi="it-IT"/>
        </w:rPr>
        <w:t xml:space="preserve"> ASD-like rats.</w:t>
      </w:r>
    </w:p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color w:val="000000"/>
          <w:lang w:val="en-US"/>
        </w:rPr>
      </w:pPr>
      <w:r w:rsidRPr="00182782">
        <w:rPr>
          <w:color w:val="000000"/>
          <w:lang w:val="en-US"/>
        </w:rPr>
        <w:t xml:space="preserve">In order to verify whether the </w:t>
      </w:r>
      <w:r>
        <w:rPr>
          <w:color w:val="000000"/>
          <w:lang w:val="en-US"/>
        </w:rPr>
        <w:t>positive effects</w:t>
      </w:r>
      <w:r w:rsidRPr="00182782">
        <w:rPr>
          <w:color w:val="000000"/>
          <w:lang w:val="en-US"/>
        </w:rPr>
        <w:t xml:space="preserve"> of FBR on social and perseverative behaviors w</w:t>
      </w:r>
      <w:r>
        <w:rPr>
          <w:color w:val="000000"/>
          <w:lang w:val="en-US"/>
        </w:rPr>
        <w:t>ere</w:t>
      </w:r>
      <w:r w:rsidRPr="00182782">
        <w:rPr>
          <w:color w:val="000000"/>
          <w:lang w:val="en-US"/>
        </w:rPr>
        <w:t xml:space="preserve"> maintained </w:t>
      </w:r>
      <w:r w:rsidRPr="00182782">
        <w:rPr>
          <w:color w:val="000000"/>
          <w:shd w:val="clear" w:color="auto" w:fill="FFFFFF"/>
          <w:lang w:val="en-US"/>
        </w:rPr>
        <w:t xml:space="preserve">until adulthood </w:t>
      </w:r>
      <w:r w:rsidRPr="00182782">
        <w:rPr>
          <w:color w:val="000000"/>
          <w:lang w:val="en-US"/>
        </w:rPr>
        <w:t xml:space="preserve">a longer FBR treatment (14 weeks) </w:t>
      </w:r>
      <w:r w:rsidRPr="00182782">
        <w:rPr>
          <w:lang w:val="en-US" w:bidi="it-IT"/>
        </w:rPr>
        <w:t xml:space="preserve">was carried out. Since male VPA-exposed rats showed a more severe ASD-like phenotype, only the male offspring of VPA-treated mothers were employed. </w:t>
      </w:r>
      <w:r w:rsidRPr="00182782">
        <w:rPr>
          <w:color w:val="000000"/>
          <w:lang w:val="en-US"/>
        </w:rPr>
        <w:t xml:space="preserve">Dams received an intraperitoneal injection of saline (0.2 ml/kg) or VPA (500 mg/kg) at gestational G 12.5. On PND 21 rats were weaned and randomly assigned to treatment groups: saline-exposed treated with standard diet (Saline-SD); saline-exposed treated with fenofibrate (FBR)-enriched diet (Saline-FBR); VPA-exposed treated with standard diet (VPA-SD); VPA-exposed treated with FBR-enriched diet (VPA-FBR). Saline- and VPA-exposed rats were fed the standard (SD) or FBR-enriched diet from weaning to the end of experimental procedures. From PND 120, rats were subjected to behavioral tests beginning with the three-chamber test to evaluate social behavior between 09:00 a.m. and 5:00 p.m. under red light illumination and noise-free condition. Adult VPA-exposed rats fed the standard diet showed clear-cut social deficits, whereas VPA-exposed rats fed the FBR-enriched diet performed similarly to the Saline-exposed groups (Figure S1 A-C). </w:t>
      </w:r>
      <w:r w:rsidRPr="00182782">
        <w:rPr>
          <w:color w:val="000000" w:themeColor="text1"/>
          <w:lang w:val="en-US"/>
        </w:rPr>
        <w:t xml:space="preserve">Similar results were obtained upon evaluating the effects of a 14 week-treatment with FBR on </w:t>
      </w:r>
      <w:r w:rsidRPr="00182782">
        <w:rPr>
          <w:rFonts w:eastAsia="Cambria"/>
          <w:color w:val="000000" w:themeColor="text1"/>
          <w:shd w:val="clear" w:color="auto" w:fill="FFFFFF"/>
          <w:lang w:val="en-US"/>
        </w:rPr>
        <w:t>perseverative behavior using the marble burying test (Figure S1D).</w:t>
      </w:r>
      <w:r w:rsidRPr="00182782">
        <w:rPr>
          <w:color w:val="000000" w:themeColor="text1"/>
          <w:lang w:val="en-US"/>
        </w:rPr>
        <w:t xml:space="preserve"> These results show that the 14-week FBR administration was successful to rescue behavioral changes in both ASD-like core domains of </w:t>
      </w:r>
      <w:r w:rsidRPr="00182782">
        <w:rPr>
          <w:color w:val="000000"/>
          <w:lang w:val="en-US"/>
        </w:rPr>
        <w:t>male VPA rats.</w:t>
      </w:r>
    </w:p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color w:val="000000"/>
          <w:lang w:val="en-US"/>
        </w:rPr>
      </w:pPr>
    </w:p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color w:val="000000"/>
          <w:lang w:val="en-US"/>
        </w:rPr>
      </w:pPr>
      <w:r w:rsidRPr="00182782">
        <w:rPr>
          <w:noProof/>
          <w:color w:val="000000"/>
        </w:rPr>
        <w:drawing>
          <wp:inline distT="0" distB="0" distL="0" distR="0">
            <wp:extent cx="6642100" cy="194056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color w:val="000000"/>
          <w:lang w:val="en-US"/>
        </w:rPr>
      </w:pPr>
    </w:p>
    <w:p w:rsidR="00DE4E7B" w:rsidRPr="00182782" w:rsidRDefault="00DE4E7B" w:rsidP="00DE4E7B">
      <w:pPr>
        <w:tabs>
          <w:tab w:val="left" w:pos="3828"/>
        </w:tabs>
        <w:spacing w:line="480" w:lineRule="auto"/>
        <w:jc w:val="both"/>
        <w:rPr>
          <w:color w:val="000000" w:themeColor="text1"/>
          <w:lang w:val="en-US"/>
        </w:rPr>
      </w:pPr>
      <w:r w:rsidRPr="00BA3A59">
        <w:rPr>
          <w:b/>
          <w:bCs/>
          <w:color w:val="000000"/>
          <w:lang w:val="en-US"/>
        </w:rPr>
        <w:t>Figure S1</w:t>
      </w:r>
      <w:r w:rsidRPr="00BA3A59">
        <w:rPr>
          <w:b/>
          <w:bCs/>
          <w:lang w:val="en-US" w:bidi="it-IT"/>
        </w:rPr>
        <w:t xml:space="preserve">. </w:t>
      </w:r>
      <w:r w:rsidRPr="00182782">
        <w:rPr>
          <w:lang w:val="en-US" w:bidi="it-IT"/>
        </w:rPr>
        <w:t xml:space="preserve"> </w:t>
      </w:r>
      <w:r w:rsidRPr="00182782">
        <w:rPr>
          <w:color w:val="000000"/>
          <w:lang w:val="en-US"/>
        </w:rPr>
        <w:t xml:space="preserve">The time spent exploring the social stimulus (A), the sociability index (SI) (B), and the number of social interactions (C) were scored.  (A)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11.97,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0.0014;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10.36, </w:t>
      </w:r>
      <w:r w:rsidRPr="00182782">
        <w:rPr>
          <w:i/>
          <w:iCs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0.027;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5.33,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0.0267; </w:t>
      </w:r>
      <w:r w:rsidRPr="00182782">
        <w:rPr>
          <w:i/>
          <w:color w:val="000000"/>
          <w:lang w:val="en-US"/>
        </w:rPr>
        <w:t>post hoc</w:t>
      </w:r>
      <w:r w:rsidRPr="00182782">
        <w:rPr>
          <w:color w:val="000000"/>
          <w:lang w:val="en-US"/>
        </w:rPr>
        <w:t xml:space="preserve"> comparison: ** </w:t>
      </w:r>
      <w:r w:rsidRPr="00182782">
        <w:rPr>
          <w:i/>
          <w:iCs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&lt; 0.01 vs. Saline-SD group; </w:t>
      </w:r>
      <w:r w:rsidRPr="00182782">
        <w:rPr>
          <w:color w:val="000000"/>
          <w:vertAlign w:val="superscript"/>
          <w:lang w:val="en-US"/>
        </w:rPr>
        <w:t>##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&lt; 0.01 vs. VPA-SD group.  (B)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1,36 </w:t>
      </w:r>
      <w:r w:rsidRPr="00182782">
        <w:rPr>
          <w:color w:val="000000"/>
          <w:lang w:val="en-US"/>
        </w:rPr>
        <w:t xml:space="preserve">= 9.48,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0.004;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4.12,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0.049</w:t>
      </w:r>
      <w:bookmarkStart w:id="0" w:name="_GoBack"/>
      <w:bookmarkEnd w:id="0"/>
      <w:r w:rsidRPr="00182782">
        <w:rPr>
          <w:color w:val="000000"/>
          <w:lang w:val="en-US"/>
        </w:rPr>
        <w:t xml:space="preserve">6;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4.721,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0.0365; </w:t>
      </w:r>
      <w:r w:rsidRPr="00182782">
        <w:rPr>
          <w:i/>
          <w:color w:val="000000"/>
          <w:lang w:val="en-US"/>
        </w:rPr>
        <w:t>post hoc</w:t>
      </w:r>
      <w:r w:rsidRPr="00182782">
        <w:rPr>
          <w:color w:val="000000"/>
          <w:lang w:val="en-US"/>
        </w:rPr>
        <w:t xml:space="preserve"> comparison: **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&lt; 0.01 vs. Saline-SD group; </w:t>
      </w:r>
      <w:r w:rsidRPr="00182782">
        <w:rPr>
          <w:color w:val="000000"/>
          <w:vertAlign w:val="superscript"/>
          <w:lang w:val="en-US"/>
        </w:rPr>
        <w:t>#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&lt; 0.05 vs. VPA-SD group.  (C) Two-way ANOVA, VPA exposure: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11.83,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0.0015; FBR administration: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12.89,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0.0010; interaction: </w:t>
      </w:r>
      <w:r w:rsidRPr="00182782">
        <w:rPr>
          <w:i/>
          <w:color w:val="000000"/>
          <w:lang w:val="en-US"/>
        </w:rPr>
        <w:t>F</w:t>
      </w:r>
      <w:r w:rsidRPr="00182782">
        <w:rPr>
          <w:color w:val="000000"/>
          <w:vertAlign w:val="subscript"/>
          <w:lang w:val="en-US"/>
        </w:rPr>
        <w:t xml:space="preserve">1, 36 </w:t>
      </w:r>
      <w:r w:rsidRPr="00182782">
        <w:rPr>
          <w:color w:val="000000"/>
          <w:lang w:val="en-US"/>
        </w:rPr>
        <w:t xml:space="preserve">= 4.641, 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= 0.0380; </w:t>
      </w:r>
      <w:r w:rsidRPr="00182782">
        <w:rPr>
          <w:i/>
          <w:color w:val="000000"/>
          <w:lang w:val="en-US"/>
        </w:rPr>
        <w:t>post hoc</w:t>
      </w:r>
      <w:r w:rsidRPr="00182782">
        <w:rPr>
          <w:color w:val="000000"/>
          <w:lang w:val="en-US"/>
        </w:rPr>
        <w:t xml:space="preserve"> comparison: **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&lt; 0.01 vs. Saline-SD group; </w:t>
      </w:r>
      <w:r w:rsidRPr="00182782">
        <w:rPr>
          <w:color w:val="000000"/>
          <w:vertAlign w:val="superscript"/>
          <w:lang w:val="en-US"/>
        </w:rPr>
        <w:t>##</w:t>
      </w:r>
      <w:r w:rsidRPr="00182782">
        <w:rPr>
          <w:i/>
          <w:color w:val="000000"/>
          <w:lang w:val="en-US"/>
        </w:rPr>
        <w:t>p</w:t>
      </w:r>
      <w:r w:rsidRPr="00182782">
        <w:rPr>
          <w:color w:val="000000"/>
          <w:lang w:val="en-US"/>
        </w:rPr>
        <w:t xml:space="preserve"> &lt; 0.01 vs. VPA-SD group</w:t>
      </w:r>
      <w:r w:rsidRPr="00182782">
        <w:rPr>
          <w:color w:val="000000" w:themeColor="text1"/>
          <w:lang w:val="en-US"/>
        </w:rPr>
        <w:t xml:space="preserve">.  (D) Two-way ANOVA, VPA exposure: </w:t>
      </w:r>
      <w:r w:rsidRPr="00182782">
        <w:rPr>
          <w:i/>
          <w:color w:val="000000" w:themeColor="text1"/>
          <w:lang w:val="en-US"/>
        </w:rPr>
        <w:t>F</w:t>
      </w:r>
      <w:r w:rsidRPr="00182782">
        <w:rPr>
          <w:color w:val="000000" w:themeColor="text1"/>
          <w:vertAlign w:val="subscript"/>
          <w:lang w:val="en-US"/>
        </w:rPr>
        <w:t xml:space="preserve">1, 36 </w:t>
      </w:r>
      <w:r w:rsidRPr="00182782">
        <w:rPr>
          <w:color w:val="000000" w:themeColor="text1"/>
          <w:lang w:val="en-US"/>
        </w:rPr>
        <w:t xml:space="preserve">= 8.46, </w:t>
      </w:r>
      <w:r w:rsidRPr="00182782">
        <w:rPr>
          <w:i/>
          <w:color w:val="000000" w:themeColor="text1"/>
          <w:lang w:val="en-US"/>
        </w:rPr>
        <w:t>p</w:t>
      </w:r>
      <w:r w:rsidRPr="00182782">
        <w:rPr>
          <w:color w:val="000000" w:themeColor="text1"/>
          <w:lang w:val="en-US"/>
        </w:rPr>
        <w:t xml:space="preserve"> = 0.0062; FBR administration: </w:t>
      </w:r>
      <w:r w:rsidRPr="00182782">
        <w:rPr>
          <w:i/>
          <w:color w:val="000000" w:themeColor="text1"/>
          <w:lang w:val="en-US"/>
        </w:rPr>
        <w:t>F</w:t>
      </w:r>
      <w:r w:rsidRPr="00182782">
        <w:rPr>
          <w:color w:val="000000" w:themeColor="text1"/>
          <w:vertAlign w:val="subscript"/>
          <w:lang w:val="en-US"/>
        </w:rPr>
        <w:t xml:space="preserve">1, 36 </w:t>
      </w:r>
      <w:r w:rsidRPr="00182782">
        <w:rPr>
          <w:color w:val="000000" w:themeColor="text1"/>
          <w:lang w:val="en-US"/>
        </w:rPr>
        <w:t xml:space="preserve">= 1.085, </w:t>
      </w:r>
      <w:proofErr w:type="spellStart"/>
      <w:r w:rsidRPr="00182782">
        <w:rPr>
          <w:i/>
          <w:color w:val="000000" w:themeColor="text1"/>
          <w:lang w:val="en-US"/>
        </w:rPr>
        <w:t>n.s</w:t>
      </w:r>
      <w:proofErr w:type="spellEnd"/>
      <w:r w:rsidRPr="00182782">
        <w:rPr>
          <w:i/>
          <w:color w:val="000000" w:themeColor="text1"/>
          <w:lang w:val="en-US"/>
        </w:rPr>
        <w:t>.</w:t>
      </w:r>
      <w:r w:rsidRPr="00182782">
        <w:rPr>
          <w:color w:val="000000" w:themeColor="text1"/>
          <w:lang w:val="en-US"/>
        </w:rPr>
        <w:t xml:space="preserve">; interaction: </w:t>
      </w:r>
      <w:r w:rsidRPr="00182782">
        <w:rPr>
          <w:i/>
          <w:color w:val="000000" w:themeColor="text1"/>
          <w:lang w:val="en-US"/>
        </w:rPr>
        <w:t>F</w:t>
      </w:r>
      <w:r w:rsidRPr="00182782">
        <w:rPr>
          <w:color w:val="000000" w:themeColor="text1"/>
          <w:vertAlign w:val="subscript"/>
          <w:lang w:val="en-US"/>
        </w:rPr>
        <w:t xml:space="preserve">1, 36 </w:t>
      </w:r>
      <w:r w:rsidRPr="00182782">
        <w:rPr>
          <w:color w:val="000000" w:themeColor="text1"/>
          <w:lang w:val="en-US"/>
        </w:rPr>
        <w:t xml:space="preserve">= 7.65, </w:t>
      </w:r>
      <w:r w:rsidRPr="00182782">
        <w:rPr>
          <w:i/>
          <w:color w:val="000000" w:themeColor="text1"/>
          <w:lang w:val="en-US"/>
        </w:rPr>
        <w:t>p</w:t>
      </w:r>
      <w:r w:rsidRPr="00182782">
        <w:rPr>
          <w:color w:val="000000" w:themeColor="text1"/>
          <w:lang w:val="en-US"/>
        </w:rPr>
        <w:t xml:space="preserve"> = 0.0089; </w:t>
      </w:r>
      <w:r w:rsidRPr="00182782">
        <w:rPr>
          <w:i/>
          <w:color w:val="000000" w:themeColor="text1"/>
          <w:lang w:val="en-US"/>
        </w:rPr>
        <w:t>post hoc</w:t>
      </w:r>
      <w:r w:rsidRPr="00182782">
        <w:rPr>
          <w:color w:val="000000" w:themeColor="text1"/>
          <w:lang w:val="en-US"/>
        </w:rPr>
        <w:t xml:space="preserve"> comparison: **</w:t>
      </w:r>
      <w:r w:rsidRPr="00182782">
        <w:rPr>
          <w:i/>
          <w:color w:val="000000" w:themeColor="text1"/>
          <w:lang w:val="en-US"/>
        </w:rPr>
        <w:t>p</w:t>
      </w:r>
      <w:r w:rsidRPr="00182782">
        <w:rPr>
          <w:color w:val="000000" w:themeColor="text1"/>
          <w:lang w:val="en-US"/>
        </w:rPr>
        <w:t xml:space="preserve"> &lt; 0.01 vs. Saline-SD group; </w:t>
      </w:r>
      <w:r w:rsidRPr="00182782">
        <w:rPr>
          <w:color w:val="000000" w:themeColor="text1"/>
          <w:vertAlign w:val="superscript"/>
          <w:lang w:val="en-US"/>
        </w:rPr>
        <w:t>#</w:t>
      </w:r>
      <w:r w:rsidRPr="00182782">
        <w:rPr>
          <w:i/>
          <w:color w:val="000000" w:themeColor="text1"/>
          <w:lang w:val="en-US"/>
        </w:rPr>
        <w:t>p</w:t>
      </w:r>
      <w:r w:rsidRPr="00182782">
        <w:rPr>
          <w:color w:val="000000" w:themeColor="text1"/>
          <w:lang w:val="en-US"/>
        </w:rPr>
        <w:t xml:space="preserve"> &lt; 0.05 vs. VPA-SD group. Values are expressed as means ± SEM; </w:t>
      </w:r>
      <w:r w:rsidRPr="00182782">
        <w:rPr>
          <w:i/>
          <w:color w:val="000000" w:themeColor="text1"/>
          <w:lang w:val="en-US"/>
        </w:rPr>
        <w:t>n</w:t>
      </w:r>
      <w:r w:rsidRPr="00182782">
        <w:rPr>
          <w:color w:val="000000" w:themeColor="text1"/>
          <w:lang w:val="en-US"/>
        </w:rPr>
        <w:t xml:space="preserve"> = 10.</w:t>
      </w:r>
    </w:p>
    <w:p w:rsidR="006813F7" w:rsidRDefault="006813F7"/>
    <w:sectPr w:rsidR="006813F7" w:rsidSect="009105D5">
      <w:footerReference w:type="even" r:id="rId5"/>
      <w:footerReference w:type="default" r:id="rId6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B2" w:rsidRDefault="00F91EB2" w:rsidP="0099112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1EB2" w:rsidRDefault="00F91EB2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EB2" w:rsidRDefault="00F91EB2" w:rsidP="0099112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91EB2" w:rsidRDefault="00F91EB2">
    <w:pPr>
      <w:pStyle w:val="Pidipagin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docVars>
    <w:docVar w:name="Total_Editing_Time" w:val="0"/>
  </w:docVars>
  <w:rsids>
    <w:rsidRoot w:val="00DE4E7B"/>
    <w:rsid w:val="000D52BC"/>
    <w:rsid w:val="00555DEA"/>
    <w:rsid w:val="006813F7"/>
    <w:rsid w:val="009105D5"/>
    <w:rsid w:val="00AB515F"/>
    <w:rsid w:val="00AD7928"/>
    <w:rsid w:val="00DE4E7B"/>
    <w:rsid w:val="00F91E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7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D52BC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1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F91EB2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F9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7B"/>
    <w:rPr>
      <w:rFonts w:ascii="Times New Roman" w:eastAsia="Times New Roman" w:hAnsi="Times New Roman" w:cs="Times New Roman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B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Macintosh Word</Application>
  <DocSecurity>0</DocSecurity>
  <Lines>19</Lines>
  <Paragraphs>4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Scheggi</dc:creator>
  <cp:keywords/>
  <dc:description/>
  <cp:lastModifiedBy>Carla Gambarana</cp:lastModifiedBy>
  <cp:revision>3</cp:revision>
  <dcterms:created xsi:type="dcterms:W3CDTF">2020-06-06T11:22:00Z</dcterms:created>
  <dcterms:modified xsi:type="dcterms:W3CDTF">2020-06-23T09:59:00Z</dcterms:modified>
</cp:coreProperties>
</file>