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926A" w14:textId="2C02CEAB" w:rsidR="00417B5B" w:rsidRPr="000455E5" w:rsidRDefault="0029488E" w:rsidP="00ED633B">
      <w:pPr>
        <w:pStyle w:val="1"/>
        <w:numPr>
          <w:ilvl w:val="0"/>
          <w:numId w:val="19"/>
        </w:numPr>
      </w:pPr>
      <w:r w:rsidRPr="000455E5">
        <w:rPr>
          <w:rFonts w:hint="eastAsia"/>
        </w:rPr>
        <w:t>O</w:t>
      </w:r>
      <w:r w:rsidRPr="000455E5">
        <w:t>verview</w:t>
      </w:r>
    </w:p>
    <w:p w14:paraId="285DFED2" w14:textId="2B2EC40B" w:rsidR="003661BA" w:rsidRPr="000455E5" w:rsidRDefault="00C2142A" w:rsidP="00417B5B">
      <w:pPr>
        <w:pStyle w:val="a3"/>
        <w:ind w:firstLineChars="0" w:firstLine="0"/>
      </w:pPr>
      <w:r w:rsidRPr="000455E5">
        <w:t xml:space="preserve">    </w:t>
      </w:r>
      <w:r w:rsidR="003661BA" w:rsidRPr="000455E5">
        <w:t>This is a prospective, randomized, open label study. 198 patients with HER2+/</w:t>
      </w:r>
      <w:r w:rsidR="001C0607" w:rsidRPr="000455E5">
        <w:t>hormone receptor (</w:t>
      </w:r>
      <w:r w:rsidR="003661BA" w:rsidRPr="000455E5">
        <w:t>HR</w:t>
      </w:r>
      <w:r w:rsidR="001C0607" w:rsidRPr="000455E5">
        <w:t>)</w:t>
      </w:r>
      <w:r w:rsidR="003661BA" w:rsidRPr="000455E5">
        <w:t xml:space="preserve">+ </w:t>
      </w:r>
      <w:r w:rsidR="001C0607" w:rsidRPr="000455E5">
        <w:t>metastatic breast cancer (</w:t>
      </w:r>
      <w:r w:rsidR="003661BA" w:rsidRPr="000455E5">
        <w:t>MBC</w:t>
      </w:r>
      <w:r w:rsidR="001C0607" w:rsidRPr="000455E5">
        <w:t>)</w:t>
      </w:r>
      <w:r w:rsidR="003661BA" w:rsidRPr="000455E5">
        <w:t xml:space="preserve"> will be recruited. Eligible patients will be allocated (2:1) to either </w:t>
      </w:r>
      <w:r w:rsidR="001C0607" w:rsidRPr="000455E5">
        <w:t xml:space="preserve">of these groups: an </w:t>
      </w:r>
      <w:r w:rsidR="003661BA" w:rsidRPr="000455E5">
        <w:t>experimental group (</w:t>
      </w:r>
      <w:proofErr w:type="spellStart"/>
      <w:r w:rsidR="001C0607" w:rsidRPr="000455E5">
        <w:t>p</w:t>
      </w:r>
      <w:r w:rsidR="003661BA" w:rsidRPr="000455E5">
        <w:t>yrotinib</w:t>
      </w:r>
      <w:proofErr w:type="spellEnd"/>
      <w:r w:rsidR="003661BA" w:rsidRPr="000455E5">
        <w:t xml:space="preserve"> + </w:t>
      </w:r>
      <w:r w:rsidR="001C0607" w:rsidRPr="000455E5">
        <w:t>t</w:t>
      </w:r>
      <w:r w:rsidR="003661BA" w:rsidRPr="000455E5">
        <w:t xml:space="preserve">rastuzumab + </w:t>
      </w:r>
      <w:r w:rsidR="001C0607" w:rsidRPr="000455E5">
        <w:t>aromatase inhibitors [</w:t>
      </w:r>
      <w:r w:rsidR="003661BA" w:rsidRPr="000455E5">
        <w:t>AI</w:t>
      </w:r>
      <w:r w:rsidR="001C0607" w:rsidRPr="000455E5">
        <w:t>]</w:t>
      </w:r>
      <w:r w:rsidR="003661BA" w:rsidRPr="000455E5">
        <w:t xml:space="preserve">) or </w:t>
      </w:r>
      <w:r w:rsidR="001C0607" w:rsidRPr="000455E5">
        <w:t xml:space="preserve">a </w:t>
      </w:r>
      <w:r w:rsidR="003661BA" w:rsidRPr="000455E5">
        <w:t>control group (</w:t>
      </w:r>
      <w:r w:rsidR="001C0607" w:rsidRPr="000455E5">
        <w:t>t</w:t>
      </w:r>
      <w:r w:rsidR="003661BA" w:rsidRPr="000455E5">
        <w:t>rastuzumab + AI). Al</w:t>
      </w:r>
      <w:r w:rsidR="003661BA" w:rsidRPr="000455E5">
        <w:rPr>
          <w:rFonts w:hint="eastAsia"/>
        </w:rPr>
        <w:t>locat</w:t>
      </w:r>
      <w:r w:rsidR="00F54299" w:rsidRPr="000455E5">
        <w:rPr>
          <w:rFonts w:hint="eastAsia"/>
        </w:rPr>
        <w:t>ion</w:t>
      </w:r>
      <w:r w:rsidR="00F54299" w:rsidRPr="000455E5">
        <w:t xml:space="preserve"> </w:t>
      </w:r>
      <w:r w:rsidR="00F54299" w:rsidRPr="000455E5">
        <w:rPr>
          <w:rFonts w:hint="eastAsia"/>
        </w:rPr>
        <w:t>w</w:t>
      </w:r>
      <w:r w:rsidR="00A16F2D" w:rsidRPr="000455E5">
        <w:rPr>
          <w:rFonts w:hint="eastAsia"/>
        </w:rPr>
        <w:t>ill</w:t>
      </w:r>
      <w:r w:rsidR="00A16F2D" w:rsidRPr="000455E5">
        <w:t xml:space="preserve"> </w:t>
      </w:r>
      <w:r w:rsidR="00A16F2D" w:rsidRPr="000455E5">
        <w:rPr>
          <w:rFonts w:hint="eastAsia"/>
        </w:rPr>
        <w:t>be</w:t>
      </w:r>
      <w:r w:rsidR="003661BA" w:rsidRPr="000455E5">
        <w:rPr>
          <w:rFonts w:hint="eastAsia"/>
        </w:rPr>
        <w:t xml:space="preserve"> stratified by 1)</w:t>
      </w:r>
      <w:r w:rsidRPr="000455E5">
        <w:t xml:space="preserve"> time</w:t>
      </w:r>
      <w:r w:rsidR="003661BA" w:rsidRPr="000455E5">
        <w:rPr>
          <w:rFonts w:hint="eastAsia"/>
        </w:rPr>
        <w:t xml:space="preserve"> since adjuvant hormone therapy (</w:t>
      </w:r>
      <w:r w:rsidR="001C0607" w:rsidRPr="000455E5">
        <w:t>≤</w:t>
      </w:r>
      <w:r w:rsidR="00B10E48" w:rsidRPr="000455E5">
        <w:t xml:space="preserve"> </w:t>
      </w:r>
      <w:r w:rsidR="003661BA" w:rsidRPr="000455E5">
        <w:rPr>
          <w:rFonts w:hint="eastAsia"/>
        </w:rPr>
        <w:t>12 months/</w:t>
      </w:r>
      <w:r w:rsidR="001F43B9" w:rsidRPr="000455E5">
        <w:rPr>
          <w:rFonts w:hint="eastAsia"/>
        </w:rPr>
        <w:t xml:space="preserve">&gt; </w:t>
      </w:r>
      <w:r w:rsidR="003661BA" w:rsidRPr="000455E5">
        <w:rPr>
          <w:rFonts w:hint="eastAsia"/>
        </w:rPr>
        <w:t xml:space="preserve">12 months/no prior hormone therapy); 2) lesion </w:t>
      </w:r>
      <w:r w:rsidRPr="000455E5">
        <w:t xml:space="preserve">sites </w:t>
      </w:r>
      <w:r w:rsidR="003661BA" w:rsidRPr="000455E5">
        <w:rPr>
          <w:rFonts w:hint="eastAsia"/>
        </w:rPr>
        <w:t xml:space="preserve">(visceral; non-visceral). The primary endpoint is </w:t>
      </w:r>
      <w:r w:rsidR="00A16F2D" w:rsidRPr="000455E5">
        <w:t>progression</w:t>
      </w:r>
      <w:r w:rsidR="00F0453D" w:rsidRPr="000455E5">
        <w:t>-</w:t>
      </w:r>
      <w:r w:rsidR="00A16F2D" w:rsidRPr="000455E5">
        <w:t>free survival (</w:t>
      </w:r>
      <w:r w:rsidR="003661BA" w:rsidRPr="000455E5">
        <w:rPr>
          <w:rFonts w:hint="eastAsia"/>
        </w:rPr>
        <w:t>PFS</w:t>
      </w:r>
      <w:r w:rsidR="00A16F2D" w:rsidRPr="000455E5">
        <w:t>)</w:t>
      </w:r>
      <w:r w:rsidR="003661BA" w:rsidRPr="000455E5">
        <w:rPr>
          <w:rFonts w:hint="eastAsia"/>
        </w:rPr>
        <w:t>.</w:t>
      </w:r>
    </w:p>
    <w:p w14:paraId="2AECC6EF" w14:textId="3C23A7FF" w:rsidR="00417B5B" w:rsidRPr="000455E5" w:rsidRDefault="00C2142A" w:rsidP="00417B5B">
      <w:pPr>
        <w:pStyle w:val="a3"/>
        <w:ind w:firstLineChars="0" w:firstLine="0"/>
      </w:pPr>
      <w:r w:rsidRPr="000455E5">
        <w:t xml:space="preserve">    </w:t>
      </w:r>
      <w:r w:rsidR="00417B5B" w:rsidRPr="000455E5">
        <w:t>After enrollment, the subjects will receive continuous administration</w:t>
      </w:r>
      <w:r w:rsidR="00B10E48" w:rsidRPr="000455E5">
        <w:t xml:space="preserve"> of the treatment</w:t>
      </w:r>
      <w:r w:rsidR="00417B5B" w:rsidRPr="000455E5">
        <w:t xml:space="preserve">, with 21 days as one cycle, </w:t>
      </w:r>
      <w:r w:rsidR="001C0607" w:rsidRPr="000455E5">
        <w:t xml:space="preserve">until </w:t>
      </w:r>
      <w:r w:rsidR="00417B5B" w:rsidRPr="000455E5">
        <w:t>disease progression, intolerable toxicity, withdrawal of consent or requirement of drug discontinuation</w:t>
      </w:r>
      <w:r w:rsidR="001C0607" w:rsidRPr="000455E5">
        <w:t>,</w:t>
      </w:r>
      <w:r w:rsidR="00417B5B" w:rsidRPr="000455E5">
        <w:t xml:space="preserve"> as judged by the investigator.</w:t>
      </w:r>
    </w:p>
    <w:p w14:paraId="58989118" w14:textId="06C59CDF" w:rsidR="00417B5B" w:rsidRPr="000455E5" w:rsidRDefault="00C2142A" w:rsidP="00417B5B">
      <w:pPr>
        <w:pStyle w:val="a3"/>
        <w:ind w:firstLineChars="0" w:firstLine="0"/>
      </w:pPr>
      <w:r w:rsidRPr="000455E5">
        <w:t xml:space="preserve">    </w:t>
      </w:r>
      <w:r w:rsidR="00417B5B" w:rsidRPr="000455E5">
        <w:rPr>
          <w:rFonts w:hint="eastAsia"/>
        </w:rPr>
        <w:t>After treatment, safety</w:t>
      </w:r>
      <w:r w:rsidR="00A16F2D" w:rsidRPr="000455E5">
        <w:t xml:space="preserve"> issues</w:t>
      </w:r>
      <w:r w:rsidR="00417B5B" w:rsidRPr="000455E5">
        <w:rPr>
          <w:rFonts w:hint="eastAsia"/>
        </w:rPr>
        <w:t xml:space="preserve"> </w:t>
      </w:r>
      <w:r w:rsidR="001C0607" w:rsidRPr="000455E5">
        <w:t xml:space="preserve">will </w:t>
      </w:r>
      <w:r w:rsidR="00417B5B" w:rsidRPr="000455E5">
        <w:rPr>
          <w:rFonts w:hint="eastAsia"/>
        </w:rPr>
        <w:t xml:space="preserve">be followed up continuously until 28 days after the last dose, all adverse events </w:t>
      </w:r>
      <w:r w:rsidR="001C0607" w:rsidRPr="000455E5">
        <w:t>are</w:t>
      </w:r>
      <w:r w:rsidR="001C0607" w:rsidRPr="000455E5">
        <w:rPr>
          <w:rFonts w:hint="eastAsia"/>
        </w:rPr>
        <w:t xml:space="preserve"> </w:t>
      </w:r>
      <w:r w:rsidR="001C0607" w:rsidRPr="000455E5">
        <w:t xml:space="preserve">≤ </w:t>
      </w:r>
      <w:r w:rsidR="00417B5B" w:rsidRPr="000455E5">
        <w:rPr>
          <w:rFonts w:hint="eastAsia"/>
        </w:rPr>
        <w:t xml:space="preserve">grade 1, or clinical stability of all adverse events (whichever </w:t>
      </w:r>
      <w:r w:rsidR="008B687E" w:rsidRPr="000455E5">
        <w:t>come</w:t>
      </w:r>
      <w:r w:rsidR="00417B5B" w:rsidRPr="000455E5">
        <w:rPr>
          <w:rFonts w:hint="eastAsia"/>
        </w:rPr>
        <w:t>s later)</w:t>
      </w:r>
      <w:r w:rsidR="00B10E48" w:rsidRPr="000455E5">
        <w:t>.</w:t>
      </w:r>
      <w:r w:rsidR="00417B5B" w:rsidRPr="000455E5">
        <w:rPr>
          <w:rFonts w:hint="eastAsia"/>
        </w:rPr>
        <w:t xml:space="preserve"> </w:t>
      </w:r>
      <w:r w:rsidR="00B10E48" w:rsidRPr="000455E5">
        <w:t>Th</w:t>
      </w:r>
      <w:r w:rsidR="00417B5B" w:rsidRPr="000455E5">
        <w:rPr>
          <w:rFonts w:hint="eastAsia"/>
        </w:rPr>
        <w:t>e subjects who are exc</w:t>
      </w:r>
      <w:r w:rsidR="00417B5B" w:rsidRPr="000455E5">
        <w:t xml:space="preserve">luded for </w:t>
      </w:r>
      <w:r w:rsidR="00A16F2D" w:rsidRPr="000455E5">
        <w:t xml:space="preserve">reasons other than </w:t>
      </w:r>
      <w:r w:rsidR="00F47F7C" w:rsidRPr="000455E5">
        <w:t xml:space="preserve">progressive </w:t>
      </w:r>
      <w:r w:rsidR="00A16F2D" w:rsidRPr="000455E5">
        <w:t>disease (</w:t>
      </w:r>
      <w:r w:rsidR="00417B5B" w:rsidRPr="000455E5">
        <w:t>PD</w:t>
      </w:r>
      <w:r w:rsidR="00A16F2D" w:rsidRPr="000455E5">
        <w:t>)</w:t>
      </w:r>
      <w:r w:rsidR="00417B5B" w:rsidRPr="000455E5">
        <w:t xml:space="preserve"> </w:t>
      </w:r>
      <w:r w:rsidR="00A16F2D" w:rsidRPr="000455E5">
        <w:t xml:space="preserve">or </w:t>
      </w:r>
      <w:r w:rsidR="00417B5B" w:rsidRPr="000455E5">
        <w:t xml:space="preserve">death </w:t>
      </w:r>
      <w:r w:rsidR="00D20B55" w:rsidRPr="000455E5">
        <w:t xml:space="preserve">are </w:t>
      </w:r>
      <w:r w:rsidR="00417B5B" w:rsidRPr="000455E5">
        <w:t>to be followed for efficacy</w:t>
      </w:r>
      <w:r w:rsidR="00A16F2D" w:rsidRPr="000455E5">
        <w:t xml:space="preserve"> evaluation</w:t>
      </w:r>
      <w:r w:rsidR="00F47F7C" w:rsidRPr="000455E5">
        <w:t>s</w:t>
      </w:r>
      <w:r w:rsidR="00417B5B" w:rsidRPr="000455E5">
        <w:t xml:space="preserve"> until PD, </w:t>
      </w:r>
      <w:r w:rsidR="00D20B55" w:rsidRPr="000455E5">
        <w:t xml:space="preserve">receipt of </w:t>
      </w:r>
      <w:r w:rsidR="00417B5B" w:rsidRPr="000455E5">
        <w:t>other antitumor therapies or death (whichever comes first)</w:t>
      </w:r>
      <w:r w:rsidR="00B10E48" w:rsidRPr="000455E5">
        <w:t>.</w:t>
      </w:r>
      <w:r w:rsidR="00417B5B" w:rsidRPr="000455E5">
        <w:t xml:space="preserve"> </w:t>
      </w:r>
      <w:r w:rsidR="00B10E48" w:rsidRPr="000455E5">
        <w:t>S</w:t>
      </w:r>
      <w:r w:rsidR="00417B5B" w:rsidRPr="000455E5">
        <w:t xml:space="preserve">urvival </w:t>
      </w:r>
      <w:r w:rsidR="00D20B55" w:rsidRPr="000455E5">
        <w:t xml:space="preserve">data </w:t>
      </w:r>
      <w:r w:rsidR="00417B5B" w:rsidRPr="000455E5">
        <w:t xml:space="preserve">will be </w:t>
      </w:r>
      <w:r w:rsidR="00D20B55" w:rsidRPr="000455E5">
        <w:t xml:space="preserve">assessed </w:t>
      </w:r>
      <w:r w:rsidR="00417B5B" w:rsidRPr="000455E5">
        <w:t>(collection of</w:t>
      </w:r>
      <w:r w:rsidR="00A16F2D" w:rsidRPr="000455E5">
        <w:t xml:space="preserve"> overall survival [</w:t>
      </w:r>
      <w:r w:rsidR="00417B5B" w:rsidRPr="000455E5">
        <w:t>OS</w:t>
      </w:r>
      <w:r w:rsidR="00A16F2D" w:rsidRPr="000455E5">
        <w:t>]</w:t>
      </w:r>
      <w:r w:rsidR="00417B5B" w:rsidRPr="000455E5">
        <w:t xml:space="preserve"> data) for all subjects, until death or the end of OS data collection (whichever comes first).</w:t>
      </w:r>
      <w:r w:rsidR="00DE06A7" w:rsidRPr="000455E5">
        <w:t xml:space="preserve"> </w:t>
      </w:r>
      <w:r w:rsidR="00D20B55" w:rsidRPr="000455E5">
        <w:t>An e</w:t>
      </w:r>
      <w:r w:rsidR="00DE06A7" w:rsidRPr="000455E5">
        <w:t xml:space="preserve">lectronic data collection (EDC) </w:t>
      </w:r>
      <w:r w:rsidR="00417B5B" w:rsidRPr="000455E5">
        <w:t xml:space="preserve">system is </w:t>
      </w:r>
      <w:r w:rsidR="00D20B55" w:rsidRPr="000455E5">
        <w:t xml:space="preserve">to be </w:t>
      </w:r>
      <w:r w:rsidR="00417B5B" w:rsidRPr="000455E5">
        <w:t>used for collection of clinical data in this study</w:t>
      </w:r>
      <w:r w:rsidR="00CD35F5" w:rsidRPr="000455E5">
        <w:t>. N</w:t>
      </w:r>
      <w:r w:rsidR="00417B5B" w:rsidRPr="000455E5">
        <w:t xml:space="preserve">o interim analysis is </w:t>
      </w:r>
      <w:r w:rsidR="00CD35F5" w:rsidRPr="000455E5">
        <w:t>planned for the present study</w:t>
      </w:r>
      <w:r w:rsidR="00417B5B" w:rsidRPr="000455E5">
        <w:t xml:space="preserve">. </w:t>
      </w:r>
    </w:p>
    <w:p w14:paraId="64C1EC07" w14:textId="5DC2B821" w:rsidR="006F68C9" w:rsidRPr="000455E5" w:rsidRDefault="006F68C9" w:rsidP="001D4773">
      <w:pPr>
        <w:pStyle w:val="1"/>
      </w:pPr>
      <w:r w:rsidRPr="000455E5">
        <w:t>Schedule of enrol</w:t>
      </w:r>
      <w:r w:rsidR="00D20B55" w:rsidRPr="000455E5">
        <w:t>l</w:t>
      </w:r>
      <w:r w:rsidRPr="000455E5">
        <w:t>ment, interventions and assessments</w:t>
      </w:r>
    </w:p>
    <w:tbl>
      <w:tblPr>
        <w:tblStyle w:val="aa"/>
        <w:tblW w:w="9019" w:type="dxa"/>
        <w:tblLook w:val="04A0" w:firstRow="1" w:lastRow="0" w:firstColumn="1" w:lastColumn="0" w:noHBand="0" w:noVBand="1"/>
      </w:tblPr>
      <w:tblGrid>
        <w:gridCol w:w="3613"/>
        <w:gridCol w:w="1056"/>
        <w:gridCol w:w="1216"/>
        <w:gridCol w:w="1558"/>
        <w:gridCol w:w="1576"/>
      </w:tblGrid>
      <w:tr w:rsidR="000455E5" w:rsidRPr="000455E5" w14:paraId="7F594553" w14:textId="77777777" w:rsidTr="00B10E48">
        <w:tc>
          <w:tcPr>
            <w:tcW w:w="3613" w:type="dxa"/>
            <w:vMerge w:val="restart"/>
            <w:vAlign w:val="center"/>
          </w:tcPr>
          <w:p w14:paraId="671C8B6B" w14:textId="77777777" w:rsidR="006F68C9" w:rsidRPr="000455E5" w:rsidRDefault="006F68C9" w:rsidP="00B10E48">
            <w:pPr>
              <w:pStyle w:val="HR0"/>
            </w:pPr>
            <w:r w:rsidRPr="000455E5">
              <w:t>Time point</w:t>
            </w:r>
          </w:p>
        </w:tc>
        <w:tc>
          <w:tcPr>
            <w:tcW w:w="5406" w:type="dxa"/>
            <w:gridSpan w:val="4"/>
          </w:tcPr>
          <w:p w14:paraId="4D1D7D35" w14:textId="77777777" w:rsidR="006F68C9" w:rsidRPr="000455E5" w:rsidRDefault="006F68C9" w:rsidP="00B10E48">
            <w:pPr>
              <w:pStyle w:val="HR0"/>
            </w:pPr>
            <w:r w:rsidRPr="000455E5">
              <w:t>Study period</w:t>
            </w:r>
          </w:p>
        </w:tc>
      </w:tr>
      <w:tr w:rsidR="000455E5" w:rsidRPr="000455E5" w14:paraId="5162EBB4" w14:textId="77777777" w:rsidTr="00B10E48">
        <w:tc>
          <w:tcPr>
            <w:tcW w:w="3613" w:type="dxa"/>
            <w:vMerge/>
            <w:vAlign w:val="center"/>
          </w:tcPr>
          <w:p w14:paraId="1EC570A6" w14:textId="77777777" w:rsidR="006F68C9" w:rsidRPr="000455E5" w:rsidRDefault="006F68C9" w:rsidP="00B10E48">
            <w:pPr>
              <w:pStyle w:val="HR0"/>
            </w:pPr>
          </w:p>
        </w:tc>
        <w:tc>
          <w:tcPr>
            <w:tcW w:w="1056" w:type="dxa"/>
            <w:vAlign w:val="center"/>
          </w:tcPr>
          <w:p w14:paraId="177F4E93" w14:textId="77777777" w:rsidR="006F68C9" w:rsidRPr="000455E5" w:rsidRDefault="006F68C9" w:rsidP="00B10E48">
            <w:pPr>
              <w:pStyle w:val="HR0"/>
            </w:pPr>
            <w:r w:rsidRPr="000455E5">
              <w:rPr>
                <w:rFonts w:hint="eastAsia"/>
              </w:rPr>
              <w:t>S</w:t>
            </w:r>
            <w:r w:rsidRPr="000455E5">
              <w:t>creening Phase</w:t>
            </w:r>
          </w:p>
        </w:tc>
        <w:tc>
          <w:tcPr>
            <w:tcW w:w="1216" w:type="dxa"/>
            <w:vAlign w:val="center"/>
          </w:tcPr>
          <w:p w14:paraId="09F60EB5" w14:textId="77777777" w:rsidR="006F68C9" w:rsidRPr="000455E5" w:rsidRDefault="006F68C9" w:rsidP="00B10E48">
            <w:pPr>
              <w:pStyle w:val="HR0"/>
            </w:pPr>
            <w:r w:rsidRPr="000455E5">
              <w:t>Treatment Phase</w:t>
            </w:r>
          </w:p>
        </w:tc>
        <w:tc>
          <w:tcPr>
            <w:tcW w:w="3134" w:type="dxa"/>
            <w:gridSpan w:val="2"/>
            <w:vAlign w:val="center"/>
          </w:tcPr>
          <w:p w14:paraId="3F9EFD29" w14:textId="77777777" w:rsidR="006F68C9" w:rsidRPr="000455E5" w:rsidRDefault="006F68C9" w:rsidP="00B10E48">
            <w:pPr>
              <w:pStyle w:val="HR0"/>
            </w:pPr>
            <w:r w:rsidRPr="000455E5">
              <w:t>Follow-Up Phase</w:t>
            </w:r>
          </w:p>
        </w:tc>
      </w:tr>
      <w:tr w:rsidR="000455E5" w:rsidRPr="000455E5" w14:paraId="2ABC31CB" w14:textId="77777777" w:rsidTr="00B10E48">
        <w:tc>
          <w:tcPr>
            <w:tcW w:w="3613" w:type="dxa"/>
            <w:vMerge/>
            <w:vAlign w:val="center"/>
          </w:tcPr>
          <w:p w14:paraId="5AF9421D" w14:textId="77777777" w:rsidR="006F68C9" w:rsidRPr="000455E5" w:rsidRDefault="006F68C9" w:rsidP="00B10E48">
            <w:pPr>
              <w:pStyle w:val="HR0"/>
            </w:pPr>
          </w:p>
        </w:tc>
        <w:tc>
          <w:tcPr>
            <w:tcW w:w="1056" w:type="dxa"/>
            <w:vAlign w:val="center"/>
          </w:tcPr>
          <w:p w14:paraId="276A37B1" w14:textId="77777777" w:rsidR="006F68C9" w:rsidRPr="000455E5" w:rsidRDefault="006F68C9" w:rsidP="00B10E48">
            <w:pPr>
              <w:pStyle w:val="HR0"/>
            </w:pPr>
            <w:r w:rsidRPr="000455E5">
              <w:rPr>
                <w:rFonts w:hint="eastAsia"/>
              </w:rPr>
              <w:t>B</w:t>
            </w:r>
            <w:r w:rsidRPr="000455E5">
              <w:t>aseline</w:t>
            </w:r>
          </w:p>
        </w:tc>
        <w:tc>
          <w:tcPr>
            <w:tcW w:w="1216" w:type="dxa"/>
            <w:vAlign w:val="center"/>
          </w:tcPr>
          <w:p w14:paraId="30E73D05" w14:textId="77777777" w:rsidR="006F68C9" w:rsidRPr="000455E5" w:rsidRDefault="006F68C9" w:rsidP="00B10E48">
            <w:pPr>
              <w:pStyle w:val="HR0"/>
            </w:pPr>
            <w:r w:rsidRPr="000455E5">
              <w:t>Treatment</w:t>
            </w:r>
          </w:p>
        </w:tc>
        <w:tc>
          <w:tcPr>
            <w:tcW w:w="1558" w:type="dxa"/>
            <w:vAlign w:val="center"/>
          </w:tcPr>
          <w:p w14:paraId="321CB9BD" w14:textId="77777777" w:rsidR="006F68C9" w:rsidRPr="000455E5" w:rsidRDefault="006F68C9" w:rsidP="00B10E48">
            <w:pPr>
              <w:pStyle w:val="HR0"/>
            </w:pPr>
            <w:r w:rsidRPr="000455E5">
              <w:t>Treatment Discontinuation</w:t>
            </w:r>
          </w:p>
        </w:tc>
        <w:tc>
          <w:tcPr>
            <w:tcW w:w="1576" w:type="dxa"/>
            <w:vAlign w:val="center"/>
          </w:tcPr>
          <w:p w14:paraId="130E6819" w14:textId="77777777" w:rsidR="006F68C9" w:rsidRPr="000455E5" w:rsidRDefault="006F68C9" w:rsidP="00B10E48">
            <w:pPr>
              <w:pStyle w:val="HR0"/>
            </w:pPr>
            <w:r w:rsidRPr="000455E5">
              <w:t>Follow-Up</w:t>
            </w:r>
          </w:p>
        </w:tc>
      </w:tr>
      <w:tr w:rsidR="000455E5" w:rsidRPr="000455E5" w14:paraId="55DE8807" w14:textId="77777777" w:rsidTr="00B10E48">
        <w:tc>
          <w:tcPr>
            <w:tcW w:w="3613" w:type="dxa"/>
          </w:tcPr>
          <w:p w14:paraId="10CF00C1" w14:textId="77777777" w:rsidR="006F68C9" w:rsidRPr="000455E5" w:rsidRDefault="006F68C9" w:rsidP="00B10E48">
            <w:pPr>
              <w:pStyle w:val="HR0"/>
              <w:jc w:val="left"/>
            </w:pPr>
            <w:r w:rsidRPr="000455E5">
              <w:t>Eligibility</w:t>
            </w:r>
          </w:p>
        </w:tc>
        <w:tc>
          <w:tcPr>
            <w:tcW w:w="1056" w:type="dxa"/>
          </w:tcPr>
          <w:p w14:paraId="705CB4F1" w14:textId="77777777" w:rsidR="006F68C9" w:rsidRPr="000455E5" w:rsidRDefault="006F68C9" w:rsidP="00B10E48">
            <w:pPr>
              <w:pStyle w:val="HR0"/>
            </w:pPr>
            <w:r w:rsidRPr="000455E5">
              <w:rPr>
                <w:rFonts w:hint="eastAsia"/>
              </w:rPr>
              <w:t>X</w:t>
            </w:r>
          </w:p>
        </w:tc>
        <w:tc>
          <w:tcPr>
            <w:tcW w:w="1216" w:type="dxa"/>
          </w:tcPr>
          <w:p w14:paraId="2F9670AC" w14:textId="77777777" w:rsidR="006F68C9" w:rsidRPr="000455E5" w:rsidRDefault="006F68C9" w:rsidP="00B10E48">
            <w:pPr>
              <w:pStyle w:val="HR0"/>
            </w:pPr>
          </w:p>
        </w:tc>
        <w:tc>
          <w:tcPr>
            <w:tcW w:w="1558" w:type="dxa"/>
          </w:tcPr>
          <w:p w14:paraId="396D3859" w14:textId="77777777" w:rsidR="006F68C9" w:rsidRPr="000455E5" w:rsidRDefault="006F68C9" w:rsidP="00B10E48">
            <w:pPr>
              <w:pStyle w:val="HR0"/>
            </w:pPr>
          </w:p>
        </w:tc>
        <w:tc>
          <w:tcPr>
            <w:tcW w:w="1576" w:type="dxa"/>
          </w:tcPr>
          <w:p w14:paraId="2E177B36" w14:textId="77777777" w:rsidR="006F68C9" w:rsidRPr="000455E5" w:rsidRDefault="006F68C9" w:rsidP="00B10E48">
            <w:pPr>
              <w:pStyle w:val="HR0"/>
            </w:pPr>
          </w:p>
        </w:tc>
      </w:tr>
      <w:tr w:rsidR="000455E5" w:rsidRPr="000455E5" w14:paraId="4D4EF130" w14:textId="77777777" w:rsidTr="00B10E48">
        <w:tc>
          <w:tcPr>
            <w:tcW w:w="3613" w:type="dxa"/>
          </w:tcPr>
          <w:p w14:paraId="55156456" w14:textId="77777777" w:rsidR="006F68C9" w:rsidRPr="000455E5" w:rsidRDefault="006F68C9" w:rsidP="00B10E48">
            <w:pPr>
              <w:pStyle w:val="HR0"/>
              <w:jc w:val="left"/>
            </w:pPr>
            <w:r w:rsidRPr="000455E5">
              <w:t>Informed consent</w:t>
            </w:r>
          </w:p>
        </w:tc>
        <w:tc>
          <w:tcPr>
            <w:tcW w:w="1056" w:type="dxa"/>
          </w:tcPr>
          <w:p w14:paraId="30B71162" w14:textId="77777777" w:rsidR="006F68C9" w:rsidRPr="000455E5" w:rsidRDefault="006F68C9" w:rsidP="00B10E48">
            <w:pPr>
              <w:pStyle w:val="HR0"/>
            </w:pPr>
            <w:r w:rsidRPr="000455E5">
              <w:rPr>
                <w:rFonts w:hint="eastAsia"/>
              </w:rPr>
              <w:t>X</w:t>
            </w:r>
          </w:p>
        </w:tc>
        <w:tc>
          <w:tcPr>
            <w:tcW w:w="1216" w:type="dxa"/>
          </w:tcPr>
          <w:p w14:paraId="7A22A3C8" w14:textId="77777777" w:rsidR="006F68C9" w:rsidRPr="000455E5" w:rsidRDefault="006F68C9" w:rsidP="00B10E48">
            <w:pPr>
              <w:pStyle w:val="HR0"/>
            </w:pPr>
          </w:p>
        </w:tc>
        <w:tc>
          <w:tcPr>
            <w:tcW w:w="1558" w:type="dxa"/>
          </w:tcPr>
          <w:p w14:paraId="1DF21EED" w14:textId="77777777" w:rsidR="006F68C9" w:rsidRPr="000455E5" w:rsidRDefault="006F68C9" w:rsidP="00B10E48">
            <w:pPr>
              <w:pStyle w:val="HR0"/>
            </w:pPr>
          </w:p>
        </w:tc>
        <w:tc>
          <w:tcPr>
            <w:tcW w:w="1576" w:type="dxa"/>
          </w:tcPr>
          <w:p w14:paraId="6C9939E5" w14:textId="77777777" w:rsidR="006F68C9" w:rsidRPr="000455E5" w:rsidRDefault="006F68C9" w:rsidP="00B10E48">
            <w:pPr>
              <w:pStyle w:val="HR0"/>
            </w:pPr>
          </w:p>
        </w:tc>
      </w:tr>
      <w:tr w:rsidR="000455E5" w:rsidRPr="000455E5" w14:paraId="2C454C66" w14:textId="77777777" w:rsidTr="00B10E48">
        <w:tc>
          <w:tcPr>
            <w:tcW w:w="3613" w:type="dxa"/>
          </w:tcPr>
          <w:p w14:paraId="6887A6F6" w14:textId="661FB92D" w:rsidR="006F68C9" w:rsidRPr="000455E5" w:rsidRDefault="006F68C9" w:rsidP="00B10E48">
            <w:pPr>
              <w:pStyle w:val="HR0"/>
              <w:jc w:val="left"/>
            </w:pPr>
            <w:r w:rsidRPr="000455E5">
              <w:t xml:space="preserve">Quality of </w:t>
            </w:r>
            <w:r w:rsidR="00EE7785" w:rsidRPr="000455E5">
              <w:t xml:space="preserve">life </w:t>
            </w:r>
            <w:r w:rsidRPr="000455E5">
              <w:t>(QoL)</w:t>
            </w:r>
          </w:p>
        </w:tc>
        <w:tc>
          <w:tcPr>
            <w:tcW w:w="1056" w:type="dxa"/>
          </w:tcPr>
          <w:p w14:paraId="371D141E" w14:textId="77777777" w:rsidR="006F68C9" w:rsidRPr="000455E5" w:rsidRDefault="006F68C9" w:rsidP="00B10E48">
            <w:pPr>
              <w:pStyle w:val="HR0"/>
            </w:pPr>
            <w:r w:rsidRPr="000455E5">
              <w:rPr>
                <w:rFonts w:hint="eastAsia"/>
              </w:rPr>
              <w:t>X</w:t>
            </w:r>
          </w:p>
        </w:tc>
        <w:tc>
          <w:tcPr>
            <w:tcW w:w="1216" w:type="dxa"/>
          </w:tcPr>
          <w:p w14:paraId="71999A30" w14:textId="77777777" w:rsidR="006F68C9" w:rsidRPr="000455E5" w:rsidRDefault="006F68C9" w:rsidP="00B10E48">
            <w:pPr>
              <w:pStyle w:val="HR0"/>
            </w:pPr>
            <w:r w:rsidRPr="000455E5">
              <w:rPr>
                <w:rFonts w:hint="eastAsia"/>
              </w:rPr>
              <w:t>X</w:t>
            </w:r>
          </w:p>
        </w:tc>
        <w:tc>
          <w:tcPr>
            <w:tcW w:w="1558" w:type="dxa"/>
          </w:tcPr>
          <w:p w14:paraId="2CBD14BB" w14:textId="77777777" w:rsidR="006F68C9" w:rsidRPr="000455E5" w:rsidRDefault="006F68C9" w:rsidP="00B10E48">
            <w:pPr>
              <w:pStyle w:val="HR0"/>
            </w:pPr>
            <w:r w:rsidRPr="000455E5">
              <w:rPr>
                <w:rFonts w:hint="eastAsia"/>
              </w:rPr>
              <w:t>X</w:t>
            </w:r>
          </w:p>
        </w:tc>
        <w:tc>
          <w:tcPr>
            <w:tcW w:w="1576" w:type="dxa"/>
          </w:tcPr>
          <w:p w14:paraId="6CD115FC" w14:textId="77777777" w:rsidR="006F68C9" w:rsidRPr="000455E5" w:rsidRDefault="006F68C9" w:rsidP="00B10E48">
            <w:pPr>
              <w:pStyle w:val="HR0"/>
            </w:pPr>
          </w:p>
        </w:tc>
      </w:tr>
      <w:tr w:rsidR="000455E5" w:rsidRPr="000455E5" w14:paraId="0E431305" w14:textId="77777777" w:rsidTr="00B10E48">
        <w:tc>
          <w:tcPr>
            <w:tcW w:w="3613" w:type="dxa"/>
          </w:tcPr>
          <w:p w14:paraId="7990B599" w14:textId="00024548" w:rsidR="006F68C9" w:rsidRPr="000455E5" w:rsidRDefault="006F68C9" w:rsidP="00B10E48">
            <w:pPr>
              <w:pStyle w:val="HR0"/>
              <w:jc w:val="left"/>
            </w:pPr>
            <w:r w:rsidRPr="000455E5">
              <w:t xml:space="preserve">ECOG </w:t>
            </w:r>
            <w:r w:rsidR="00D20B55" w:rsidRPr="000455E5">
              <w:t>p</w:t>
            </w:r>
            <w:r w:rsidRPr="000455E5">
              <w:t xml:space="preserve">erformance </w:t>
            </w:r>
            <w:r w:rsidR="00D20B55" w:rsidRPr="000455E5">
              <w:t>s</w:t>
            </w:r>
            <w:r w:rsidRPr="000455E5">
              <w:t>tatus</w:t>
            </w:r>
          </w:p>
        </w:tc>
        <w:tc>
          <w:tcPr>
            <w:tcW w:w="1056" w:type="dxa"/>
          </w:tcPr>
          <w:p w14:paraId="3F93B8E6" w14:textId="77777777" w:rsidR="006F68C9" w:rsidRPr="000455E5" w:rsidRDefault="006F68C9" w:rsidP="00B10E48">
            <w:pPr>
              <w:pStyle w:val="HR0"/>
            </w:pPr>
            <w:r w:rsidRPr="000455E5">
              <w:rPr>
                <w:rFonts w:hint="eastAsia"/>
              </w:rPr>
              <w:t>X</w:t>
            </w:r>
          </w:p>
        </w:tc>
        <w:tc>
          <w:tcPr>
            <w:tcW w:w="1216" w:type="dxa"/>
          </w:tcPr>
          <w:p w14:paraId="21293562" w14:textId="77777777" w:rsidR="006F68C9" w:rsidRPr="000455E5" w:rsidRDefault="006F68C9" w:rsidP="00B10E48">
            <w:pPr>
              <w:pStyle w:val="HR0"/>
            </w:pPr>
            <w:r w:rsidRPr="000455E5">
              <w:rPr>
                <w:rFonts w:hint="eastAsia"/>
              </w:rPr>
              <w:t>X</w:t>
            </w:r>
          </w:p>
        </w:tc>
        <w:tc>
          <w:tcPr>
            <w:tcW w:w="1558" w:type="dxa"/>
          </w:tcPr>
          <w:p w14:paraId="44F1C4AC" w14:textId="77777777" w:rsidR="006F68C9" w:rsidRPr="000455E5" w:rsidRDefault="006F68C9" w:rsidP="00B10E48">
            <w:pPr>
              <w:pStyle w:val="HR0"/>
            </w:pPr>
            <w:r w:rsidRPr="000455E5">
              <w:rPr>
                <w:rFonts w:hint="eastAsia"/>
              </w:rPr>
              <w:t>X</w:t>
            </w:r>
          </w:p>
        </w:tc>
        <w:tc>
          <w:tcPr>
            <w:tcW w:w="1576" w:type="dxa"/>
          </w:tcPr>
          <w:p w14:paraId="0A12CCAF" w14:textId="77777777" w:rsidR="006F68C9" w:rsidRPr="000455E5" w:rsidRDefault="006F68C9" w:rsidP="00B10E48">
            <w:pPr>
              <w:pStyle w:val="HR0"/>
            </w:pPr>
          </w:p>
        </w:tc>
      </w:tr>
      <w:tr w:rsidR="000455E5" w:rsidRPr="000455E5" w14:paraId="09424F10" w14:textId="77777777" w:rsidTr="00B10E48">
        <w:tc>
          <w:tcPr>
            <w:tcW w:w="3613" w:type="dxa"/>
          </w:tcPr>
          <w:p w14:paraId="3E3D5832" w14:textId="4B2DE547" w:rsidR="006F68C9" w:rsidRPr="000455E5" w:rsidRDefault="006F68C9" w:rsidP="00B10E48">
            <w:pPr>
              <w:pStyle w:val="HR0"/>
              <w:jc w:val="left"/>
            </w:pPr>
            <w:r w:rsidRPr="000455E5">
              <w:t xml:space="preserve">Complete </w:t>
            </w:r>
            <w:r w:rsidR="00D20B55" w:rsidRPr="000455E5">
              <w:t>p</w:t>
            </w:r>
            <w:r w:rsidRPr="000455E5">
              <w:t>hysical</w:t>
            </w:r>
            <w:r w:rsidR="00B10E48" w:rsidRPr="000455E5">
              <w:t xml:space="preserve"> </w:t>
            </w:r>
            <w:r w:rsidR="00D20B55" w:rsidRPr="000455E5">
              <w:t>e</w:t>
            </w:r>
            <w:r w:rsidRPr="000455E5">
              <w:t>xamination</w:t>
            </w:r>
          </w:p>
        </w:tc>
        <w:tc>
          <w:tcPr>
            <w:tcW w:w="1056" w:type="dxa"/>
          </w:tcPr>
          <w:p w14:paraId="526D448A" w14:textId="77777777" w:rsidR="006F68C9" w:rsidRPr="000455E5" w:rsidRDefault="006F68C9" w:rsidP="00B10E48">
            <w:pPr>
              <w:pStyle w:val="HR0"/>
            </w:pPr>
            <w:r w:rsidRPr="000455E5">
              <w:rPr>
                <w:rFonts w:hint="eastAsia"/>
              </w:rPr>
              <w:t>X</w:t>
            </w:r>
          </w:p>
        </w:tc>
        <w:tc>
          <w:tcPr>
            <w:tcW w:w="1216" w:type="dxa"/>
          </w:tcPr>
          <w:p w14:paraId="44EB3BD2" w14:textId="77777777" w:rsidR="006F68C9" w:rsidRPr="000455E5" w:rsidRDefault="006F68C9" w:rsidP="00B10E48">
            <w:pPr>
              <w:pStyle w:val="HR0"/>
            </w:pPr>
            <w:r w:rsidRPr="000455E5">
              <w:t>If clinically indicated</w:t>
            </w:r>
          </w:p>
        </w:tc>
        <w:tc>
          <w:tcPr>
            <w:tcW w:w="1558" w:type="dxa"/>
          </w:tcPr>
          <w:p w14:paraId="0F62D164" w14:textId="77777777" w:rsidR="006F68C9" w:rsidRPr="000455E5" w:rsidRDefault="006F68C9" w:rsidP="00B10E48">
            <w:pPr>
              <w:pStyle w:val="HR0"/>
            </w:pPr>
            <w:r w:rsidRPr="000455E5">
              <w:rPr>
                <w:rFonts w:hint="eastAsia"/>
              </w:rPr>
              <w:t>X</w:t>
            </w:r>
          </w:p>
        </w:tc>
        <w:tc>
          <w:tcPr>
            <w:tcW w:w="1576" w:type="dxa"/>
          </w:tcPr>
          <w:p w14:paraId="5D07A498" w14:textId="77777777" w:rsidR="006F68C9" w:rsidRPr="000455E5" w:rsidRDefault="006F68C9" w:rsidP="00B10E48">
            <w:pPr>
              <w:pStyle w:val="HR0"/>
            </w:pPr>
          </w:p>
        </w:tc>
      </w:tr>
      <w:tr w:rsidR="000455E5" w:rsidRPr="000455E5" w14:paraId="3851DC4F" w14:textId="77777777" w:rsidTr="00B10E48">
        <w:tc>
          <w:tcPr>
            <w:tcW w:w="3613" w:type="dxa"/>
          </w:tcPr>
          <w:p w14:paraId="4FDFC53F" w14:textId="3AC1A2B8" w:rsidR="006F68C9" w:rsidRPr="000455E5" w:rsidRDefault="006F68C9" w:rsidP="00B10E48">
            <w:pPr>
              <w:pStyle w:val="HR0"/>
              <w:jc w:val="left"/>
            </w:pPr>
            <w:r w:rsidRPr="000455E5">
              <w:t xml:space="preserve">Vital </w:t>
            </w:r>
            <w:r w:rsidR="00D20B55" w:rsidRPr="000455E5">
              <w:t>s</w:t>
            </w:r>
            <w:r w:rsidRPr="000455E5">
              <w:t>igns</w:t>
            </w:r>
          </w:p>
        </w:tc>
        <w:tc>
          <w:tcPr>
            <w:tcW w:w="1056" w:type="dxa"/>
          </w:tcPr>
          <w:p w14:paraId="569ED0B6" w14:textId="77777777" w:rsidR="006F68C9" w:rsidRPr="000455E5" w:rsidRDefault="006F68C9" w:rsidP="00B10E48">
            <w:pPr>
              <w:pStyle w:val="HR0"/>
            </w:pPr>
            <w:r w:rsidRPr="000455E5">
              <w:rPr>
                <w:rFonts w:hint="eastAsia"/>
              </w:rPr>
              <w:t>X</w:t>
            </w:r>
          </w:p>
        </w:tc>
        <w:tc>
          <w:tcPr>
            <w:tcW w:w="1216" w:type="dxa"/>
          </w:tcPr>
          <w:p w14:paraId="25B9B341" w14:textId="77777777" w:rsidR="006F68C9" w:rsidRPr="000455E5" w:rsidRDefault="006F68C9" w:rsidP="00B10E48">
            <w:pPr>
              <w:pStyle w:val="HR0"/>
            </w:pPr>
            <w:r w:rsidRPr="000455E5">
              <w:rPr>
                <w:rFonts w:hint="eastAsia"/>
              </w:rPr>
              <w:t>X</w:t>
            </w:r>
          </w:p>
        </w:tc>
        <w:tc>
          <w:tcPr>
            <w:tcW w:w="1558" w:type="dxa"/>
          </w:tcPr>
          <w:p w14:paraId="601E95FC" w14:textId="77777777" w:rsidR="006F68C9" w:rsidRPr="000455E5" w:rsidRDefault="006F68C9" w:rsidP="00B10E48">
            <w:pPr>
              <w:pStyle w:val="HR0"/>
            </w:pPr>
            <w:r w:rsidRPr="000455E5">
              <w:rPr>
                <w:rFonts w:hint="eastAsia"/>
              </w:rPr>
              <w:t>X</w:t>
            </w:r>
          </w:p>
        </w:tc>
        <w:tc>
          <w:tcPr>
            <w:tcW w:w="1576" w:type="dxa"/>
          </w:tcPr>
          <w:p w14:paraId="106CC86E" w14:textId="77777777" w:rsidR="006F68C9" w:rsidRPr="000455E5" w:rsidRDefault="006F68C9" w:rsidP="00B10E48">
            <w:pPr>
              <w:pStyle w:val="HR0"/>
            </w:pPr>
          </w:p>
        </w:tc>
      </w:tr>
      <w:tr w:rsidR="000455E5" w:rsidRPr="000455E5" w14:paraId="1850DC3A" w14:textId="77777777" w:rsidTr="00B10E48">
        <w:tc>
          <w:tcPr>
            <w:tcW w:w="3613" w:type="dxa"/>
          </w:tcPr>
          <w:p w14:paraId="377D8CF4" w14:textId="6CF67F74" w:rsidR="006F68C9" w:rsidRPr="000455E5" w:rsidRDefault="006F68C9" w:rsidP="00B10E48">
            <w:pPr>
              <w:pStyle w:val="HR0"/>
              <w:jc w:val="left"/>
            </w:pPr>
            <w:r w:rsidRPr="000455E5">
              <w:t xml:space="preserve">Symptom-directed </w:t>
            </w:r>
            <w:r w:rsidR="00D20B55" w:rsidRPr="000455E5">
              <w:t>p</w:t>
            </w:r>
            <w:r w:rsidRPr="000455E5">
              <w:t xml:space="preserve">hysical </w:t>
            </w:r>
            <w:r w:rsidR="00D20B55" w:rsidRPr="000455E5">
              <w:t>e</w:t>
            </w:r>
            <w:r w:rsidRPr="000455E5">
              <w:t>xam</w:t>
            </w:r>
          </w:p>
        </w:tc>
        <w:tc>
          <w:tcPr>
            <w:tcW w:w="1056" w:type="dxa"/>
          </w:tcPr>
          <w:p w14:paraId="669546B4" w14:textId="77777777" w:rsidR="006F68C9" w:rsidRPr="000455E5" w:rsidRDefault="006F68C9" w:rsidP="00B10E48">
            <w:pPr>
              <w:pStyle w:val="HR0"/>
            </w:pPr>
            <w:r w:rsidRPr="000455E5">
              <w:rPr>
                <w:rFonts w:hint="eastAsia"/>
              </w:rPr>
              <w:t>X</w:t>
            </w:r>
          </w:p>
        </w:tc>
        <w:tc>
          <w:tcPr>
            <w:tcW w:w="1216" w:type="dxa"/>
          </w:tcPr>
          <w:p w14:paraId="07C64DF9" w14:textId="77777777" w:rsidR="006F68C9" w:rsidRPr="000455E5" w:rsidRDefault="006F68C9" w:rsidP="00B10E48">
            <w:pPr>
              <w:pStyle w:val="HR0"/>
            </w:pPr>
            <w:r w:rsidRPr="000455E5">
              <w:rPr>
                <w:rFonts w:hint="eastAsia"/>
              </w:rPr>
              <w:t>X</w:t>
            </w:r>
          </w:p>
        </w:tc>
        <w:tc>
          <w:tcPr>
            <w:tcW w:w="1558" w:type="dxa"/>
          </w:tcPr>
          <w:p w14:paraId="5DA9F01E" w14:textId="77777777" w:rsidR="006F68C9" w:rsidRPr="000455E5" w:rsidRDefault="006F68C9" w:rsidP="00B10E48">
            <w:pPr>
              <w:pStyle w:val="HR0"/>
            </w:pPr>
            <w:r w:rsidRPr="000455E5">
              <w:rPr>
                <w:rFonts w:hint="eastAsia"/>
              </w:rPr>
              <w:t>X</w:t>
            </w:r>
          </w:p>
        </w:tc>
        <w:tc>
          <w:tcPr>
            <w:tcW w:w="1576" w:type="dxa"/>
          </w:tcPr>
          <w:p w14:paraId="5B6DA49C" w14:textId="77777777" w:rsidR="006F68C9" w:rsidRPr="000455E5" w:rsidRDefault="006F68C9" w:rsidP="00B10E48">
            <w:pPr>
              <w:pStyle w:val="HR0"/>
            </w:pPr>
          </w:p>
        </w:tc>
      </w:tr>
      <w:tr w:rsidR="000455E5" w:rsidRPr="000455E5" w14:paraId="5D65FF4D" w14:textId="77777777" w:rsidTr="00B10E48">
        <w:tc>
          <w:tcPr>
            <w:tcW w:w="3613" w:type="dxa"/>
          </w:tcPr>
          <w:p w14:paraId="711D5198" w14:textId="77777777" w:rsidR="006F68C9" w:rsidRPr="000455E5" w:rsidRDefault="006F68C9" w:rsidP="00B10E48">
            <w:pPr>
              <w:pStyle w:val="HR0"/>
              <w:jc w:val="left"/>
            </w:pPr>
            <w:r w:rsidRPr="000455E5">
              <w:t xml:space="preserve">Tumor tissue </w:t>
            </w:r>
            <w:r w:rsidRPr="000455E5">
              <w:rPr>
                <w:rFonts w:hint="eastAsia"/>
              </w:rPr>
              <w:t>for</w:t>
            </w:r>
            <w:r w:rsidRPr="000455E5">
              <w:t xml:space="preserve"> pathological diagnosis</w:t>
            </w:r>
          </w:p>
        </w:tc>
        <w:tc>
          <w:tcPr>
            <w:tcW w:w="1056" w:type="dxa"/>
          </w:tcPr>
          <w:p w14:paraId="0CD01AB9" w14:textId="77777777" w:rsidR="006F68C9" w:rsidRPr="000455E5" w:rsidRDefault="006F68C9" w:rsidP="00B10E48">
            <w:pPr>
              <w:pStyle w:val="HR0"/>
            </w:pPr>
            <w:r w:rsidRPr="000455E5">
              <w:rPr>
                <w:rFonts w:hint="eastAsia"/>
              </w:rPr>
              <w:t>X</w:t>
            </w:r>
          </w:p>
        </w:tc>
        <w:tc>
          <w:tcPr>
            <w:tcW w:w="1216" w:type="dxa"/>
          </w:tcPr>
          <w:p w14:paraId="269DF144" w14:textId="77777777" w:rsidR="006F68C9" w:rsidRPr="000455E5" w:rsidRDefault="006F68C9" w:rsidP="00B10E48">
            <w:pPr>
              <w:pStyle w:val="HR0"/>
            </w:pPr>
          </w:p>
        </w:tc>
        <w:tc>
          <w:tcPr>
            <w:tcW w:w="1558" w:type="dxa"/>
          </w:tcPr>
          <w:p w14:paraId="143D912D" w14:textId="77777777" w:rsidR="006F68C9" w:rsidRPr="000455E5" w:rsidRDefault="006F68C9" w:rsidP="00B10E48">
            <w:pPr>
              <w:pStyle w:val="HR0"/>
            </w:pPr>
          </w:p>
        </w:tc>
        <w:tc>
          <w:tcPr>
            <w:tcW w:w="1576" w:type="dxa"/>
          </w:tcPr>
          <w:p w14:paraId="18F72C2A" w14:textId="77777777" w:rsidR="006F68C9" w:rsidRPr="000455E5" w:rsidRDefault="006F68C9" w:rsidP="00B10E48">
            <w:pPr>
              <w:pStyle w:val="HR0"/>
            </w:pPr>
          </w:p>
        </w:tc>
      </w:tr>
      <w:tr w:rsidR="000455E5" w:rsidRPr="000455E5" w14:paraId="7C6577EA" w14:textId="77777777" w:rsidTr="00B10E48">
        <w:tc>
          <w:tcPr>
            <w:tcW w:w="3613" w:type="dxa"/>
          </w:tcPr>
          <w:p w14:paraId="2D002815" w14:textId="3D114B5C" w:rsidR="006F68C9" w:rsidRPr="000455E5" w:rsidRDefault="006F68C9" w:rsidP="00B10E48">
            <w:pPr>
              <w:pStyle w:val="HR0"/>
              <w:jc w:val="left"/>
            </w:pPr>
            <w:r w:rsidRPr="000455E5">
              <w:t>12-</w:t>
            </w:r>
            <w:r w:rsidR="00D20B55" w:rsidRPr="000455E5">
              <w:t>l</w:t>
            </w:r>
            <w:r w:rsidRPr="000455E5">
              <w:t xml:space="preserve">ead </w:t>
            </w:r>
            <w:r w:rsidR="00D20B55" w:rsidRPr="000455E5">
              <w:t>e</w:t>
            </w:r>
            <w:r w:rsidRPr="000455E5">
              <w:t>lectrocardiogram (ECG)</w:t>
            </w:r>
          </w:p>
        </w:tc>
        <w:tc>
          <w:tcPr>
            <w:tcW w:w="1056" w:type="dxa"/>
          </w:tcPr>
          <w:p w14:paraId="7A0E71CF" w14:textId="77777777" w:rsidR="006F68C9" w:rsidRPr="000455E5" w:rsidRDefault="006F68C9" w:rsidP="00B10E48">
            <w:pPr>
              <w:pStyle w:val="HR0"/>
            </w:pPr>
            <w:r w:rsidRPr="000455E5">
              <w:rPr>
                <w:rFonts w:hint="eastAsia"/>
              </w:rPr>
              <w:t>X</w:t>
            </w:r>
          </w:p>
        </w:tc>
        <w:tc>
          <w:tcPr>
            <w:tcW w:w="1216" w:type="dxa"/>
          </w:tcPr>
          <w:p w14:paraId="17311DA5" w14:textId="77777777" w:rsidR="006F68C9" w:rsidRPr="000455E5" w:rsidRDefault="006F68C9" w:rsidP="00B10E48">
            <w:pPr>
              <w:pStyle w:val="HR0"/>
            </w:pPr>
            <w:r w:rsidRPr="000455E5">
              <w:rPr>
                <w:rFonts w:hint="eastAsia"/>
              </w:rPr>
              <w:t>X</w:t>
            </w:r>
          </w:p>
        </w:tc>
        <w:tc>
          <w:tcPr>
            <w:tcW w:w="1558" w:type="dxa"/>
          </w:tcPr>
          <w:p w14:paraId="524AF7C4" w14:textId="77777777" w:rsidR="006F68C9" w:rsidRPr="000455E5" w:rsidRDefault="006F68C9" w:rsidP="00B10E48">
            <w:pPr>
              <w:pStyle w:val="HR0"/>
            </w:pPr>
            <w:r w:rsidRPr="000455E5">
              <w:rPr>
                <w:rFonts w:hint="eastAsia"/>
              </w:rPr>
              <w:t>X</w:t>
            </w:r>
          </w:p>
        </w:tc>
        <w:tc>
          <w:tcPr>
            <w:tcW w:w="1576" w:type="dxa"/>
          </w:tcPr>
          <w:p w14:paraId="210FF638" w14:textId="77777777" w:rsidR="006F68C9" w:rsidRPr="000455E5" w:rsidRDefault="006F68C9" w:rsidP="00B10E48">
            <w:pPr>
              <w:pStyle w:val="HR0"/>
            </w:pPr>
          </w:p>
        </w:tc>
      </w:tr>
      <w:tr w:rsidR="000455E5" w:rsidRPr="000455E5" w14:paraId="2FA3B0C0" w14:textId="77777777" w:rsidTr="00B10E48">
        <w:tc>
          <w:tcPr>
            <w:tcW w:w="3613" w:type="dxa"/>
          </w:tcPr>
          <w:p w14:paraId="5BB64757" w14:textId="77777777" w:rsidR="006F68C9" w:rsidRPr="000455E5" w:rsidRDefault="006F68C9" w:rsidP="00B10E48">
            <w:pPr>
              <w:pStyle w:val="HR0"/>
              <w:jc w:val="left"/>
            </w:pPr>
            <w:r w:rsidRPr="000455E5">
              <w:t>Chest X-ray</w:t>
            </w:r>
          </w:p>
        </w:tc>
        <w:tc>
          <w:tcPr>
            <w:tcW w:w="1056" w:type="dxa"/>
          </w:tcPr>
          <w:p w14:paraId="7ADBADD8" w14:textId="77777777" w:rsidR="006F68C9" w:rsidRPr="000455E5" w:rsidRDefault="006F68C9" w:rsidP="00B10E48">
            <w:pPr>
              <w:pStyle w:val="HR0"/>
            </w:pPr>
          </w:p>
        </w:tc>
        <w:tc>
          <w:tcPr>
            <w:tcW w:w="1216" w:type="dxa"/>
          </w:tcPr>
          <w:p w14:paraId="58A91E1F" w14:textId="77777777" w:rsidR="006F68C9" w:rsidRPr="000455E5" w:rsidRDefault="006F68C9" w:rsidP="00B10E48">
            <w:pPr>
              <w:pStyle w:val="HR0"/>
            </w:pPr>
            <w:r w:rsidRPr="000455E5">
              <w:t>If clinically indicated</w:t>
            </w:r>
          </w:p>
        </w:tc>
        <w:tc>
          <w:tcPr>
            <w:tcW w:w="1558" w:type="dxa"/>
          </w:tcPr>
          <w:p w14:paraId="6AF55F67" w14:textId="77777777" w:rsidR="006F68C9" w:rsidRPr="000455E5" w:rsidRDefault="006F68C9" w:rsidP="00B10E48">
            <w:pPr>
              <w:pStyle w:val="HR0"/>
            </w:pPr>
          </w:p>
        </w:tc>
        <w:tc>
          <w:tcPr>
            <w:tcW w:w="1576" w:type="dxa"/>
          </w:tcPr>
          <w:p w14:paraId="6259F1F2" w14:textId="77777777" w:rsidR="006F68C9" w:rsidRPr="000455E5" w:rsidRDefault="006F68C9" w:rsidP="00B10E48">
            <w:pPr>
              <w:pStyle w:val="HR0"/>
            </w:pPr>
          </w:p>
        </w:tc>
      </w:tr>
      <w:tr w:rsidR="000455E5" w:rsidRPr="000455E5" w14:paraId="464F7152" w14:textId="77777777" w:rsidTr="00B10E48">
        <w:tc>
          <w:tcPr>
            <w:tcW w:w="3613" w:type="dxa"/>
          </w:tcPr>
          <w:p w14:paraId="35C07571" w14:textId="77777777" w:rsidR="006F68C9" w:rsidRPr="000455E5" w:rsidRDefault="006F68C9" w:rsidP="00B10E48">
            <w:pPr>
              <w:pStyle w:val="HR0"/>
              <w:jc w:val="left"/>
            </w:pPr>
            <w:r w:rsidRPr="000455E5">
              <w:t>LVEF by ECHO</w:t>
            </w:r>
          </w:p>
        </w:tc>
        <w:tc>
          <w:tcPr>
            <w:tcW w:w="1056" w:type="dxa"/>
          </w:tcPr>
          <w:p w14:paraId="336632AA" w14:textId="77777777" w:rsidR="006F68C9" w:rsidRPr="000455E5" w:rsidRDefault="006F68C9" w:rsidP="00B10E48">
            <w:pPr>
              <w:pStyle w:val="HR0"/>
            </w:pPr>
            <w:r w:rsidRPr="000455E5">
              <w:rPr>
                <w:rFonts w:hint="eastAsia"/>
              </w:rPr>
              <w:t>X</w:t>
            </w:r>
          </w:p>
        </w:tc>
        <w:tc>
          <w:tcPr>
            <w:tcW w:w="1216" w:type="dxa"/>
          </w:tcPr>
          <w:p w14:paraId="72B26997" w14:textId="77777777" w:rsidR="006F68C9" w:rsidRPr="000455E5" w:rsidRDefault="006F68C9" w:rsidP="00B10E48">
            <w:pPr>
              <w:pStyle w:val="HR0"/>
            </w:pPr>
            <w:r w:rsidRPr="000455E5">
              <w:rPr>
                <w:rFonts w:hint="eastAsia"/>
              </w:rPr>
              <w:t>X</w:t>
            </w:r>
          </w:p>
        </w:tc>
        <w:tc>
          <w:tcPr>
            <w:tcW w:w="1558" w:type="dxa"/>
          </w:tcPr>
          <w:p w14:paraId="4189AAC9" w14:textId="77777777" w:rsidR="006F68C9" w:rsidRPr="000455E5" w:rsidRDefault="006F68C9" w:rsidP="00B10E48">
            <w:pPr>
              <w:pStyle w:val="HR0"/>
            </w:pPr>
            <w:r w:rsidRPr="000455E5">
              <w:rPr>
                <w:rFonts w:hint="eastAsia"/>
              </w:rPr>
              <w:t>X</w:t>
            </w:r>
          </w:p>
        </w:tc>
        <w:tc>
          <w:tcPr>
            <w:tcW w:w="1576" w:type="dxa"/>
          </w:tcPr>
          <w:p w14:paraId="5969AE45" w14:textId="77777777" w:rsidR="006F68C9" w:rsidRPr="000455E5" w:rsidRDefault="006F68C9" w:rsidP="00B10E48">
            <w:pPr>
              <w:pStyle w:val="HR0"/>
            </w:pPr>
          </w:p>
        </w:tc>
      </w:tr>
      <w:tr w:rsidR="000455E5" w:rsidRPr="000455E5" w14:paraId="37FCEA5F" w14:textId="77777777" w:rsidTr="00B10E48">
        <w:tc>
          <w:tcPr>
            <w:tcW w:w="3613" w:type="dxa"/>
          </w:tcPr>
          <w:p w14:paraId="70BB31F9" w14:textId="5B84EABA" w:rsidR="006F68C9" w:rsidRPr="000455E5" w:rsidRDefault="006F68C9" w:rsidP="00B10E48">
            <w:pPr>
              <w:pStyle w:val="HR0"/>
              <w:jc w:val="left"/>
            </w:pPr>
            <w:r w:rsidRPr="000455E5">
              <w:t xml:space="preserve">Tumor </w:t>
            </w:r>
            <w:r w:rsidR="00D20B55" w:rsidRPr="000455E5">
              <w:t>a</w:t>
            </w:r>
            <w:r w:rsidRPr="000455E5">
              <w:t>ssessments</w:t>
            </w:r>
          </w:p>
        </w:tc>
        <w:tc>
          <w:tcPr>
            <w:tcW w:w="1056" w:type="dxa"/>
          </w:tcPr>
          <w:p w14:paraId="58791FD5" w14:textId="77777777" w:rsidR="006F68C9" w:rsidRPr="000455E5" w:rsidRDefault="006F68C9" w:rsidP="00B10E48">
            <w:pPr>
              <w:pStyle w:val="HR0"/>
            </w:pPr>
            <w:r w:rsidRPr="000455E5">
              <w:rPr>
                <w:rFonts w:hint="eastAsia"/>
              </w:rPr>
              <w:t>X</w:t>
            </w:r>
          </w:p>
        </w:tc>
        <w:tc>
          <w:tcPr>
            <w:tcW w:w="1216" w:type="dxa"/>
          </w:tcPr>
          <w:p w14:paraId="39C70A51" w14:textId="77777777" w:rsidR="006F68C9" w:rsidRPr="000455E5" w:rsidRDefault="006F68C9" w:rsidP="00B10E48">
            <w:pPr>
              <w:pStyle w:val="HR0"/>
            </w:pPr>
            <w:r w:rsidRPr="000455E5">
              <w:rPr>
                <w:rFonts w:hint="eastAsia"/>
              </w:rPr>
              <w:t>X</w:t>
            </w:r>
          </w:p>
        </w:tc>
        <w:tc>
          <w:tcPr>
            <w:tcW w:w="1558" w:type="dxa"/>
          </w:tcPr>
          <w:p w14:paraId="23E39A66" w14:textId="77777777" w:rsidR="006F68C9" w:rsidRPr="000455E5" w:rsidRDefault="006F68C9" w:rsidP="00B10E48">
            <w:pPr>
              <w:pStyle w:val="HR0"/>
            </w:pPr>
            <w:r w:rsidRPr="000455E5">
              <w:rPr>
                <w:rFonts w:hint="eastAsia"/>
              </w:rPr>
              <w:t>X</w:t>
            </w:r>
          </w:p>
        </w:tc>
        <w:tc>
          <w:tcPr>
            <w:tcW w:w="1576" w:type="dxa"/>
          </w:tcPr>
          <w:p w14:paraId="6DA6EDC7" w14:textId="77777777" w:rsidR="006F68C9" w:rsidRPr="000455E5" w:rsidRDefault="006F68C9" w:rsidP="00B10E48">
            <w:pPr>
              <w:pStyle w:val="HR0"/>
            </w:pPr>
          </w:p>
        </w:tc>
      </w:tr>
      <w:tr w:rsidR="000455E5" w:rsidRPr="000455E5" w14:paraId="003995BE" w14:textId="77777777" w:rsidTr="00B10E48">
        <w:tc>
          <w:tcPr>
            <w:tcW w:w="3613" w:type="dxa"/>
          </w:tcPr>
          <w:p w14:paraId="7CB81ABF" w14:textId="77777777" w:rsidR="006F68C9" w:rsidRPr="000455E5" w:rsidRDefault="006F68C9" w:rsidP="00B10E48">
            <w:pPr>
              <w:pStyle w:val="HR0"/>
              <w:jc w:val="left"/>
            </w:pPr>
            <w:r w:rsidRPr="000455E5">
              <w:rPr>
                <w:rFonts w:hint="eastAsia"/>
              </w:rPr>
              <w:t>T</w:t>
            </w:r>
            <w:r w:rsidRPr="000455E5">
              <w:t>reatment</w:t>
            </w:r>
          </w:p>
        </w:tc>
        <w:tc>
          <w:tcPr>
            <w:tcW w:w="1056" w:type="dxa"/>
          </w:tcPr>
          <w:p w14:paraId="3DE7023B" w14:textId="77777777" w:rsidR="006F68C9" w:rsidRPr="000455E5" w:rsidRDefault="006F68C9" w:rsidP="00B10E48">
            <w:pPr>
              <w:pStyle w:val="HR0"/>
            </w:pPr>
          </w:p>
        </w:tc>
        <w:tc>
          <w:tcPr>
            <w:tcW w:w="1216" w:type="dxa"/>
          </w:tcPr>
          <w:p w14:paraId="624D5A30" w14:textId="77777777" w:rsidR="006F68C9" w:rsidRPr="000455E5" w:rsidRDefault="006F68C9" w:rsidP="00B10E48">
            <w:pPr>
              <w:pStyle w:val="HR0"/>
            </w:pPr>
            <w:r w:rsidRPr="000455E5">
              <w:rPr>
                <w:rFonts w:hint="eastAsia"/>
              </w:rPr>
              <w:t>X</w:t>
            </w:r>
          </w:p>
        </w:tc>
        <w:tc>
          <w:tcPr>
            <w:tcW w:w="1558" w:type="dxa"/>
          </w:tcPr>
          <w:p w14:paraId="4C89CB96" w14:textId="77777777" w:rsidR="006F68C9" w:rsidRPr="000455E5" w:rsidRDefault="006F68C9" w:rsidP="00B10E48">
            <w:pPr>
              <w:pStyle w:val="HR0"/>
            </w:pPr>
          </w:p>
        </w:tc>
        <w:tc>
          <w:tcPr>
            <w:tcW w:w="1576" w:type="dxa"/>
          </w:tcPr>
          <w:p w14:paraId="5D5425C3" w14:textId="77777777" w:rsidR="006F68C9" w:rsidRPr="000455E5" w:rsidRDefault="006F68C9" w:rsidP="00B10E48">
            <w:pPr>
              <w:pStyle w:val="HR0"/>
            </w:pPr>
          </w:p>
        </w:tc>
      </w:tr>
      <w:tr w:rsidR="000455E5" w:rsidRPr="000455E5" w14:paraId="43DFBA49" w14:textId="77777777" w:rsidTr="00B10E48">
        <w:tc>
          <w:tcPr>
            <w:tcW w:w="3613" w:type="dxa"/>
          </w:tcPr>
          <w:p w14:paraId="3C323CB7" w14:textId="18476821" w:rsidR="006F68C9" w:rsidRPr="000455E5" w:rsidRDefault="006F68C9" w:rsidP="00B10E48">
            <w:pPr>
              <w:pStyle w:val="HR0"/>
              <w:jc w:val="left"/>
            </w:pPr>
            <w:r w:rsidRPr="000455E5">
              <w:t xml:space="preserve">Hematology and </w:t>
            </w:r>
            <w:r w:rsidR="00D20B55" w:rsidRPr="000455E5">
              <w:t>b</w:t>
            </w:r>
            <w:r w:rsidRPr="000455E5">
              <w:t xml:space="preserve">lood </w:t>
            </w:r>
            <w:r w:rsidR="00D20B55" w:rsidRPr="000455E5">
              <w:t>c</w:t>
            </w:r>
            <w:r w:rsidRPr="000455E5">
              <w:t>hemistry</w:t>
            </w:r>
          </w:p>
        </w:tc>
        <w:tc>
          <w:tcPr>
            <w:tcW w:w="1056" w:type="dxa"/>
          </w:tcPr>
          <w:p w14:paraId="6E501624" w14:textId="77777777" w:rsidR="006F68C9" w:rsidRPr="000455E5" w:rsidRDefault="006F68C9" w:rsidP="00B10E48">
            <w:pPr>
              <w:pStyle w:val="HR0"/>
            </w:pPr>
            <w:r w:rsidRPr="000455E5">
              <w:rPr>
                <w:rFonts w:hint="eastAsia"/>
              </w:rPr>
              <w:t>X</w:t>
            </w:r>
          </w:p>
        </w:tc>
        <w:tc>
          <w:tcPr>
            <w:tcW w:w="1216" w:type="dxa"/>
          </w:tcPr>
          <w:p w14:paraId="116E4D41" w14:textId="77777777" w:rsidR="006F68C9" w:rsidRPr="000455E5" w:rsidRDefault="006F68C9" w:rsidP="00B10E48">
            <w:pPr>
              <w:pStyle w:val="HR0"/>
            </w:pPr>
            <w:r w:rsidRPr="000455E5">
              <w:rPr>
                <w:rFonts w:hint="eastAsia"/>
              </w:rPr>
              <w:t>X</w:t>
            </w:r>
          </w:p>
        </w:tc>
        <w:tc>
          <w:tcPr>
            <w:tcW w:w="1558" w:type="dxa"/>
          </w:tcPr>
          <w:p w14:paraId="4F9678ED" w14:textId="77777777" w:rsidR="006F68C9" w:rsidRPr="000455E5" w:rsidRDefault="006F68C9" w:rsidP="00B10E48">
            <w:pPr>
              <w:pStyle w:val="HR0"/>
            </w:pPr>
            <w:r w:rsidRPr="000455E5">
              <w:rPr>
                <w:rFonts w:hint="eastAsia"/>
              </w:rPr>
              <w:t>X</w:t>
            </w:r>
          </w:p>
        </w:tc>
        <w:tc>
          <w:tcPr>
            <w:tcW w:w="1576" w:type="dxa"/>
          </w:tcPr>
          <w:p w14:paraId="5AA9EC6B" w14:textId="77777777" w:rsidR="006F68C9" w:rsidRPr="000455E5" w:rsidRDefault="006F68C9" w:rsidP="00B10E48">
            <w:pPr>
              <w:pStyle w:val="HR0"/>
            </w:pPr>
          </w:p>
        </w:tc>
      </w:tr>
      <w:tr w:rsidR="000455E5" w:rsidRPr="000455E5" w14:paraId="6B4BF10F" w14:textId="77777777" w:rsidTr="00B10E48">
        <w:tc>
          <w:tcPr>
            <w:tcW w:w="3613" w:type="dxa"/>
          </w:tcPr>
          <w:p w14:paraId="78FA4E32" w14:textId="067265D3" w:rsidR="006F68C9" w:rsidRPr="000455E5" w:rsidRDefault="006F68C9" w:rsidP="00B10E48">
            <w:pPr>
              <w:pStyle w:val="HR0"/>
              <w:jc w:val="left"/>
            </w:pPr>
            <w:r w:rsidRPr="000455E5">
              <w:t xml:space="preserve">Pregnancy </w:t>
            </w:r>
            <w:r w:rsidR="00D20B55" w:rsidRPr="000455E5">
              <w:t>t</w:t>
            </w:r>
            <w:r w:rsidRPr="000455E5">
              <w:t>est</w:t>
            </w:r>
          </w:p>
        </w:tc>
        <w:tc>
          <w:tcPr>
            <w:tcW w:w="1056" w:type="dxa"/>
          </w:tcPr>
          <w:p w14:paraId="3596BF8A" w14:textId="77777777" w:rsidR="006F68C9" w:rsidRPr="000455E5" w:rsidRDefault="006F68C9" w:rsidP="00B10E48">
            <w:pPr>
              <w:pStyle w:val="HR0"/>
            </w:pPr>
            <w:r w:rsidRPr="000455E5">
              <w:rPr>
                <w:rFonts w:hint="eastAsia"/>
              </w:rPr>
              <w:t>X</w:t>
            </w:r>
          </w:p>
        </w:tc>
        <w:tc>
          <w:tcPr>
            <w:tcW w:w="1216" w:type="dxa"/>
          </w:tcPr>
          <w:p w14:paraId="733ECFD8" w14:textId="77777777" w:rsidR="006F68C9" w:rsidRPr="000455E5" w:rsidRDefault="006F68C9" w:rsidP="00B10E48">
            <w:pPr>
              <w:pStyle w:val="HR0"/>
            </w:pPr>
          </w:p>
        </w:tc>
        <w:tc>
          <w:tcPr>
            <w:tcW w:w="1558" w:type="dxa"/>
          </w:tcPr>
          <w:p w14:paraId="4BB892F2" w14:textId="77777777" w:rsidR="006F68C9" w:rsidRPr="000455E5" w:rsidRDefault="006F68C9" w:rsidP="00B10E48">
            <w:pPr>
              <w:pStyle w:val="HR0"/>
            </w:pPr>
            <w:r w:rsidRPr="000455E5">
              <w:rPr>
                <w:rFonts w:hint="eastAsia"/>
              </w:rPr>
              <w:t>X</w:t>
            </w:r>
          </w:p>
        </w:tc>
        <w:tc>
          <w:tcPr>
            <w:tcW w:w="1576" w:type="dxa"/>
          </w:tcPr>
          <w:p w14:paraId="02EA22F6" w14:textId="77777777" w:rsidR="006F68C9" w:rsidRPr="000455E5" w:rsidRDefault="006F68C9" w:rsidP="00B10E48">
            <w:pPr>
              <w:pStyle w:val="HR0"/>
            </w:pPr>
          </w:p>
        </w:tc>
      </w:tr>
      <w:tr w:rsidR="000455E5" w:rsidRPr="000455E5" w14:paraId="51E10A71" w14:textId="77777777" w:rsidTr="00B10E48">
        <w:tc>
          <w:tcPr>
            <w:tcW w:w="3613" w:type="dxa"/>
          </w:tcPr>
          <w:p w14:paraId="5B6BC768" w14:textId="77777777" w:rsidR="006F68C9" w:rsidRPr="000455E5" w:rsidRDefault="006F68C9" w:rsidP="00B10E48">
            <w:pPr>
              <w:pStyle w:val="HR0"/>
              <w:jc w:val="left"/>
            </w:pPr>
            <w:r w:rsidRPr="000455E5">
              <w:t xml:space="preserve">INR and </w:t>
            </w:r>
            <w:proofErr w:type="spellStart"/>
            <w:r w:rsidRPr="000455E5">
              <w:t>aPTT</w:t>
            </w:r>
            <w:proofErr w:type="spellEnd"/>
          </w:p>
        </w:tc>
        <w:tc>
          <w:tcPr>
            <w:tcW w:w="1056" w:type="dxa"/>
          </w:tcPr>
          <w:p w14:paraId="50CDD465" w14:textId="77777777" w:rsidR="006F68C9" w:rsidRPr="000455E5" w:rsidRDefault="006F68C9" w:rsidP="00B10E48">
            <w:pPr>
              <w:pStyle w:val="HR0"/>
            </w:pPr>
            <w:r w:rsidRPr="000455E5">
              <w:rPr>
                <w:rFonts w:hint="eastAsia"/>
              </w:rPr>
              <w:t>X</w:t>
            </w:r>
          </w:p>
        </w:tc>
        <w:tc>
          <w:tcPr>
            <w:tcW w:w="1216" w:type="dxa"/>
          </w:tcPr>
          <w:p w14:paraId="035A0AF3" w14:textId="77777777" w:rsidR="006F68C9" w:rsidRPr="000455E5" w:rsidRDefault="006F68C9" w:rsidP="00B10E48">
            <w:pPr>
              <w:pStyle w:val="HR0"/>
            </w:pPr>
            <w:r w:rsidRPr="000455E5">
              <w:rPr>
                <w:rFonts w:hint="eastAsia"/>
              </w:rPr>
              <w:t>X</w:t>
            </w:r>
          </w:p>
        </w:tc>
        <w:tc>
          <w:tcPr>
            <w:tcW w:w="1558" w:type="dxa"/>
          </w:tcPr>
          <w:p w14:paraId="3062C11A" w14:textId="77777777" w:rsidR="006F68C9" w:rsidRPr="000455E5" w:rsidRDefault="006F68C9" w:rsidP="00B10E48">
            <w:pPr>
              <w:pStyle w:val="HR0"/>
            </w:pPr>
            <w:r w:rsidRPr="000455E5">
              <w:rPr>
                <w:rFonts w:hint="eastAsia"/>
              </w:rPr>
              <w:t>X</w:t>
            </w:r>
          </w:p>
        </w:tc>
        <w:tc>
          <w:tcPr>
            <w:tcW w:w="1576" w:type="dxa"/>
          </w:tcPr>
          <w:p w14:paraId="5796DE75" w14:textId="77777777" w:rsidR="006F68C9" w:rsidRPr="000455E5" w:rsidRDefault="006F68C9" w:rsidP="00B10E48">
            <w:pPr>
              <w:pStyle w:val="HR0"/>
            </w:pPr>
          </w:p>
        </w:tc>
      </w:tr>
      <w:tr w:rsidR="000455E5" w:rsidRPr="000455E5" w14:paraId="6D915D29" w14:textId="77777777" w:rsidTr="00B10E48">
        <w:tc>
          <w:tcPr>
            <w:tcW w:w="3613" w:type="dxa"/>
          </w:tcPr>
          <w:p w14:paraId="415A6605" w14:textId="6F382975" w:rsidR="006F68C9" w:rsidRPr="000455E5" w:rsidRDefault="006F68C9" w:rsidP="00B10E48">
            <w:pPr>
              <w:pStyle w:val="HR0"/>
              <w:jc w:val="left"/>
            </w:pPr>
            <w:r w:rsidRPr="000455E5">
              <w:t xml:space="preserve">Serum </w:t>
            </w:r>
            <w:r w:rsidR="00D20B55" w:rsidRPr="000455E5">
              <w:t>and p</w:t>
            </w:r>
            <w:r w:rsidRPr="000455E5">
              <w:t>lasma for biomarker analysis</w:t>
            </w:r>
          </w:p>
        </w:tc>
        <w:tc>
          <w:tcPr>
            <w:tcW w:w="1056" w:type="dxa"/>
          </w:tcPr>
          <w:p w14:paraId="4408A6E8" w14:textId="77777777" w:rsidR="006F68C9" w:rsidRPr="000455E5" w:rsidRDefault="006F68C9" w:rsidP="00B10E48">
            <w:pPr>
              <w:pStyle w:val="HR0"/>
            </w:pPr>
            <w:r w:rsidRPr="000455E5">
              <w:rPr>
                <w:rFonts w:hint="eastAsia"/>
              </w:rPr>
              <w:t>X</w:t>
            </w:r>
          </w:p>
        </w:tc>
        <w:tc>
          <w:tcPr>
            <w:tcW w:w="1216" w:type="dxa"/>
          </w:tcPr>
          <w:p w14:paraId="1AF7EB00" w14:textId="77777777" w:rsidR="006F68C9" w:rsidRPr="000455E5" w:rsidRDefault="006F68C9" w:rsidP="00B10E48">
            <w:pPr>
              <w:pStyle w:val="HR0"/>
            </w:pPr>
            <w:r w:rsidRPr="000455E5">
              <w:rPr>
                <w:rFonts w:hint="eastAsia"/>
              </w:rPr>
              <w:t>X</w:t>
            </w:r>
          </w:p>
        </w:tc>
        <w:tc>
          <w:tcPr>
            <w:tcW w:w="1558" w:type="dxa"/>
          </w:tcPr>
          <w:p w14:paraId="33FF14E0" w14:textId="77777777" w:rsidR="006F68C9" w:rsidRPr="000455E5" w:rsidRDefault="006F68C9" w:rsidP="00B10E48">
            <w:pPr>
              <w:pStyle w:val="HR0"/>
            </w:pPr>
            <w:r w:rsidRPr="000455E5">
              <w:rPr>
                <w:rFonts w:hint="eastAsia"/>
              </w:rPr>
              <w:t>X</w:t>
            </w:r>
          </w:p>
        </w:tc>
        <w:tc>
          <w:tcPr>
            <w:tcW w:w="1576" w:type="dxa"/>
          </w:tcPr>
          <w:p w14:paraId="5BD09FDA" w14:textId="77777777" w:rsidR="006F68C9" w:rsidRPr="000455E5" w:rsidRDefault="006F68C9" w:rsidP="00B10E48">
            <w:pPr>
              <w:pStyle w:val="HR0"/>
            </w:pPr>
          </w:p>
        </w:tc>
      </w:tr>
      <w:tr w:rsidR="000455E5" w:rsidRPr="000455E5" w14:paraId="1A5F5CE3" w14:textId="77777777" w:rsidTr="00B10E48">
        <w:tc>
          <w:tcPr>
            <w:tcW w:w="3613" w:type="dxa"/>
          </w:tcPr>
          <w:p w14:paraId="7CAFEE78" w14:textId="589B6251" w:rsidR="006F68C9" w:rsidRPr="000455E5" w:rsidRDefault="006F68C9" w:rsidP="00B10E48">
            <w:pPr>
              <w:pStyle w:val="HR0"/>
              <w:jc w:val="left"/>
            </w:pPr>
            <w:r w:rsidRPr="000455E5">
              <w:t>Tumor tissue for biomarker analyses</w:t>
            </w:r>
          </w:p>
        </w:tc>
        <w:tc>
          <w:tcPr>
            <w:tcW w:w="1056" w:type="dxa"/>
          </w:tcPr>
          <w:p w14:paraId="045C661C" w14:textId="77777777" w:rsidR="006F68C9" w:rsidRPr="000455E5" w:rsidRDefault="006F68C9" w:rsidP="00B10E48">
            <w:pPr>
              <w:pStyle w:val="HR0"/>
            </w:pPr>
            <w:r w:rsidRPr="000455E5">
              <w:rPr>
                <w:rFonts w:hint="eastAsia"/>
              </w:rPr>
              <w:t>X</w:t>
            </w:r>
          </w:p>
        </w:tc>
        <w:tc>
          <w:tcPr>
            <w:tcW w:w="1216" w:type="dxa"/>
          </w:tcPr>
          <w:p w14:paraId="67C60507" w14:textId="77777777" w:rsidR="006F68C9" w:rsidRPr="000455E5" w:rsidRDefault="006F68C9" w:rsidP="00B10E48">
            <w:pPr>
              <w:pStyle w:val="HR0"/>
            </w:pPr>
          </w:p>
        </w:tc>
        <w:tc>
          <w:tcPr>
            <w:tcW w:w="1558" w:type="dxa"/>
          </w:tcPr>
          <w:p w14:paraId="32BBDAF9" w14:textId="77777777" w:rsidR="006F68C9" w:rsidRPr="000455E5" w:rsidRDefault="006F68C9" w:rsidP="00B10E48">
            <w:pPr>
              <w:pStyle w:val="HR0"/>
            </w:pPr>
          </w:p>
        </w:tc>
        <w:tc>
          <w:tcPr>
            <w:tcW w:w="1576" w:type="dxa"/>
          </w:tcPr>
          <w:p w14:paraId="6BCC5ED7" w14:textId="77777777" w:rsidR="006F68C9" w:rsidRPr="000455E5" w:rsidRDefault="006F68C9" w:rsidP="00B10E48">
            <w:pPr>
              <w:pStyle w:val="HR0"/>
            </w:pPr>
          </w:p>
        </w:tc>
      </w:tr>
      <w:tr w:rsidR="000455E5" w:rsidRPr="000455E5" w14:paraId="0C442B07" w14:textId="77777777" w:rsidTr="00B10E48">
        <w:tc>
          <w:tcPr>
            <w:tcW w:w="3613" w:type="dxa"/>
          </w:tcPr>
          <w:p w14:paraId="577B30D4" w14:textId="77777777" w:rsidR="006F68C9" w:rsidRPr="000455E5" w:rsidRDefault="006F68C9" w:rsidP="00B10E48">
            <w:pPr>
              <w:pStyle w:val="HR0"/>
              <w:jc w:val="left"/>
            </w:pPr>
            <w:r w:rsidRPr="000455E5">
              <w:t>Estradiol</w:t>
            </w:r>
          </w:p>
        </w:tc>
        <w:tc>
          <w:tcPr>
            <w:tcW w:w="1056" w:type="dxa"/>
          </w:tcPr>
          <w:p w14:paraId="2C0D0FFB" w14:textId="77777777" w:rsidR="006F68C9" w:rsidRPr="000455E5" w:rsidRDefault="006F68C9" w:rsidP="00B10E48">
            <w:pPr>
              <w:pStyle w:val="HR0"/>
            </w:pPr>
            <w:r w:rsidRPr="000455E5">
              <w:rPr>
                <w:rFonts w:hint="eastAsia"/>
              </w:rPr>
              <w:t>X</w:t>
            </w:r>
          </w:p>
        </w:tc>
        <w:tc>
          <w:tcPr>
            <w:tcW w:w="1216" w:type="dxa"/>
          </w:tcPr>
          <w:p w14:paraId="0C2AD74B" w14:textId="77777777" w:rsidR="006F68C9" w:rsidRPr="000455E5" w:rsidRDefault="006F68C9" w:rsidP="00B10E48">
            <w:pPr>
              <w:pStyle w:val="HR0"/>
            </w:pPr>
            <w:r w:rsidRPr="000455E5">
              <w:rPr>
                <w:rFonts w:hint="eastAsia"/>
              </w:rPr>
              <w:t>X</w:t>
            </w:r>
          </w:p>
        </w:tc>
        <w:tc>
          <w:tcPr>
            <w:tcW w:w="1558" w:type="dxa"/>
          </w:tcPr>
          <w:p w14:paraId="62921A2E" w14:textId="77777777" w:rsidR="006F68C9" w:rsidRPr="000455E5" w:rsidRDefault="006F68C9" w:rsidP="00B10E48">
            <w:pPr>
              <w:pStyle w:val="HR0"/>
            </w:pPr>
          </w:p>
        </w:tc>
        <w:tc>
          <w:tcPr>
            <w:tcW w:w="1576" w:type="dxa"/>
          </w:tcPr>
          <w:p w14:paraId="1A0350EC" w14:textId="77777777" w:rsidR="006F68C9" w:rsidRPr="000455E5" w:rsidRDefault="006F68C9" w:rsidP="00B10E48">
            <w:pPr>
              <w:pStyle w:val="HR0"/>
            </w:pPr>
          </w:p>
        </w:tc>
      </w:tr>
      <w:tr w:rsidR="000455E5" w:rsidRPr="000455E5" w14:paraId="7E227AC0" w14:textId="77777777" w:rsidTr="00B10E48">
        <w:tc>
          <w:tcPr>
            <w:tcW w:w="3613" w:type="dxa"/>
          </w:tcPr>
          <w:p w14:paraId="2E337559" w14:textId="5C179E28" w:rsidR="006F68C9" w:rsidRPr="000455E5" w:rsidRDefault="006F68C9" w:rsidP="00B10E48">
            <w:pPr>
              <w:pStyle w:val="HR0"/>
              <w:jc w:val="left"/>
            </w:pPr>
            <w:r w:rsidRPr="000455E5">
              <w:t xml:space="preserve">Bone </w:t>
            </w:r>
            <w:r w:rsidR="00D20B55" w:rsidRPr="000455E5">
              <w:t>s</w:t>
            </w:r>
            <w:r w:rsidRPr="000455E5">
              <w:t>can</w:t>
            </w:r>
          </w:p>
        </w:tc>
        <w:tc>
          <w:tcPr>
            <w:tcW w:w="1056" w:type="dxa"/>
          </w:tcPr>
          <w:p w14:paraId="0729ADF4" w14:textId="77777777" w:rsidR="006F68C9" w:rsidRPr="000455E5" w:rsidRDefault="006F68C9" w:rsidP="00B10E48">
            <w:pPr>
              <w:pStyle w:val="HR0"/>
            </w:pPr>
          </w:p>
        </w:tc>
        <w:tc>
          <w:tcPr>
            <w:tcW w:w="1216" w:type="dxa"/>
          </w:tcPr>
          <w:p w14:paraId="65031C37" w14:textId="77777777" w:rsidR="006F68C9" w:rsidRPr="000455E5" w:rsidRDefault="006F68C9" w:rsidP="00B10E48">
            <w:pPr>
              <w:pStyle w:val="HR0"/>
            </w:pPr>
            <w:r w:rsidRPr="000455E5">
              <w:t>If clinically indicated</w:t>
            </w:r>
          </w:p>
        </w:tc>
        <w:tc>
          <w:tcPr>
            <w:tcW w:w="1558" w:type="dxa"/>
          </w:tcPr>
          <w:p w14:paraId="435E5B1F" w14:textId="77777777" w:rsidR="006F68C9" w:rsidRPr="000455E5" w:rsidRDefault="006F68C9" w:rsidP="00B10E48">
            <w:pPr>
              <w:pStyle w:val="HR0"/>
            </w:pPr>
          </w:p>
        </w:tc>
        <w:tc>
          <w:tcPr>
            <w:tcW w:w="1576" w:type="dxa"/>
          </w:tcPr>
          <w:p w14:paraId="15DA98BE" w14:textId="77777777" w:rsidR="006F68C9" w:rsidRPr="000455E5" w:rsidRDefault="006F68C9" w:rsidP="00B10E48">
            <w:pPr>
              <w:pStyle w:val="HR0"/>
            </w:pPr>
          </w:p>
        </w:tc>
      </w:tr>
      <w:tr w:rsidR="000455E5" w:rsidRPr="000455E5" w14:paraId="770A9DFC" w14:textId="77777777" w:rsidTr="00B10E48">
        <w:tc>
          <w:tcPr>
            <w:tcW w:w="3613" w:type="dxa"/>
          </w:tcPr>
          <w:p w14:paraId="0BCC0DC4" w14:textId="19C08F2A" w:rsidR="006F68C9" w:rsidRPr="000455E5" w:rsidRDefault="006F68C9" w:rsidP="00B10E48">
            <w:pPr>
              <w:pStyle w:val="HR0"/>
              <w:jc w:val="left"/>
            </w:pPr>
            <w:r w:rsidRPr="000455E5">
              <w:t xml:space="preserve">Concomitant </w:t>
            </w:r>
            <w:r w:rsidR="00D20B55" w:rsidRPr="000455E5">
              <w:t>m</w:t>
            </w:r>
            <w:r w:rsidRPr="000455E5">
              <w:t>ed</w:t>
            </w:r>
            <w:r w:rsidR="00D20B55" w:rsidRPr="000455E5">
              <w:t>ication</w:t>
            </w:r>
            <w:r w:rsidRPr="000455E5">
              <w:t xml:space="preserve">s and </w:t>
            </w:r>
            <w:r w:rsidR="00D20B55" w:rsidRPr="000455E5">
              <w:t>c</w:t>
            </w:r>
            <w:r w:rsidRPr="000455E5">
              <w:t xml:space="preserve">ancer-related </w:t>
            </w:r>
            <w:r w:rsidR="00D20B55" w:rsidRPr="000455E5">
              <w:t>s</w:t>
            </w:r>
            <w:r w:rsidRPr="000455E5">
              <w:t>urgery/</w:t>
            </w:r>
            <w:r w:rsidR="00D20B55" w:rsidRPr="000455E5">
              <w:t>p</w:t>
            </w:r>
            <w:r w:rsidRPr="000455E5">
              <w:t>rocedures</w:t>
            </w:r>
          </w:p>
        </w:tc>
        <w:tc>
          <w:tcPr>
            <w:tcW w:w="1056" w:type="dxa"/>
          </w:tcPr>
          <w:p w14:paraId="2E38CEFA" w14:textId="77777777" w:rsidR="006F68C9" w:rsidRPr="000455E5" w:rsidRDefault="006F68C9" w:rsidP="00B10E48">
            <w:pPr>
              <w:pStyle w:val="HR0"/>
            </w:pPr>
            <w:r w:rsidRPr="000455E5">
              <w:rPr>
                <w:rFonts w:hint="eastAsia"/>
              </w:rPr>
              <w:t>X</w:t>
            </w:r>
          </w:p>
        </w:tc>
        <w:tc>
          <w:tcPr>
            <w:tcW w:w="1216" w:type="dxa"/>
          </w:tcPr>
          <w:p w14:paraId="54691E31" w14:textId="77777777" w:rsidR="006F68C9" w:rsidRPr="000455E5" w:rsidRDefault="006F68C9" w:rsidP="00B10E48">
            <w:pPr>
              <w:pStyle w:val="HR0"/>
            </w:pPr>
            <w:r w:rsidRPr="000455E5">
              <w:rPr>
                <w:rFonts w:hint="eastAsia"/>
              </w:rPr>
              <w:t>X</w:t>
            </w:r>
          </w:p>
        </w:tc>
        <w:tc>
          <w:tcPr>
            <w:tcW w:w="1558" w:type="dxa"/>
          </w:tcPr>
          <w:p w14:paraId="5FB821AE" w14:textId="77777777" w:rsidR="006F68C9" w:rsidRPr="000455E5" w:rsidRDefault="006F68C9" w:rsidP="00B10E48">
            <w:pPr>
              <w:pStyle w:val="HR0"/>
            </w:pPr>
            <w:r w:rsidRPr="000455E5">
              <w:rPr>
                <w:rFonts w:hint="eastAsia"/>
              </w:rPr>
              <w:t>X</w:t>
            </w:r>
          </w:p>
        </w:tc>
        <w:tc>
          <w:tcPr>
            <w:tcW w:w="1576" w:type="dxa"/>
          </w:tcPr>
          <w:p w14:paraId="35F0EEEC" w14:textId="77777777" w:rsidR="006F68C9" w:rsidRPr="000455E5" w:rsidRDefault="006F68C9" w:rsidP="00B10E48">
            <w:pPr>
              <w:pStyle w:val="HR0"/>
            </w:pPr>
            <w:r w:rsidRPr="000455E5">
              <w:rPr>
                <w:rFonts w:hint="eastAsia"/>
              </w:rPr>
              <w:t>X</w:t>
            </w:r>
          </w:p>
        </w:tc>
      </w:tr>
      <w:tr w:rsidR="000455E5" w:rsidRPr="000455E5" w14:paraId="483CB44E" w14:textId="77777777" w:rsidTr="00ED633B">
        <w:tc>
          <w:tcPr>
            <w:tcW w:w="3613" w:type="dxa"/>
            <w:tcBorders>
              <w:bottom w:val="single" w:sz="4" w:space="0" w:color="auto"/>
            </w:tcBorders>
          </w:tcPr>
          <w:p w14:paraId="6D5BCCF9" w14:textId="0B40FA5B" w:rsidR="006F68C9" w:rsidRPr="000455E5" w:rsidRDefault="006F68C9" w:rsidP="00B10E48">
            <w:pPr>
              <w:pStyle w:val="HR0"/>
              <w:jc w:val="left"/>
            </w:pPr>
            <w:r w:rsidRPr="000455E5">
              <w:t xml:space="preserve">Adverse </w:t>
            </w:r>
            <w:r w:rsidR="00D20B55" w:rsidRPr="000455E5">
              <w:t>e</w:t>
            </w:r>
            <w:r w:rsidRPr="000455E5">
              <w:t>vents</w:t>
            </w:r>
          </w:p>
        </w:tc>
        <w:tc>
          <w:tcPr>
            <w:tcW w:w="1056" w:type="dxa"/>
            <w:tcBorders>
              <w:bottom w:val="single" w:sz="4" w:space="0" w:color="auto"/>
            </w:tcBorders>
          </w:tcPr>
          <w:p w14:paraId="75D3532E" w14:textId="77777777" w:rsidR="006F68C9" w:rsidRPr="000455E5" w:rsidRDefault="006F68C9" w:rsidP="00B10E48">
            <w:pPr>
              <w:pStyle w:val="HR0"/>
            </w:pPr>
            <w:r w:rsidRPr="000455E5">
              <w:rPr>
                <w:rFonts w:hint="eastAsia"/>
              </w:rPr>
              <w:t>X</w:t>
            </w:r>
          </w:p>
        </w:tc>
        <w:tc>
          <w:tcPr>
            <w:tcW w:w="1216" w:type="dxa"/>
            <w:tcBorders>
              <w:bottom w:val="single" w:sz="4" w:space="0" w:color="auto"/>
            </w:tcBorders>
          </w:tcPr>
          <w:p w14:paraId="472B0D1D" w14:textId="77777777" w:rsidR="006F68C9" w:rsidRPr="000455E5" w:rsidRDefault="006F68C9" w:rsidP="00B10E48">
            <w:pPr>
              <w:pStyle w:val="HR0"/>
            </w:pPr>
            <w:r w:rsidRPr="000455E5">
              <w:rPr>
                <w:rFonts w:hint="eastAsia"/>
              </w:rPr>
              <w:t>X</w:t>
            </w:r>
          </w:p>
        </w:tc>
        <w:tc>
          <w:tcPr>
            <w:tcW w:w="1558" w:type="dxa"/>
            <w:tcBorders>
              <w:bottom w:val="single" w:sz="4" w:space="0" w:color="auto"/>
            </w:tcBorders>
          </w:tcPr>
          <w:p w14:paraId="59A2DFAF" w14:textId="77777777" w:rsidR="006F68C9" w:rsidRPr="000455E5" w:rsidRDefault="006F68C9" w:rsidP="00B10E48">
            <w:pPr>
              <w:pStyle w:val="HR0"/>
            </w:pPr>
            <w:r w:rsidRPr="000455E5">
              <w:rPr>
                <w:rFonts w:hint="eastAsia"/>
              </w:rPr>
              <w:t>X</w:t>
            </w:r>
          </w:p>
        </w:tc>
        <w:tc>
          <w:tcPr>
            <w:tcW w:w="1576" w:type="dxa"/>
            <w:tcBorders>
              <w:bottom w:val="single" w:sz="4" w:space="0" w:color="auto"/>
            </w:tcBorders>
          </w:tcPr>
          <w:p w14:paraId="586C27B8" w14:textId="77777777" w:rsidR="006F68C9" w:rsidRPr="000455E5" w:rsidRDefault="006F68C9" w:rsidP="00B10E48">
            <w:pPr>
              <w:pStyle w:val="HR0"/>
            </w:pPr>
          </w:p>
        </w:tc>
      </w:tr>
      <w:tr w:rsidR="000455E5" w:rsidRPr="000455E5" w14:paraId="3C6A971F" w14:textId="77777777" w:rsidTr="00ED633B">
        <w:tc>
          <w:tcPr>
            <w:tcW w:w="3613" w:type="dxa"/>
            <w:tcBorders>
              <w:bottom w:val="single" w:sz="4" w:space="0" w:color="auto"/>
            </w:tcBorders>
          </w:tcPr>
          <w:p w14:paraId="5BDDF4D8" w14:textId="56D11C18" w:rsidR="006F68C9" w:rsidRPr="000455E5" w:rsidRDefault="006F68C9" w:rsidP="00B10E48">
            <w:pPr>
              <w:pStyle w:val="HR0"/>
              <w:jc w:val="left"/>
            </w:pPr>
            <w:r w:rsidRPr="000455E5">
              <w:t xml:space="preserve">Survival </w:t>
            </w:r>
            <w:r w:rsidR="00D20B55" w:rsidRPr="000455E5">
              <w:t>i</w:t>
            </w:r>
            <w:r w:rsidRPr="000455E5">
              <w:t>nformation</w:t>
            </w:r>
          </w:p>
        </w:tc>
        <w:tc>
          <w:tcPr>
            <w:tcW w:w="1056" w:type="dxa"/>
            <w:tcBorders>
              <w:bottom w:val="single" w:sz="4" w:space="0" w:color="auto"/>
            </w:tcBorders>
          </w:tcPr>
          <w:p w14:paraId="6D06DA82" w14:textId="77777777" w:rsidR="006F68C9" w:rsidRPr="000455E5" w:rsidRDefault="006F68C9" w:rsidP="00B10E48">
            <w:pPr>
              <w:pStyle w:val="HR0"/>
            </w:pPr>
          </w:p>
        </w:tc>
        <w:tc>
          <w:tcPr>
            <w:tcW w:w="1216" w:type="dxa"/>
            <w:tcBorders>
              <w:bottom w:val="single" w:sz="4" w:space="0" w:color="auto"/>
            </w:tcBorders>
          </w:tcPr>
          <w:p w14:paraId="3AF9977A" w14:textId="77777777" w:rsidR="006F68C9" w:rsidRPr="000455E5" w:rsidRDefault="006F68C9" w:rsidP="00B10E48">
            <w:pPr>
              <w:pStyle w:val="HR0"/>
            </w:pPr>
          </w:p>
        </w:tc>
        <w:tc>
          <w:tcPr>
            <w:tcW w:w="1558" w:type="dxa"/>
            <w:tcBorders>
              <w:bottom w:val="single" w:sz="4" w:space="0" w:color="auto"/>
            </w:tcBorders>
          </w:tcPr>
          <w:p w14:paraId="1434ECAE" w14:textId="77777777" w:rsidR="006F68C9" w:rsidRPr="000455E5" w:rsidRDefault="006F68C9" w:rsidP="00B10E48">
            <w:pPr>
              <w:pStyle w:val="HR0"/>
            </w:pPr>
          </w:p>
        </w:tc>
        <w:tc>
          <w:tcPr>
            <w:tcW w:w="1576" w:type="dxa"/>
            <w:tcBorders>
              <w:bottom w:val="single" w:sz="4" w:space="0" w:color="auto"/>
            </w:tcBorders>
          </w:tcPr>
          <w:p w14:paraId="4D687C04" w14:textId="77777777" w:rsidR="006F68C9" w:rsidRPr="000455E5" w:rsidRDefault="006F68C9" w:rsidP="00B10E48">
            <w:pPr>
              <w:pStyle w:val="HR0"/>
            </w:pPr>
            <w:r w:rsidRPr="000455E5">
              <w:rPr>
                <w:rFonts w:hint="eastAsia"/>
              </w:rPr>
              <w:t>X</w:t>
            </w:r>
          </w:p>
        </w:tc>
      </w:tr>
    </w:tbl>
    <w:p w14:paraId="3F93335B" w14:textId="37BA6397" w:rsidR="001D4773" w:rsidRPr="000455E5" w:rsidRDefault="001D4773" w:rsidP="001D4773">
      <w:pPr>
        <w:pStyle w:val="a3"/>
        <w:ind w:firstLineChars="0" w:firstLine="0"/>
        <w:rPr>
          <w:sz w:val="15"/>
        </w:rPr>
      </w:pPr>
      <w:proofErr w:type="spellStart"/>
      <w:r w:rsidRPr="000455E5">
        <w:rPr>
          <w:rFonts w:eastAsia="Times New Roman"/>
          <w:sz w:val="15"/>
        </w:rPr>
        <w:t>aPTT</w:t>
      </w:r>
      <w:proofErr w:type="spellEnd"/>
      <w:r w:rsidRPr="000455E5">
        <w:rPr>
          <w:rFonts w:eastAsia="Times New Roman"/>
          <w:sz w:val="15"/>
        </w:rPr>
        <w:t>, activated thromboplastin time; INR, international normalized ratio</w:t>
      </w:r>
    </w:p>
    <w:p w14:paraId="76F15CCF" w14:textId="79CF84FC" w:rsidR="006F68C9" w:rsidRPr="000455E5" w:rsidRDefault="006F68C9" w:rsidP="001D4773">
      <w:pPr>
        <w:pStyle w:val="1"/>
      </w:pPr>
      <w:r w:rsidRPr="000455E5">
        <w:t>Dose modifications</w:t>
      </w:r>
    </w:p>
    <w:p w14:paraId="24826D5B" w14:textId="09B9DE4C" w:rsidR="006F68C9" w:rsidRPr="000455E5" w:rsidRDefault="00BB168E" w:rsidP="006F68C9">
      <w:pPr>
        <w:pStyle w:val="a3"/>
        <w:ind w:firstLineChars="0" w:firstLine="0"/>
      </w:pPr>
      <w:r w:rsidRPr="000455E5">
        <w:t xml:space="preserve">    </w:t>
      </w:r>
      <w:r w:rsidR="006F68C9" w:rsidRPr="000455E5">
        <w:t xml:space="preserve">At the discretion of the investigator, </w:t>
      </w:r>
      <w:proofErr w:type="spellStart"/>
      <w:r w:rsidR="006F68C9" w:rsidRPr="000455E5">
        <w:rPr>
          <w:rFonts w:hint="eastAsia"/>
        </w:rPr>
        <w:t>pyrotinib</w:t>
      </w:r>
      <w:proofErr w:type="spellEnd"/>
      <w:r w:rsidR="006F68C9" w:rsidRPr="000455E5">
        <w:t xml:space="preserve"> may be delayed if necessary. </w:t>
      </w:r>
      <w:r w:rsidR="00D20B55" w:rsidRPr="000455E5">
        <w:t xml:space="preserve">Resumption of treatment with </w:t>
      </w:r>
      <w:proofErr w:type="spellStart"/>
      <w:r w:rsidR="00D20B55" w:rsidRPr="000455E5">
        <w:t>p</w:t>
      </w:r>
      <w:r w:rsidRPr="000455E5">
        <w:t>yrotinib</w:t>
      </w:r>
      <w:proofErr w:type="spellEnd"/>
      <w:r w:rsidRPr="000455E5">
        <w:t xml:space="preserve"> </w:t>
      </w:r>
      <w:r w:rsidR="00D20B55" w:rsidRPr="000455E5">
        <w:t xml:space="preserve">is </w:t>
      </w:r>
      <w:r w:rsidRPr="000455E5">
        <w:t>a</w:t>
      </w:r>
      <w:r w:rsidR="006F68C9" w:rsidRPr="000455E5">
        <w:t>llow</w:t>
      </w:r>
      <w:r w:rsidRPr="000455E5">
        <w:t>ed</w:t>
      </w:r>
      <w:r w:rsidR="006F68C9" w:rsidRPr="000455E5">
        <w:t xml:space="preserve"> after </w:t>
      </w:r>
      <w:r w:rsidR="00D20B55" w:rsidRPr="000455E5">
        <w:t xml:space="preserve">a </w:t>
      </w:r>
      <w:r w:rsidR="006F68C9" w:rsidRPr="000455E5">
        <w:t xml:space="preserve">delay. </w:t>
      </w:r>
      <w:proofErr w:type="spellStart"/>
      <w:r w:rsidR="007A0C7B" w:rsidRPr="000455E5">
        <w:t>P</w:t>
      </w:r>
      <w:r w:rsidR="006F68C9" w:rsidRPr="000455E5">
        <w:t>yrotinib</w:t>
      </w:r>
      <w:proofErr w:type="spellEnd"/>
      <w:r w:rsidR="006F68C9" w:rsidRPr="000455E5">
        <w:t xml:space="preserve"> </w:t>
      </w:r>
      <w:r w:rsidR="007A0C7B" w:rsidRPr="000455E5">
        <w:t xml:space="preserve">dosage should start with the next lower level </w:t>
      </w:r>
      <w:r w:rsidR="006F68C9" w:rsidRPr="000455E5">
        <w:t>after resum</w:t>
      </w:r>
      <w:r w:rsidR="00D20B55" w:rsidRPr="000455E5">
        <w:t>ption</w:t>
      </w:r>
      <w:r w:rsidRPr="000455E5">
        <w:t xml:space="preserve"> </w:t>
      </w:r>
      <w:r w:rsidR="006F68C9" w:rsidRPr="000455E5">
        <w:t>(dose level 400</w:t>
      </w:r>
      <w:r w:rsidR="006F68C9" w:rsidRPr="000455E5">
        <w:rPr>
          <w:rFonts w:hint="eastAsia"/>
        </w:rPr>
        <w:t>/</w:t>
      </w:r>
      <w:r w:rsidR="006F68C9" w:rsidRPr="000455E5">
        <w:t>320/240</w:t>
      </w:r>
      <w:r w:rsidR="00D20B55" w:rsidRPr="000455E5">
        <w:t xml:space="preserve"> </w:t>
      </w:r>
      <w:r w:rsidR="006F68C9" w:rsidRPr="000455E5">
        <w:t>mg, with a minimum of 240 mg).</w:t>
      </w:r>
    </w:p>
    <w:p w14:paraId="3AAA1526" w14:textId="0ADFDC15" w:rsidR="006F68C9" w:rsidRPr="000455E5" w:rsidRDefault="00BB168E" w:rsidP="006F68C9">
      <w:pPr>
        <w:pStyle w:val="a3"/>
        <w:ind w:firstLineChars="0" w:firstLine="0"/>
      </w:pPr>
      <w:r w:rsidRPr="000455E5">
        <w:t xml:space="preserve">    </w:t>
      </w:r>
      <w:r w:rsidR="006F68C9" w:rsidRPr="000455E5">
        <w:t>During treatment, multiple delay</w:t>
      </w:r>
      <w:r w:rsidRPr="000455E5">
        <w:t>s</w:t>
      </w:r>
      <w:r w:rsidR="006F68C9" w:rsidRPr="000455E5">
        <w:t xml:space="preserve"> or adjustment of </w:t>
      </w:r>
      <w:proofErr w:type="spellStart"/>
      <w:r w:rsidR="006F68C9" w:rsidRPr="000455E5">
        <w:t>pyrotinib</w:t>
      </w:r>
      <w:proofErr w:type="spellEnd"/>
      <w:r w:rsidR="006F68C9" w:rsidRPr="000455E5">
        <w:t xml:space="preserve"> are </w:t>
      </w:r>
      <w:r w:rsidR="00D20B55" w:rsidRPr="000455E5">
        <w:t>permitted</w:t>
      </w:r>
      <w:r w:rsidR="006F68C9" w:rsidRPr="000455E5">
        <w:t xml:space="preserve">, and </w:t>
      </w:r>
      <w:r w:rsidR="00D20B55" w:rsidRPr="000455E5">
        <w:t>treatment should continue</w:t>
      </w:r>
      <w:r w:rsidR="006F68C9" w:rsidRPr="000455E5">
        <w:t xml:space="preserve"> after the adverse event returns to Grade 0-1 and the complications disappear. The cumulative duration of pause in each cycle </w:t>
      </w:r>
      <w:r w:rsidR="00CF1384" w:rsidRPr="000455E5">
        <w:t>should</w:t>
      </w:r>
      <w:r w:rsidR="006F68C9" w:rsidRPr="000455E5">
        <w:t xml:space="preserve"> not exceed 14 days to ensure </w:t>
      </w:r>
      <w:r w:rsidR="001A0632" w:rsidRPr="000455E5">
        <w:t>drug efficacy</w:t>
      </w:r>
      <w:r w:rsidR="00D20B55" w:rsidRPr="000455E5">
        <w:t>.</w:t>
      </w:r>
      <w:r w:rsidR="006F68C9" w:rsidRPr="000455E5">
        <w:t xml:space="preserve"> Patients will </w:t>
      </w:r>
      <w:r w:rsidR="00D20B55" w:rsidRPr="000455E5">
        <w:t>cease treatment</w:t>
      </w:r>
      <w:r w:rsidR="006F68C9" w:rsidRPr="000455E5">
        <w:t xml:space="preserve"> if the duration of </w:t>
      </w:r>
      <w:proofErr w:type="spellStart"/>
      <w:r w:rsidR="006F68C9" w:rsidRPr="000455E5">
        <w:t>p</w:t>
      </w:r>
      <w:r w:rsidR="00173E41" w:rsidRPr="000455E5">
        <w:t>y</w:t>
      </w:r>
      <w:r w:rsidR="006F68C9" w:rsidRPr="000455E5">
        <w:t>rotinib</w:t>
      </w:r>
      <w:proofErr w:type="spellEnd"/>
      <w:r w:rsidR="006F68C9" w:rsidRPr="000455E5">
        <w:t xml:space="preserve"> </w:t>
      </w:r>
      <w:r w:rsidR="00D20B55" w:rsidRPr="000455E5">
        <w:t>does not meet</w:t>
      </w:r>
      <w:r w:rsidR="006F68C9" w:rsidRPr="000455E5">
        <w:t xml:space="preserve"> the above criteria.</w:t>
      </w:r>
    </w:p>
    <w:p w14:paraId="7D64698D" w14:textId="4EA0D40B" w:rsidR="006F68C9" w:rsidRPr="000455E5" w:rsidRDefault="006F68C9" w:rsidP="00BB168E">
      <w:pPr>
        <w:pStyle w:val="a3"/>
        <w:ind w:firstLineChars="0" w:firstLine="420"/>
      </w:pPr>
      <w:r w:rsidRPr="000455E5">
        <w:t>T</w:t>
      </w:r>
      <w:r w:rsidRPr="000455E5">
        <w:rPr>
          <w:rFonts w:hint="eastAsia"/>
        </w:rPr>
        <w:t>here</w:t>
      </w:r>
      <w:r w:rsidRPr="000455E5">
        <w:t xml:space="preserve"> is no need to take extra </w:t>
      </w:r>
      <w:r w:rsidR="00F9765B" w:rsidRPr="000455E5">
        <w:t>dose</w:t>
      </w:r>
      <w:r w:rsidR="00D20B55" w:rsidRPr="000455E5">
        <w:t>s</w:t>
      </w:r>
      <w:r w:rsidRPr="000455E5">
        <w:t xml:space="preserve"> to make up the missed dose</w:t>
      </w:r>
      <w:r w:rsidR="00C443D0" w:rsidRPr="000455E5">
        <w:t>s</w:t>
      </w:r>
      <w:r w:rsidRPr="000455E5">
        <w:t>.</w:t>
      </w:r>
    </w:p>
    <w:p w14:paraId="0AF39659" w14:textId="0974F614" w:rsidR="00B10E48" w:rsidRPr="000455E5" w:rsidRDefault="00B10E48" w:rsidP="00BB168E">
      <w:pPr>
        <w:pStyle w:val="a3"/>
        <w:ind w:firstLineChars="0" w:firstLine="420"/>
      </w:pPr>
    </w:p>
    <w:p w14:paraId="67110D98" w14:textId="77777777" w:rsidR="00B10E48" w:rsidRPr="000455E5" w:rsidRDefault="00B10E48" w:rsidP="00BB168E">
      <w:pPr>
        <w:pStyle w:val="a3"/>
        <w:ind w:firstLineChars="0" w:firstLine="420"/>
      </w:pPr>
    </w:p>
    <w:p w14:paraId="10323711" w14:textId="060E9CAE" w:rsidR="006F68C9" w:rsidRPr="000455E5" w:rsidRDefault="006F68C9" w:rsidP="006F68C9">
      <w:pPr>
        <w:pStyle w:val="HR1"/>
      </w:pPr>
      <w:r w:rsidRPr="000455E5">
        <w:lastRenderedPageBreak/>
        <w:t>T</w:t>
      </w:r>
      <w:r w:rsidRPr="000455E5">
        <w:rPr>
          <w:rFonts w:hint="eastAsia"/>
        </w:rPr>
        <w:t>able</w:t>
      </w:r>
      <w:r w:rsidRPr="000455E5">
        <w:t xml:space="preserve">: Dose adjustment for </w:t>
      </w:r>
      <w:proofErr w:type="spellStart"/>
      <w:r w:rsidRPr="000455E5">
        <w:t>pyrotinib</w:t>
      </w:r>
      <w:proofErr w:type="spellEnd"/>
    </w:p>
    <w:tbl>
      <w:tblPr>
        <w:tblStyle w:val="TableNormal1"/>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268"/>
      </w:tblGrid>
      <w:tr w:rsidR="000455E5" w:rsidRPr="000455E5" w14:paraId="07A79231" w14:textId="77777777" w:rsidTr="006F68C9">
        <w:trPr>
          <w:trHeight w:val="544"/>
        </w:trPr>
        <w:tc>
          <w:tcPr>
            <w:tcW w:w="2835" w:type="dxa"/>
          </w:tcPr>
          <w:p w14:paraId="71774FEE" w14:textId="0B31AFCE" w:rsidR="006F68C9" w:rsidRPr="000455E5" w:rsidRDefault="006F68C9" w:rsidP="006F68C9">
            <w:pPr>
              <w:pStyle w:val="HR0"/>
            </w:pPr>
            <w:bookmarkStart w:id="0" w:name="_Hlk3993269"/>
            <w:r w:rsidRPr="000455E5">
              <w:t>NCI CTCAE 4.0*</w:t>
            </w:r>
          </w:p>
        </w:tc>
        <w:tc>
          <w:tcPr>
            <w:tcW w:w="2835" w:type="dxa"/>
          </w:tcPr>
          <w:p w14:paraId="0942459D" w14:textId="77777777" w:rsidR="006F68C9" w:rsidRPr="000455E5" w:rsidRDefault="006F68C9" w:rsidP="006F68C9">
            <w:pPr>
              <w:pStyle w:val="HR0"/>
            </w:pPr>
            <w:r w:rsidRPr="000455E5">
              <w:t>Dose adjustment</w:t>
            </w:r>
          </w:p>
        </w:tc>
        <w:tc>
          <w:tcPr>
            <w:tcW w:w="2268" w:type="dxa"/>
          </w:tcPr>
          <w:p w14:paraId="4E755E18" w14:textId="77777777" w:rsidR="006F68C9" w:rsidRPr="000455E5" w:rsidRDefault="006F68C9" w:rsidP="006F68C9">
            <w:pPr>
              <w:pStyle w:val="HR0"/>
            </w:pPr>
            <w:r w:rsidRPr="000455E5">
              <w:t>Dose after recovery</w:t>
            </w:r>
          </w:p>
        </w:tc>
      </w:tr>
      <w:tr w:rsidR="000455E5" w:rsidRPr="000455E5" w14:paraId="145CBF73" w14:textId="77777777" w:rsidTr="006F68C9">
        <w:trPr>
          <w:trHeight w:val="273"/>
        </w:trPr>
        <w:tc>
          <w:tcPr>
            <w:tcW w:w="7938" w:type="dxa"/>
            <w:gridSpan w:val="3"/>
          </w:tcPr>
          <w:p w14:paraId="42A0229D" w14:textId="77777777" w:rsidR="006F68C9" w:rsidRPr="000455E5" w:rsidRDefault="006F68C9" w:rsidP="006F68C9">
            <w:pPr>
              <w:pStyle w:val="HR0"/>
            </w:pPr>
            <w:r w:rsidRPr="000455E5">
              <w:t>Cardiotoxicity</w:t>
            </w:r>
          </w:p>
        </w:tc>
      </w:tr>
      <w:tr w:rsidR="000455E5" w:rsidRPr="000455E5" w14:paraId="750F67AB" w14:textId="77777777" w:rsidTr="006F68C9">
        <w:trPr>
          <w:trHeight w:val="544"/>
        </w:trPr>
        <w:tc>
          <w:tcPr>
            <w:tcW w:w="2835" w:type="dxa"/>
          </w:tcPr>
          <w:p w14:paraId="45294D28" w14:textId="17BC0208" w:rsidR="006F68C9" w:rsidRPr="000455E5" w:rsidRDefault="006F68C9" w:rsidP="006F68C9">
            <w:pPr>
              <w:pStyle w:val="HR0"/>
            </w:pPr>
            <w:r w:rsidRPr="000455E5">
              <w:t>≥</w:t>
            </w:r>
            <w:r w:rsidR="00B130CF" w:rsidRPr="000455E5">
              <w:t xml:space="preserve"> </w:t>
            </w:r>
            <w:r w:rsidR="00B130CF" w:rsidRPr="000455E5">
              <w:rPr>
                <w:rFonts w:hint="eastAsia"/>
                <w:lang w:eastAsia="zh-CN"/>
              </w:rPr>
              <w:t>20%</w:t>
            </w:r>
            <w:r w:rsidR="00B130CF" w:rsidRPr="000455E5">
              <w:t xml:space="preserve"> </w:t>
            </w:r>
            <w:r w:rsidRPr="000455E5">
              <w:t>drop in LVEF /</w:t>
            </w:r>
          </w:p>
          <w:p w14:paraId="5C81E214" w14:textId="77777777" w:rsidR="006F68C9" w:rsidRPr="000455E5" w:rsidRDefault="006F68C9" w:rsidP="006F68C9">
            <w:pPr>
              <w:pStyle w:val="HR0"/>
            </w:pPr>
            <w:r w:rsidRPr="000455E5">
              <w:t xml:space="preserve">LVEF </w:t>
            </w:r>
            <w:r w:rsidRPr="000455E5">
              <w:rPr>
                <w:rFonts w:hint="eastAsia"/>
              </w:rPr>
              <w:t>≤</w:t>
            </w:r>
            <w:r w:rsidRPr="000455E5">
              <w:t>50</w:t>
            </w:r>
            <w:r w:rsidRPr="000455E5">
              <w:rPr>
                <w:rFonts w:hint="eastAsia"/>
              </w:rPr>
              <w:t>%</w:t>
            </w:r>
          </w:p>
        </w:tc>
        <w:tc>
          <w:tcPr>
            <w:tcW w:w="2835" w:type="dxa"/>
          </w:tcPr>
          <w:p w14:paraId="7DCAFE57" w14:textId="77777777" w:rsidR="006F68C9" w:rsidRPr="000455E5" w:rsidRDefault="006F68C9" w:rsidP="006F68C9">
            <w:pPr>
              <w:pStyle w:val="HR0"/>
            </w:pPr>
            <w:r w:rsidRPr="000455E5">
              <w:t>Permanently discontinued</w:t>
            </w:r>
          </w:p>
        </w:tc>
        <w:tc>
          <w:tcPr>
            <w:tcW w:w="2268" w:type="dxa"/>
          </w:tcPr>
          <w:p w14:paraId="6F8C5114" w14:textId="77777777" w:rsidR="006F68C9" w:rsidRPr="000455E5" w:rsidRDefault="006F68C9" w:rsidP="006F68C9">
            <w:pPr>
              <w:pStyle w:val="HR0"/>
            </w:pPr>
            <w:r w:rsidRPr="000455E5">
              <w:t>-</w:t>
            </w:r>
          </w:p>
        </w:tc>
      </w:tr>
      <w:tr w:rsidR="000455E5" w:rsidRPr="000455E5" w14:paraId="55F5B609" w14:textId="77777777" w:rsidTr="006F68C9">
        <w:trPr>
          <w:trHeight w:val="273"/>
        </w:trPr>
        <w:tc>
          <w:tcPr>
            <w:tcW w:w="7938" w:type="dxa"/>
            <w:gridSpan w:val="3"/>
          </w:tcPr>
          <w:p w14:paraId="6B09119D" w14:textId="77777777" w:rsidR="006F68C9" w:rsidRPr="000455E5" w:rsidRDefault="006F68C9" w:rsidP="006F68C9">
            <w:pPr>
              <w:pStyle w:val="HR0"/>
            </w:pPr>
            <w:r w:rsidRPr="000455E5">
              <w:t>D</w:t>
            </w:r>
            <w:r w:rsidRPr="000455E5">
              <w:rPr>
                <w:rFonts w:hint="eastAsia"/>
              </w:rPr>
              <w:t>iarrhea</w:t>
            </w:r>
          </w:p>
        </w:tc>
      </w:tr>
      <w:tr w:rsidR="000455E5" w:rsidRPr="000455E5" w14:paraId="29F1808F" w14:textId="77777777" w:rsidTr="006F68C9">
        <w:trPr>
          <w:trHeight w:val="270"/>
        </w:trPr>
        <w:tc>
          <w:tcPr>
            <w:tcW w:w="2835" w:type="dxa"/>
          </w:tcPr>
          <w:p w14:paraId="4E5556CD" w14:textId="77777777" w:rsidR="006F68C9" w:rsidRPr="000455E5" w:rsidRDefault="006F68C9" w:rsidP="006F68C9">
            <w:pPr>
              <w:pStyle w:val="HR0"/>
            </w:pPr>
            <w:r w:rsidRPr="000455E5">
              <w:t>G</w:t>
            </w:r>
            <w:r w:rsidRPr="000455E5">
              <w:rPr>
                <w:rFonts w:hint="eastAsia"/>
              </w:rPr>
              <w:t>rade</w:t>
            </w:r>
            <w:r w:rsidRPr="000455E5">
              <w:t xml:space="preserve"> Ⅳ</w:t>
            </w:r>
          </w:p>
        </w:tc>
        <w:tc>
          <w:tcPr>
            <w:tcW w:w="2835" w:type="dxa"/>
          </w:tcPr>
          <w:p w14:paraId="3AEFE704" w14:textId="77777777" w:rsidR="006F68C9" w:rsidRPr="000455E5" w:rsidRDefault="006F68C9" w:rsidP="006F68C9">
            <w:pPr>
              <w:pStyle w:val="HR0"/>
            </w:pPr>
            <w:r w:rsidRPr="000455E5">
              <w:t>Permanently discontinued</w:t>
            </w:r>
          </w:p>
        </w:tc>
        <w:tc>
          <w:tcPr>
            <w:tcW w:w="2268" w:type="dxa"/>
          </w:tcPr>
          <w:p w14:paraId="207E578D" w14:textId="77777777" w:rsidR="006F68C9" w:rsidRPr="000455E5" w:rsidRDefault="006F68C9" w:rsidP="006F68C9">
            <w:pPr>
              <w:pStyle w:val="HR0"/>
            </w:pPr>
            <w:r w:rsidRPr="000455E5">
              <w:t>-</w:t>
            </w:r>
          </w:p>
        </w:tc>
      </w:tr>
      <w:tr w:rsidR="000455E5" w:rsidRPr="000455E5" w14:paraId="4864438E" w14:textId="77777777" w:rsidTr="006F68C9">
        <w:trPr>
          <w:trHeight w:val="311"/>
        </w:trPr>
        <w:tc>
          <w:tcPr>
            <w:tcW w:w="2835" w:type="dxa"/>
          </w:tcPr>
          <w:p w14:paraId="30DDBA9A" w14:textId="77777777" w:rsidR="006F68C9" w:rsidRPr="000455E5" w:rsidRDefault="006F68C9" w:rsidP="006F68C9">
            <w:pPr>
              <w:pStyle w:val="HR0"/>
            </w:pPr>
            <w:r w:rsidRPr="000455E5">
              <w:t>G</w:t>
            </w:r>
            <w:r w:rsidRPr="000455E5">
              <w:rPr>
                <w:rFonts w:hint="eastAsia"/>
              </w:rPr>
              <w:t>rade</w:t>
            </w:r>
            <w:r w:rsidRPr="000455E5">
              <w:t xml:space="preserve"> Ⅲ</w:t>
            </w:r>
          </w:p>
        </w:tc>
        <w:tc>
          <w:tcPr>
            <w:tcW w:w="2835" w:type="dxa"/>
            <w:vMerge w:val="restart"/>
            <w:vAlign w:val="center"/>
          </w:tcPr>
          <w:p w14:paraId="454C78D1" w14:textId="3D46F7BF" w:rsidR="006F68C9" w:rsidRPr="000455E5" w:rsidRDefault="006F68C9" w:rsidP="006F68C9">
            <w:pPr>
              <w:pStyle w:val="HR0"/>
            </w:pPr>
            <w:r w:rsidRPr="000455E5">
              <w:t xml:space="preserve">Delay, until the recovery to Grade 0-1, and complications </w:t>
            </w:r>
            <w:r w:rsidR="00D20B55" w:rsidRPr="000455E5">
              <w:t xml:space="preserve">have </w:t>
            </w:r>
            <w:r w:rsidRPr="000455E5">
              <w:t>disappeared</w:t>
            </w:r>
          </w:p>
        </w:tc>
        <w:tc>
          <w:tcPr>
            <w:tcW w:w="2268" w:type="dxa"/>
            <w:vMerge w:val="restart"/>
          </w:tcPr>
          <w:p w14:paraId="21C3BFB9" w14:textId="77777777" w:rsidR="006F68C9" w:rsidRPr="000455E5" w:rsidRDefault="006F68C9" w:rsidP="006F68C9">
            <w:pPr>
              <w:pStyle w:val="HR0"/>
            </w:pPr>
          </w:p>
          <w:p w14:paraId="6D9ECEDB" w14:textId="68160A6F" w:rsidR="006F68C9" w:rsidRPr="000455E5" w:rsidRDefault="006F68C9" w:rsidP="006F68C9">
            <w:pPr>
              <w:pStyle w:val="HR0"/>
            </w:pPr>
            <w:r w:rsidRPr="000455E5">
              <w:rPr>
                <w:rFonts w:hint="eastAsia"/>
              </w:rPr>
              <w:t>F</w:t>
            </w:r>
            <w:r w:rsidRPr="000455E5">
              <w:t xml:space="preserve">irst </w:t>
            </w:r>
            <w:r w:rsidR="00D20B55" w:rsidRPr="000455E5">
              <w:t>dose</w:t>
            </w:r>
            <w:r w:rsidRPr="000455E5">
              <w:t>：</w:t>
            </w:r>
            <w:r w:rsidRPr="000455E5">
              <w:t>400 mg</w:t>
            </w:r>
          </w:p>
          <w:p w14:paraId="00729FAC" w14:textId="309B3697" w:rsidR="006F68C9" w:rsidRPr="000455E5" w:rsidRDefault="006F68C9" w:rsidP="006F68C9">
            <w:pPr>
              <w:pStyle w:val="HR0"/>
            </w:pPr>
            <w:r w:rsidRPr="000455E5">
              <w:rPr>
                <w:rFonts w:hint="eastAsia"/>
              </w:rPr>
              <w:t>S</w:t>
            </w:r>
            <w:r w:rsidRPr="000455E5">
              <w:t xml:space="preserve">econd </w:t>
            </w:r>
            <w:r w:rsidR="00D20B55" w:rsidRPr="000455E5">
              <w:t>dose</w:t>
            </w:r>
            <w:r w:rsidRPr="000455E5">
              <w:t>：</w:t>
            </w:r>
            <w:r w:rsidRPr="000455E5">
              <w:t>320 mg</w:t>
            </w:r>
          </w:p>
        </w:tc>
      </w:tr>
      <w:tr w:rsidR="000455E5" w:rsidRPr="000455E5" w14:paraId="3FE3FB8A" w14:textId="77777777" w:rsidTr="006F68C9">
        <w:trPr>
          <w:trHeight w:val="818"/>
        </w:trPr>
        <w:tc>
          <w:tcPr>
            <w:tcW w:w="2835" w:type="dxa"/>
          </w:tcPr>
          <w:p w14:paraId="49806FA9" w14:textId="77777777" w:rsidR="006F68C9" w:rsidRPr="000455E5" w:rsidRDefault="006F68C9" w:rsidP="006F68C9">
            <w:pPr>
              <w:pStyle w:val="HR0"/>
            </w:pPr>
            <w:r w:rsidRPr="000455E5">
              <w:t>Grade I~II with complications</w:t>
            </w:r>
          </w:p>
          <w:p w14:paraId="5F4879DD" w14:textId="4D8A18C5" w:rsidR="006F68C9" w:rsidRPr="000455E5" w:rsidRDefault="006F68C9" w:rsidP="006F68C9">
            <w:pPr>
              <w:pStyle w:val="HR0"/>
            </w:pPr>
            <w:r w:rsidRPr="000455E5">
              <w:rPr>
                <w:rFonts w:hint="eastAsia"/>
              </w:rPr>
              <w:t xml:space="preserve">(including but not limited to </w:t>
            </w:r>
            <w:r w:rsidR="00B10E48" w:rsidRPr="000455E5">
              <w:t xml:space="preserve">   </w:t>
            </w:r>
            <w:r w:rsidR="00D20B55" w:rsidRPr="000455E5">
              <w:rPr>
                <w:rFonts w:cs="Times New Roman"/>
              </w:rPr>
              <w:t>≥</w:t>
            </w:r>
            <w:r w:rsidRPr="000455E5">
              <w:rPr>
                <w:rFonts w:hint="eastAsia"/>
              </w:rPr>
              <w:t xml:space="preserve"> grade II nausea or vomiting, fever, bleeding or dehydration)</w:t>
            </w:r>
          </w:p>
        </w:tc>
        <w:tc>
          <w:tcPr>
            <w:tcW w:w="2835" w:type="dxa"/>
            <w:vMerge/>
            <w:tcBorders>
              <w:top w:val="nil"/>
            </w:tcBorders>
          </w:tcPr>
          <w:p w14:paraId="7A77FA75" w14:textId="77777777" w:rsidR="006F68C9" w:rsidRPr="000455E5" w:rsidRDefault="006F68C9" w:rsidP="006F68C9">
            <w:pPr>
              <w:pStyle w:val="HR0"/>
            </w:pPr>
          </w:p>
        </w:tc>
        <w:tc>
          <w:tcPr>
            <w:tcW w:w="2268" w:type="dxa"/>
            <w:vMerge/>
            <w:tcBorders>
              <w:top w:val="nil"/>
            </w:tcBorders>
          </w:tcPr>
          <w:p w14:paraId="67D05F46" w14:textId="77777777" w:rsidR="006F68C9" w:rsidRPr="000455E5" w:rsidRDefault="006F68C9" w:rsidP="006F68C9">
            <w:pPr>
              <w:pStyle w:val="HR0"/>
            </w:pPr>
          </w:p>
        </w:tc>
      </w:tr>
      <w:tr w:rsidR="000455E5" w:rsidRPr="000455E5" w14:paraId="2C7A8581" w14:textId="77777777" w:rsidTr="006F68C9">
        <w:trPr>
          <w:trHeight w:val="271"/>
        </w:trPr>
        <w:tc>
          <w:tcPr>
            <w:tcW w:w="7938" w:type="dxa"/>
            <w:gridSpan w:val="3"/>
          </w:tcPr>
          <w:p w14:paraId="2835A152" w14:textId="77777777" w:rsidR="006F68C9" w:rsidRPr="000455E5" w:rsidRDefault="006F68C9" w:rsidP="006F68C9">
            <w:pPr>
              <w:pStyle w:val="HR0"/>
            </w:pPr>
            <w:r w:rsidRPr="000455E5">
              <w:rPr>
                <w:rFonts w:hint="eastAsia"/>
              </w:rPr>
              <w:t>O</w:t>
            </w:r>
            <w:r w:rsidRPr="000455E5">
              <w:t>ther AE</w:t>
            </w:r>
          </w:p>
        </w:tc>
      </w:tr>
      <w:tr w:rsidR="000455E5" w:rsidRPr="000455E5" w14:paraId="34F2B3D1" w14:textId="77777777" w:rsidTr="006F68C9">
        <w:trPr>
          <w:trHeight w:val="544"/>
        </w:trPr>
        <w:tc>
          <w:tcPr>
            <w:tcW w:w="2835" w:type="dxa"/>
          </w:tcPr>
          <w:p w14:paraId="736080F9" w14:textId="45E51635" w:rsidR="006F68C9" w:rsidRPr="000455E5" w:rsidRDefault="00D20B55" w:rsidP="006F68C9">
            <w:pPr>
              <w:pStyle w:val="HR0"/>
            </w:pPr>
            <w:r w:rsidRPr="000455E5">
              <w:rPr>
                <w:rFonts w:cs="Times New Roman"/>
              </w:rPr>
              <w:t>≥</w:t>
            </w:r>
            <w:r w:rsidR="006F68C9" w:rsidRPr="000455E5">
              <w:rPr>
                <w:rFonts w:hint="eastAsia"/>
              </w:rPr>
              <w:t xml:space="preserve"> Grade II non-hematologic adverse events</w:t>
            </w:r>
            <w:r w:rsidR="00B10E48" w:rsidRPr="000455E5">
              <w:t xml:space="preserve"> </w:t>
            </w:r>
            <w:r w:rsidR="006F68C9" w:rsidRPr="000455E5">
              <w:t>(except for hair loss, fatigue, fatigue, etc.)</w:t>
            </w:r>
          </w:p>
        </w:tc>
        <w:tc>
          <w:tcPr>
            <w:tcW w:w="2835" w:type="dxa"/>
          </w:tcPr>
          <w:p w14:paraId="5840CBDD" w14:textId="53B9D83D" w:rsidR="006F68C9" w:rsidRPr="000455E5" w:rsidRDefault="006F68C9" w:rsidP="006F68C9">
            <w:pPr>
              <w:pStyle w:val="HR0"/>
            </w:pPr>
            <w:r w:rsidRPr="000455E5">
              <w:t xml:space="preserve">Delay, until recovery to Grade 0-1, and complications </w:t>
            </w:r>
            <w:r w:rsidR="00D20B55" w:rsidRPr="000455E5">
              <w:t xml:space="preserve">have </w:t>
            </w:r>
            <w:r w:rsidRPr="000455E5">
              <w:t>disappeared</w:t>
            </w:r>
          </w:p>
        </w:tc>
        <w:tc>
          <w:tcPr>
            <w:tcW w:w="2268" w:type="dxa"/>
          </w:tcPr>
          <w:p w14:paraId="48D9BD6B" w14:textId="1BA97DDF" w:rsidR="006F68C9" w:rsidRPr="000455E5" w:rsidRDefault="006F68C9" w:rsidP="006F68C9">
            <w:pPr>
              <w:pStyle w:val="HR0"/>
            </w:pPr>
            <w:r w:rsidRPr="000455E5">
              <w:rPr>
                <w:rFonts w:hint="eastAsia"/>
              </w:rPr>
              <w:t>F</w:t>
            </w:r>
            <w:r w:rsidRPr="000455E5">
              <w:t xml:space="preserve">irst </w:t>
            </w:r>
            <w:r w:rsidR="00D20B55" w:rsidRPr="000455E5">
              <w:t>dose</w:t>
            </w:r>
            <w:r w:rsidRPr="000455E5">
              <w:t>：</w:t>
            </w:r>
            <w:r w:rsidRPr="000455E5">
              <w:t>400 mg</w:t>
            </w:r>
          </w:p>
          <w:p w14:paraId="64448D6E" w14:textId="504E8218" w:rsidR="006F68C9" w:rsidRPr="000455E5" w:rsidRDefault="006F68C9" w:rsidP="006F68C9">
            <w:pPr>
              <w:pStyle w:val="HR0"/>
            </w:pPr>
            <w:r w:rsidRPr="000455E5">
              <w:rPr>
                <w:rFonts w:hint="eastAsia"/>
              </w:rPr>
              <w:t>S</w:t>
            </w:r>
            <w:r w:rsidRPr="000455E5">
              <w:t xml:space="preserve">econd </w:t>
            </w:r>
            <w:r w:rsidR="00D20B55" w:rsidRPr="000455E5">
              <w:t>dose</w:t>
            </w:r>
            <w:r w:rsidRPr="000455E5">
              <w:t>：</w:t>
            </w:r>
            <w:r w:rsidRPr="000455E5">
              <w:t>320 mg</w:t>
            </w:r>
          </w:p>
        </w:tc>
      </w:tr>
      <w:tr w:rsidR="000455E5" w:rsidRPr="000455E5" w14:paraId="5473D092" w14:textId="77777777" w:rsidTr="006F68C9">
        <w:trPr>
          <w:trHeight w:val="546"/>
        </w:trPr>
        <w:tc>
          <w:tcPr>
            <w:tcW w:w="2835" w:type="dxa"/>
          </w:tcPr>
          <w:p w14:paraId="5DE92042" w14:textId="6EE1A164" w:rsidR="006F68C9" w:rsidRPr="000455E5" w:rsidRDefault="00D20B55" w:rsidP="006F68C9">
            <w:pPr>
              <w:pStyle w:val="HR0"/>
            </w:pPr>
            <w:r w:rsidRPr="000455E5">
              <w:rPr>
                <w:rFonts w:cs="Times New Roman"/>
              </w:rPr>
              <w:t>≥</w:t>
            </w:r>
            <w:r w:rsidR="006F68C9" w:rsidRPr="000455E5">
              <w:rPr>
                <w:rFonts w:hint="eastAsia"/>
              </w:rPr>
              <w:t xml:space="preserve"> Grade III hematologic adverse events</w:t>
            </w:r>
          </w:p>
        </w:tc>
        <w:tc>
          <w:tcPr>
            <w:tcW w:w="2835" w:type="dxa"/>
          </w:tcPr>
          <w:p w14:paraId="53875AD1" w14:textId="51DA840D" w:rsidR="006F68C9" w:rsidRPr="000455E5" w:rsidRDefault="006F68C9" w:rsidP="006F68C9">
            <w:pPr>
              <w:pStyle w:val="HR0"/>
            </w:pPr>
            <w:r w:rsidRPr="000455E5">
              <w:t xml:space="preserve">Delay, until recovery to </w:t>
            </w:r>
            <w:r w:rsidR="00D20B55" w:rsidRPr="000455E5">
              <w:t xml:space="preserve">         </w:t>
            </w:r>
            <w:r w:rsidRPr="000455E5">
              <w:t xml:space="preserve">Grade 0-1, and complications </w:t>
            </w:r>
            <w:r w:rsidR="00D20B55" w:rsidRPr="000455E5">
              <w:t xml:space="preserve">have </w:t>
            </w:r>
            <w:r w:rsidRPr="000455E5">
              <w:t>disappeared</w:t>
            </w:r>
          </w:p>
        </w:tc>
        <w:tc>
          <w:tcPr>
            <w:tcW w:w="2268" w:type="dxa"/>
          </w:tcPr>
          <w:p w14:paraId="0AB3F1C6" w14:textId="4708C85B" w:rsidR="006F68C9" w:rsidRPr="000455E5" w:rsidRDefault="006F68C9" w:rsidP="006F68C9">
            <w:pPr>
              <w:pStyle w:val="HR0"/>
            </w:pPr>
            <w:r w:rsidRPr="000455E5">
              <w:rPr>
                <w:rFonts w:hint="eastAsia"/>
              </w:rPr>
              <w:t>F</w:t>
            </w:r>
            <w:r w:rsidRPr="000455E5">
              <w:t xml:space="preserve">irst </w:t>
            </w:r>
            <w:r w:rsidR="00F66429" w:rsidRPr="000455E5">
              <w:t>dose</w:t>
            </w:r>
            <w:r w:rsidRPr="000455E5">
              <w:t>：</w:t>
            </w:r>
            <w:r w:rsidRPr="000455E5">
              <w:t>400 mg</w:t>
            </w:r>
          </w:p>
          <w:p w14:paraId="344EF759" w14:textId="36FB1889" w:rsidR="006F68C9" w:rsidRPr="000455E5" w:rsidRDefault="006F68C9" w:rsidP="006F68C9">
            <w:pPr>
              <w:pStyle w:val="HR0"/>
            </w:pPr>
            <w:r w:rsidRPr="000455E5">
              <w:rPr>
                <w:rFonts w:hint="eastAsia"/>
              </w:rPr>
              <w:t>S</w:t>
            </w:r>
            <w:r w:rsidRPr="000455E5">
              <w:t xml:space="preserve">econd </w:t>
            </w:r>
            <w:r w:rsidR="00F66429" w:rsidRPr="000455E5">
              <w:t>dose</w:t>
            </w:r>
            <w:r w:rsidRPr="000455E5">
              <w:t>：</w:t>
            </w:r>
            <w:r w:rsidRPr="000455E5">
              <w:t>320 mg</w:t>
            </w:r>
          </w:p>
        </w:tc>
      </w:tr>
    </w:tbl>
    <w:bookmarkEnd w:id="0"/>
    <w:p w14:paraId="7A155690" w14:textId="30677D78" w:rsidR="006F68C9" w:rsidRPr="000455E5" w:rsidRDefault="00B10E48" w:rsidP="006F68C9">
      <w:pPr>
        <w:pStyle w:val="a3"/>
        <w:ind w:firstLineChars="0" w:firstLine="0"/>
        <w:rPr>
          <w:sz w:val="15"/>
        </w:rPr>
      </w:pPr>
      <w:r w:rsidRPr="000455E5">
        <w:rPr>
          <w:rFonts w:eastAsia="Times New Roman"/>
          <w:sz w:val="15"/>
        </w:rPr>
        <w:t xml:space="preserve">CTCAE, </w:t>
      </w:r>
      <w:r w:rsidR="008D139C" w:rsidRPr="000455E5">
        <w:rPr>
          <w:rFonts w:eastAsia="Times New Roman"/>
          <w:sz w:val="15"/>
        </w:rPr>
        <w:t>C</w:t>
      </w:r>
      <w:r w:rsidRPr="000455E5">
        <w:rPr>
          <w:rFonts w:eastAsia="Times New Roman"/>
          <w:sz w:val="15"/>
        </w:rPr>
        <w:t xml:space="preserve">ommon </w:t>
      </w:r>
      <w:r w:rsidR="008D139C" w:rsidRPr="000455E5">
        <w:rPr>
          <w:rFonts w:eastAsia="Times New Roman"/>
          <w:sz w:val="15"/>
        </w:rPr>
        <w:t>T</w:t>
      </w:r>
      <w:r w:rsidRPr="000455E5">
        <w:rPr>
          <w:rFonts w:eastAsia="Times New Roman"/>
          <w:sz w:val="15"/>
        </w:rPr>
        <w:t xml:space="preserve">erminology </w:t>
      </w:r>
      <w:r w:rsidR="008D139C" w:rsidRPr="000455E5">
        <w:rPr>
          <w:rFonts w:eastAsia="Times New Roman"/>
          <w:sz w:val="15"/>
        </w:rPr>
        <w:t>C</w:t>
      </w:r>
      <w:r w:rsidRPr="000455E5">
        <w:rPr>
          <w:rFonts w:eastAsia="Times New Roman"/>
          <w:sz w:val="15"/>
        </w:rPr>
        <w:t xml:space="preserve">riteria for </w:t>
      </w:r>
      <w:r w:rsidR="008D139C" w:rsidRPr="000455E5">
        <w:rPr>
          <w:rFonts w:eastAsia="Times New Roman"/>
          <w:sz w:val="15"/>
        </w:rPr>
        <w:t>A</w:t>
      </w:r>
      <w:r w:rsidRPr="000455E5">
        <w:rPr>
          <w:rFonts w:eastAsia="Times New Roman"/>
          <w:sz w:val="15"/>
        </w:rPr>
        <w:t xml:space="preserve">dverse </w:t>
      </w:r>
      <w:r w:rsidR="008D139C" w:rsidRPr="000455E5">
        <w:rPr>
          <w:rFonts w:eastAsia="Times New Roman"/>
          <w:sz w:val="15"/>
        </w:rPr>
        <w:t>E</w:t>
      </w:r>
      <w:r w:rsidRPr="000455E5">
        <w:rPr>
          <w:rFonts w:eastAsia="Times New Roman"/>
          <w:sz w:val="15"/>
        </w:rPr>
        <w:t>vent</w:t>
      </w:r>
      <w:r w:rsidR="00A4452E" w:rsidRPr="000455E5">
        <w:rPr>
          <w:rFonts w:eastAsia="Times New Roman"/>
          <w:sz w:val="15"/>
        </w:rPr>
        <w:t>s</w:t>
      </w:r>
      <w:r w:rsidRPr="000455E5">
        <w:rPr>
          <w:rFonts w:eastAsia="Times New Roman"/>
          <w:sz w:val="15"/>
        </w:rPr>
        <w:t xml:space="preserve">; </w:t>
      </w:r>
      <w:r w:rsidR="006F68C9" w:rsidRPr="000455E5">
        <w:rPr>
          <w:rFonts w:eastAsia="Times New Roman"/>
          <w:sz w:val="15"/>
        </w:rPr>
        <w:t>LVEF</w:t>
      </w:r>
      <w:r w:rsidR="002B7051" w:rsidRPr="000455E5">
        <w:rPr>
          <w:rFonts w:hint="eastAsia"/>
          <w:sz w:val="15"/>
        </w:rPr>
        <w:t>,</w:t>
      </w:r>
      <w:r w:rsidR="002B7051" w:rsidRPr="000455E5">
        <w:rPr>
          <w:sz w:val="15"/>
        </w:rPr>
        <w:t xml:space="preserve"> </w:t>
      </w:r>
      <w:r w:rsidR="002B7051" w:rsidRPr="000455E5">
        <w:rPr>
          <w:rFonts w:eastAsia="Times New Roman"/>
          <w:sz w:val="15"/>
        </w:rPr>
        <w:t xml:space="preserve">left </w:t>
      </w:r>
      <w:r w:rsidR="00F66429" w:rsidRPr="000455E5">
        <w:rPr>
          <w:rFonts w:eastAsia="Times New Roman"/>
          <w:sz w:val="15"/>
        </w:rPr>
        <w:t>v</w:t>
      </w:r>
      <w:r w:rsidR="006F68C9" w:rsidRPr="000455E5">
        <w:rPr>
          <w:rFonts w:eastAsia="Times New Roman"/>
          <w:sz w:val="15"/>
        </w:rPr>
        <w:t>entricular</w:t>
      </w:r>
      <w:r w:rsidR="00F66429" w:rsidRPr="000455E5">
        <w:rPr>
          <w:rFonts w:eastAsia="Times New Roman"/>
          <w:sz w:val="15"/>
        </w:rPr>
        <w:t xml:space="preserve"> e</w:t>
      </w:r>
      <w:r w:rsidR="006F68C9" w:rsidRPr="000455E5">
        <w:rPr>
          <w:rFonts w:eastAsia="Times New Roman"/>
          <w:sz w:val="15"/>
        </w:rPr>
        <w:t>jection</w:t>
      </w:r>
      <w:r w:rsidRPr="000455E5">
        <w:rPr>
          <w:rFonts w:eastAsia="Times New Roman"/>
          <w:sz w:val="15"/>
        </w:rPr>
        <w:t xml:space="preserve"> </w:t>
      </w:r>
      <w:r w:rsidR="002B7051" w:rsidRPr="000455E5">
        <w:rPr>
          <w:rFonts w:eastAsia="Times New Roman"/>
          <w:sz w:val="15"/>
        </w:rPr>
        <w:t>f</w:t>
      </w:r>
      <w:r w:rsidR="006F68C9" w:rsidRPr="000455E5">
        <w:rPr>
          <w:rFonts w:eastAsia="Times New Roman"/>
          <w:sz w:val="15"/>
        </w:rPr>
        <w:t xml:space="preserve">raction. </w:t>
      </w:r>
      <w:r w:rsidRPr="000455E5">
        <w:rPr>
          <w:rFonts w:eastAsia="Times New Roman"/>
          <w:sz w:val="15"/>
        </w:rPr>
        <w:t xml:space="preserve">NCI, National Cancer Institute. </w:t>
      </w:r>
      <w:r w:rsidR="00F66429" w:rsidRPr="000455E5">
        <w:rPr>
          <w:sz w:val="15"/>
        </w:rPr>
        <w:t>C</w:t>
      </w:r>
      <w:r w:rsidR="006F68C9" w:rsidRPr="000455E5">
        <w:rPr>
          <w:rFonts w:hint="eastAsia"/>
          <w:sz w:val="15"/>
        </w:rPr>
        <w:t xml:space="preserve">linical treatment or observation </w:t>
      </w:r>
      <w:r w:rsidR="00F66429" w:rsidRPr="000455E5">
        <w:rPr>
          <w:sz w:val="15"/>
        </w:rPr>
        <w:t>by t</w:t>
      </w:r>
      <w:r w:rsidR="00F66429" w:rsidRPr="000455E5">
        <w:rPr>
          <w:rFonts w:hint="eastAsia"/>
          <w:sz w:val="15"/>
        </w:rPr>
        <w:t xml:space="preserve">he investigator </w:t>
      </w:r>
      <w:r w:rsidR="00F66429" w:rsidRPr="000455E5">
        <w:rPr>
          <w:sz w:val="15"/>
        </w:rPr>
        <w:t xml:space="preserve">are </w:t>
      </w:r>
      <w:r w:rsidR="006F68C9" w:rsidRPr="000455E5">
        <w:rPr>
          <w:rFonts w:hint="eastAsia"/>
          <w:sz w:val="15"/>
        </w:rPr>
        <w:t xml:space="preserve">based on the </w:t>
      </w:r>
      <w:r w:rsidR="006F68C9" w:rsidRPr="000455E5">
        <w:rPr>
          <w:sz w:val="15"/>
        </w:rPr>
        <w:t>patients</w:t>
      </w:r>
      <w:r w:rsidR="006F68C9" w:rsidRPr="000455E5">
        <w:rPr>
          <w:rFonts w:hint="eastAsia"/>
          <w:sz w:val="15"/>
        </w:rPr>
        <w:t xml:space="preserve"> and adverse events. If </w:t>
      </w:r>
      <w:r w:rsidR="00B102B7" w:rsidRPr="000455E5">
        <w:rPr>
          <w:sz w:val="15"/>
        </w:rPr>
        <w:t xml:space="preserve">adverse events continue to </w:t>
      </w:r>
      <w:r w:rsidR="006F68C9" w:rsidRPr="000455E5">
        <w:rPr>
          <w:sz w:val="15"/>
        </w:rPr>
        <w:t>appear (&lt;</w:t>
      </w:r>
      <w:r w:rsidR="00B102B7" w:rsidRPr="000455E5">
        <w:rPr>
          <w:sz w:val="15"/>
        </w:rPr>
        <w:t xml:space="preserve"> </w:t>
      </w:r>
      <w:r w:rsidR="006F68C9" w:rsidRPr="000455E5">
        <w:rPr>
          <w:sz w:val="15"/>
        </w:rPr>
        <w:t>14 days)</w:t>
      </w:r>
      <w:r w:rsidR="006F68C9" w:rsidRPr="000455E5">
        <w:rPr>
          <w:rFonts w:hint="eastAsia"/>
          <w:sz w:val="15"/>
        </w:rPr>
        <w:t xml:space="preserve">, it is recommended </w:t>
      </w:r>
      <w:r w:rsidR="00B102B7" w:rsidRPr="000455E5">
        <w:rPr>
          <w:sz w:val="15"/>
        </w:rPr>
        <w:t xml:space="preserve">that </w:t>
      </w:r>
      <w:r w:rsidR="006F68C9" w:rsidRPr="000455E5">
        <w:rPr>
          <w:rFonts w:hint="eastAsia"/>
          <w:sz w:val="15"/>
        </w:rPr>
        <w:t xml:space="preserve">the medication </w:t>
      </w:r>
      <w:r w:rsidR="00B102B7" w:rsidRPr="000455E5">
        <w:rPr>
          <w:sz w:val="15"/>
        </w:rPr>
        <w:t xml:space="preserve">should be adjusted </w:t>
      </w:r>
      <w:r w:rsidR="006F68C9" w:rsidRPr="000455E5">
        <w:rPr>
          <w:rFonts w:hint="eastAsia"/>
          <w:sz w:val="15"/>
        </w:rPr>
        <w:t>according to this form.</w:t>
      </w:r>
    </w:p>
    <w:p w14:paraId="757EAC28" w14:textId="40999707" w:rsidR="00745E38" w:rsidRPr="000455E5" w:rsidRDefault="006F68C9" w:rsidP="00BB168E">
      <w:pPr>
        <w:pStyle w:val="a3"/>
        <w:ind w:firstLineChars="0" w:firstLine="420"/>
      </w:pPr>
      <w:r w:rsidRPr="000455E5">
        <w:t xml:space="preserve">Trastuzumab </w:t>
      </w:r>
      <w:r w:rsidR="00B10E48" w:rsidRPr="000455E5">
        <w:t xml:space="preserve">can </w:t>
      </w:r>
      <w:r w:rsidRPr="000455E5">
        <w:t xml:space="preserve">be stopped or delayed to assess or treat </w:t>
      </w:r>
      <w:r w:rsidR="005069F4" w:rsidRPr="000455E5">
        <w:t>adverse effects (</w:t>
      </w:r>
      <w:r w:rsidRPr="000455E5">
        <w:t>AE</w:t>
      </w:r>
      <w:r w:rsidR="005069F4" w:rsidRPr="000455E5">
        <w:t>)</w:t>
      </w:r>
      <w:r w:rsidRPr="000455E5">
        <w:t xml:space="preserve">. No dose reductions </w:t>
      </w:r>
      <w:r w:rsidR="00F66429" w:rsidRPr="000455E5">
        <w:t xml:space="preserve">are </w:t>
      </w:r>
      <w:r w:rsidRPr="000455E5">
        <w:t>allowed</w:t>
      </w:r>
      <w:r w:rsidRPr="000455E5">
        <w:rPr>
          <w:rFonts w:hint="eastAsia"/>
        </w:rPr>
        <w:t>.</w:t>
      </w:r>
      <w:r w:rsidRPr="000455E5">
        <w:t xml:space="preserve"> The </w:t>
      </w:r>
      <w:r w:rsidRPr="000455E5">
        <w:rPr>
          <w:rFonts w:hint="eastAsia"/>
        </w:rPr>
        <w:t>detail</w:t>
      </w:r>
      <w:r w:rsidR="005069F4" w:rsidRPr="000455E5">
        <w:t>ed</w:t>
      </w:r>
      <w:r w:rsidRPr="000455E5">
        <w:t xml:space="preserve"> regime</w:t>
      </w:r>
      <w:r w:rsidR="00F71763" w:rsidRPr="000455E5">
        <w:t>n</w:t>
      </w:r>
      <w:r w:rsidRPr="000455E5">
        <w:t xml:space="preserve"> </w:t>
      </w:r>
      <w:r w:rsidRPr="000455E5">
        <w:rPr>
          <w:rFonts w:hint="eastAsia"/>
        </w:rPr>
        <w:t>will</w:t>
      </w:r>
      <w:r w:rsidRPr="000455E5">
        <w:t xml:space="preserve"> follow </w:t>
      </w:r>
      <w:r w:rsidR="00F66429" w:rsidRPr="000455E5">
        <w:t xml:space="preserve">the </w:t>
      </w:r>
      <w:r w:rsidRPr="000455E5">
        <w:t xml:space="preserve">local label </w:t>
      </w:r>
      <w:r w:rsidR="00167C00" w:rsidRPr="000455E5">
        <w:t>and guidelines</w:t>
      </w:r>
      <w:r w:rsidRPr="000455E5">
        <w:t>.</w:t>
      </w:r>
      <w:r w:rsidR="00BB168E" w:rsidRPr="000455E5">
        <w:t xml:space="preserve"> </w:t>
      </w:r>
      <w:r w:rsidRPr="000455E5">
        <w:t>Delay</w:t>
      </w:r>
      <w:r w:rsidR="00B10E48" w:rsidRPr="000455E5">
        <w:t>s</w:t>
      </w:r>
      <w:r w:rsidRPr="000455E5">
        <w:t>, reduc</w:t>
      </w:r>
      <w:r w:rsidR="00B10E48" w:rsidRPr="000455E5">
        <w:t>tions</w:t>
      </w:r>
      <w:r w:rsidRPr="000455E5">
        <w:t xml:space="preserve"> or discontinu</w:t>
      </w:r>
      <w:r w:rsidR="00B10E48" w:rsidRPr="000455E5">
        <w:t>ations</w:t>
      </w:r>
      <w:r w:rsidRPr="000455E5">
        <w:t xml:space="preserve"> </w:t>
      </w:r>
      <w:r w:rsidR="00F71763" w:rsidRPr="000455E5">
        <w:t xml:space="preserve">of </w:t>
      </w:r>
      <w:r w:rsidRPr="000455E5">
        <w:t>AI</w:t>
      </w:r>
      <w:r w:rsidR="005069F4" w:rsidRPr="000455E5">
        <w:t xml:space="preserve"> </w:t>
      </w:r>
      <w:r w:rsidRPr="000455E5">
        <w:t>are based on the label and local guidelines in China.</w:t>
      </w:r>
    </w:p>
    <w:p w14:paraId="37BD1535" w14:textId="77777777" w:rsidR="00745E38" w:rsidRPr="000455E5" w:rsidRDefault="00745E38" w:rsidP="001D4773">
      <w:pPr>
        <w:pStyle w:val="1"/>
      </w:pPr>
      <w:r w:rsidRPr="000455E5">
        <w:t>Data analysis sets</w:t>
      </w:r>
    </w:p>
    <w:p w14:paraId="1F9755FF" w14:textId="0FB3CE62" w:rsidR="00745E38" w:rsidRPr="000455E5" w:rsidRDefault="00745E38" w:rsidP="00BB168E">
      <w:pPr>
        <w:pStyle w:val="a3"/>
        <w:ind w:firstLineChars="0" w:firstLine="340"/>
      </w:pPr>
      <w:r w:rsidRPr="000455E5">
        <w:t xml:space="preserve">The analysis set in this study includes </w:t>
      </w:r>
      <w:bookmarkStart w:id="1" w:name="_Hlk18576488"/>
      <w:r w:rsidRPr="000455E5">
        <w:t>full analysis set (FAS)</w:t>
      </w:r>
      <w:bookmarkEnd w:id="1"/>
      <w:r w:rsidRPr="000455E5">
        <w:t>, per protocol set (PPS)</w:t>
      </w:r>
      <w:r w:rsidR="000E69A2" w:rsidRPr="000455E5">
        <w:t xml:space="preserve"> and </w:t>
      </w:r>
      <w:r w:rsidRPr="000455E5">
        <w:t>safety set.</w:t>
      </w:r>
      <w:r w:rsidRPr="000455E5">
        <w:rPr>
          <w:rFonts w:hint="eastAsia"/>
        </w:rPr>
        <w:t xml:space="preserve"> </w:t>
      </w:r>
    </w:p>
    <w:p w14:paraId="34C00C11" w14:textId="1E9E52BB" w:rsidR="00745E38" w:rsidRPr="000455E5" w:rsidRDefault="00BB168E" w:rsidP="00BB168E">
      <w:pPr>
        <w:pStyle w:val="a3"/>
        <w:ind w:firstLineChars="0" w:firstLine="340"/>
      </w:pPr>
      <w:r w:rsidRPr="000455E5">
        <w:t>FAS</w:t>
      </w:r>
      <w:r w:rsidR="00745E38" w:rsidRPr="000455E5">
        <w:t xml:space="preserve"> is an analysis set determined in accordance with </w:t>
      </w:r>
      <w:r w:rsidR="00F66429" w:rsidRPr="000455E5">
        <w:t xml:space="preserve">the </w:t>
      </w:r>
      <w:r w:rsidR="00745E38" w:rsidRPr="000455E5">
        <w:t xml:space="preserve">intention-to-treat principle. All the subjects who are randomized and </w:t>
      </w:r>
      <w:r w:rsidR="00AD2973" w:rsidRPr="000455E5">
        <w:t xml:space="preserve">have </w:t>
      </w:r>
      <w:r w:rsidR="00745E38" w:rsidRPr="000455E5">
        <w:t>receive</w:t>
      </w:r>
      <w:r w:rsidR="00AD2973" w:rsidRPr="000455E5">
        <w:t>d</w:t>
      </w:r>
      <w:r w:rsidR="00745E38" w:rsidRPr="000455E5">
        <w:t xml:space="preserve"> at least one dose of investigational product will be included in this set. The </w:t>
      </w:r>
      <w:r w:rsidR="00DE06A7" w:rsidRPr="000455E5">
        <w:t xml:space="preserve">FAS </w:t>
      </w:r>
      <w:r w:rsidR="00745E38" w:rsidRPr="000455E5">
        <w:t>is the primary analysis set for efficacy analysis in this study.</w:t>
      </w:r>
    </w:p>
    <w:p w14:paraId="13C346EF" w14:textId="43FB5DBD" w:rsidR="00745E38" w:rsidRPr="000455E5" w:rsidRDefault="00B237C1" w:rsidP="00DE06A7">
      <w:pPr>
        <w:pStyle w:val="a3"/>
        <w:ind w:firstLineChars="0" w:firstLine="340"/>
      </w:pPr>
      <w:r w:rsidRPr="000455E5">
        <w:t>PPS</w:t>
      </w:r>
      <w:r w:rsidR="00745E38" w:rsidRPr="000455E5">
        <w:t xml:space="preserve"> is a subset of </w:t>
      </w:r>
      <w:r w:rsidR="006B597B" w:rsidRPr="000455E5">
        <w:t>FAS</w:t>
      </w:r>
      <w:r w:rsidR="00745E38" w:rsidRPr="000455E5">
        <w:t xml:space="preserve">. All the subjects who are randomized, have received at least one dose of investigational product and have no important deviation from the protocol will be included in this analysis set. </w:t>
      </w:r>
    </w:p>
    <w:p w14:paraId="173F6CAB" w14:textId="60B263BC" w:rsidR="00745E38" w:rsidRPr="000455E5" w:rsidRDefault="00745E38" w:rsidP="00DE06A7">
      <w:pPr>
        <w:pStyle w:val="a3"/>
        <w:ind w:firstLineChars="0" w:firstLine="340"/>
      </w:pPr>
      <w:r w:rsidRPr="000455E5">
        <w:lastRenderedPageBreak/>
        <w:t>Safety set: all the subjects who are randomized and have received at least one dose of investigational product will be included in the analysis set.</w:t>
      </w:r>
    </w:p>
    <w:p w14:paraId="36A91C88" w14:textId="71DDDA05" w:rsidR="00417B5B" w:rsidRPr="000455E5" w:rsidRDefault="00417B5B" w:rsidP="001D4773">
      <w:pPr>
        <w:pStyle w:val="1"/>
      </w:pPr>
      <w:r w:rsidRPr="000455E5">
        <w:t>Permitted or prohibited during the trial</w:t>
      </w:r>
    </w:p>
    <w:p w14:paraId="2A7C8D18" w14:textId="336ACE4C" w:rsidR="00417B5B" w:rsidRPr="000455E5" w:rsidRDefault="00417B5B" w:rsidP="00DE06A7">
      <w:pPr>
        <w:pStyle w:val="a3"/>
        <w:ind w:firstLineChars="0" w:firstLine="340"/>
      </w:pPr>
      <w:r w:rsidRPr="000455E5">
        <w:t>Patients can receive best supportive care</w:t>
      </w:r>
      <w:r w:rsidR="00836888" w:rsidRPr="000455E5">
        <w:t>. A</w:t>
      </w:r>
      <w:r w:rsidRPr="000455E5">
        <w:t>ctive treatment should be administ</w:t>
      </w:r>
      <w:r w:rsidR="00DE06A7" w:rsidRPr="000455E5">
        <w:t>er</w:t>
      </w:r>
      <w:r w:rsidRPr="000455E5">
        <w:t>ed if there</w:t>
      </w:r>
      <w:r w:rsidR="00836888" w:rsidRPr="000455E5">
        <w:t xml:space="preserve"> are</w:t>
      </w:r>
      <w:r w:rsidRPr="000455E5">
        <w:t xml:space="preserve"> clinical concomitant diseases and various </w:t>
      </w:r>
      <w:r w:rsidR="00836888" w:rsidRPr="000455E5">
        <w:t>AEs.</w:t>
      </w:r>
      <w:r w:rsidRPr="000455E5">
        <w:t xml:space="preserve"> </w:t>
      </w:r>
    </w:p>
    <w:p w14:paraId="4A288168" w14:textId="6F37CD3B" w:rsidR="008F79D3" w:rsidRPr="000455E5" w:rsidRDefault="00417B5B" w:rsidP="00DE06A7">
      <w:pPr>
        <w:pStyle w:val="a3"/>
        <w:ind w:firstLineChars="0" w:firstLine="340"/>
      </w:pPr>
      <w:r w:rsidRPr="000455E5">
        <w:t xml:space="preserve">During the treatment period, anti-tumor drugs and adjuvant drugs related to </w:t>
      </w:r>
      <w:r w:rsidR="00836888" w:rsidRPr="000455E5">
        <w:t xml:space="preserve">breast cancer </w:t>
      </w:r>
      <w:r w:rsidRPr="000455E5">
        <w:t>therapy should be discontinued, including anti-tumor traditional Chinese medicine and other immunological preparations.</w:t>
      </w:r>
    </w:p>
    <w:p w14:paraId="0C790763" w14:textId="76BF25D5" w:rsidR="008F79D3" w:rsidRPr="000455E5" w:rsidRDefault="008F79D3" w:rsidP="001D4773">
      <w:pPr>
        <w:pStyle w:val="1"/>
      </w:pPr>
      <w:r w:rsidRPr="000455E5">
        <w:rPr>
          <w:rFonts w:hint="eastAsia"/>
        </w:rPr>
        <w:t>D</w:t>
      </w:r>
      <w:r w:rsidRPr="000455E5">
        <w:t>ata collection</w:t>
      </w:r>
    </w:p>
    <w:p w14:paraId="5F4FA9A7" w14:textId="70F137D8" w:rsidR="008F79D3" w:rsidRPr="000455E5" w:rsidRDefault="008F79D3" w:rsidP="00DE06A7">
      <w:pPr>
        <w:pStyle w:val="HR"/>
        <w:ind w:firstLineChars="0" w:firstLine="340"/>
        <w:rPr>
          <w:lang w:val="en-US" w:eastAsia="zh-CN"/>
        </w:rPr>
      </w:pPr>
      <w:r w:rsidRPr="000455E5">
        <w:rPr>
          <w:lang w:val="en-US" w:eastAsia="zh-CN"/>
        </w:rPr>
        <w:t>An e</w:t>
      </w:r>
      <w:r w:rsidR="00854AB0" w:rsidRPr="000455E5">
        <w:rPr>
          <w:lang w:val="en-US" w:eastAsia="zh-CN"/>
        </w:rPr>
        <w:t>lectronic case report form (e</w:t>
      </w:r>
      <w:r w:rsidRPr="000455E5">
        <w:rPr>
          <w:lang w:val="en-US" w:eastAsia="zh-CN"/>
        </w:rPr>
        <w:t>CRF</w:t>
      </w:r>
      <w:r w:rsidR="00854AB0" w:rsidRPr="000455E5">
        <w:rPr>
          <w:lang w:val="en-US" w:eastAsia="zh-CN"/>
        </w:rPr>
        <w:t>)</w:t>
      </w:r>
      <w:r w:rsidRPr="000455E5">
        <w:rPr>
          <w:lang w:val="en-US" w:eastAsia="zh-CN"/>
        </w:rPr>
        <w:t xml:space="preserve"> is used for data collection in this study; Jiangsu </w:t>
      </w:r>
      <w:proofErr w:type="spellStart"/>
      <w:r w:rsidRPr="000455E5">
        <w:rPr>
          <w:lang w:val="en-US" w:eastAsia="zh-CN"/>
        </w:rPr>
        <w:t>Hengrui</w:t>
      </w:r>
      <w:proofErr w:type="spellEnd"/>
      <w:r w:rsidRPr="000455E5">
        <w:rPr>
          <w:lang w:val="en-US" w:eastAsia="zh-CN"/>
        </w:rPr>
        <w:t xml:space="preserve"> Medicine Co., Ltd. will provide study institutions with </w:t>
      </w:r>
      <w:r w:rsidR="00F66429" w:rsidRPr="000455E5">
        <w:rPr>
          <w:lang w:val="en-US" w:eastAsia="zh-CN"/>
        </w:rPr>
        <w:t xml:space="preserve">the </w:t>
      </w:r>
      <w:r w:rsidR="00DE06A7" w:rsidRPr="000455E5">
        <w:rPr>
          <w:lang w:val="en-US" w:eastAsia="zh-CN"/>
        </w:rPr>
        <w:t>EDC</w:t>
      </w:r>
      <w:r w:rsidRPr="000455E5">
        <w:rPr>
          <w:lang w:val="en-US" w:eastAsia="zh-CN"/>
        </w:rPr>
        <w:t xml:space="preserve"> system. </w:t>
      </w:r>
    </w:p>
    <w:p w14:paraId="0E2C60C9" w14:textId="6D73D7BB" w:rsidR="008F79D3" w:rsidRPr="000455E5" w:rsidRDefault="008F79D3" w:rsidP="00DE06A7">
      <w:pPr>
        <w:pStyle w:val="HR"/>
        <w:ind w:firstLineChars="0" w:firstLine="340"/>
        <w:rPr>
          <w:lang w:val="en-US" w:eastAsia="zh-CN"/>
        </w:rPr>
      </w:pPr>
      <w:r w:rsidRPr="000455E5">
        <w:rPr>
          <w:lang w:val="en-US" w:eastAsia="zh-CN"/>
        </w:rPr>
        <w:t>The nurse</w:t>
      </w:r>
      <w:r w:rsidR="00643240" w:rsidRPr="000455E5">
        <w:rPr>
          <w:lang w:val="en-US" w:eastAsia="zh-CN"/>
        </w:rPr>
        <w:t>s</w:t>
      </w:r>
      <w:r w:rsidRPr="000455E5">
        <w:rPr>
          <w:lang w:val="en-US" w:eastAsia="zh-CN"/>
        </w:rPr>
        <w:t xml:space="preserve"> or </w:t>
      </w:r>
      <w:r w:rsidR="00643240" w:rsidRPr="000455E5">
        <w:rPr>
          <w:lang w:val="en-US" w:eastAsia="zh-CN"/>
        </w:rPr>
        <w:t>clinical research coordinators</w:t>
      </w:r>
      <w:r w:rsidRPr="000455E5">
        <w:rPr>
          <w:lang w:val="en-US" w:eastAsia="zh-CN"/>
        </w:rPr>
        <w:t xml:space="preserve"> will use </w:t>
      </w:r>
      <w:r w:rsidR="00F66429" w:rsidRPr="000455E5">
        <w:rPr>
          <w:lang w:val="en-US" w:eastAsia="zh-CN"/>
        </w:rPr>
        <w:t xml:space="preserve">the </w:t>
      </w:r>
      <w:r w:rsidRPr="000455E5">
        <w:rPr>
          <w:lang w:val="en-US" w:eastAsia="zh-CN"/>
        </w:rPr>
        <w:t>EDC system for the designated personnel at the study institutions. The study staff at the study institutions cannot log in</w:t>
      </w:r>
      <w:r w:rsidR="00F66429" w:rsidRPr="000455E5">
        <w:rPr>
          <w:lang w:val="en-US" w:eastAsia="zh-CN"/>
        </w:rPr>
        <w:t>to the</w:t>
      </w:r>
      <w:r w:rsidRPr="000455E5">
        <w:rPr>
          <w:lang w:val="en-US" w:eastAsia="zh-CN"/>
        </w:rPr>
        <w:t xml:space="preserve"> EDC system until their training </w:t>
      </w:r>
      <w:r w:rsidR="00F66429" w:rsidRPr="000455E5">
        <w:rPr>
          <w:lang w:val="en-US" w:eastAsia="zh-CN"/>
        </w:rPr>
        <w:t>is</w:t>
      </w:r>
      <w:r w:rsidRPr="000455E5">
        <w:rPr>
          <w:lang w:val="en-US" w:eastAsia="zh-CN"/>
        </w:rPr>
        <w:t xml:space="preserve"> complete. </w:t>
      </w:r>
      <w:r w:rsidR="005168C9" w:rsidRPr="000455E5">
        <w:rPr>
          <w:lang w:val="en-US" w:eastAsia="zh-CN"/>
        </w:rPr>
        <w:t>Investigators</w:t>
      </w:r>
      <w:r w:rsidRPr="000455E5">
        <w:rPr>
          <w:lang w:val="en-US" w:eastAsia="zh-CN"/>
        </w:rPr>
        <w:t xml:space="preserve"> or dedicated data entry operator</w:t>
      </w:r>
      <w:r w:rsidR="00F66429" w:rsidRPr="000455E5">
        <w:rPr>
          <w:lang w:val="en-US" w:eastAsia="zh-CN"/>
        </w:rPr>
        <w:t>s</w:t>
      </w:r>
      <w:r w:rsidRPr="000455E5">
        <w:rPr>
          <w:lang w:val="en-US" w:eastAsia="zh-CN"/>
        </w:rPr>
        <w:t xml:space="preserve"> should enter data into </w:t>
      </w:r>
      <w:r w:rsidR="00F66429" w:rsidRPr="000455E5">
        <w:rPr>
          <w:lang w:val="en-US" w:eastAsia="zh-CN"/>
        </w:rPr>
        <w:t xml:space="preserve">the </w:t>
      </w:r>
      <w:r w:rsidRPr="000455E5">
        <w:rPr>
          <w:lang w:val="en-US" w:eastAsia="zh-CN"/>
        </w:rPr>
        <w:t xml:space="preserve">EDC system in accordance with the visit schedule requirement and the eCRF completion guideline. </w:t>
      </w:r>
    </w:p>
    <w:p w14:paraId="1796B617" w14:textId="6CB092C6" w:rsidR="008F79D3" w:rsidRPr="000455E5" w:rsidRDefault="008F79D3" w:rsidP="001D4773">
      <w:pPr>
        <w:pStyle w:val="1"/>
      </w:pPr>
      <w:r w:rsidRPr="000455E5">
        <w:t>Protocol violation</w:t>
      </w:r>
    </w:p>
    <w:p w14:paraId="683E8960" w14:textId="2A53CF08" w:rsidR="008F79D3" w:rsidRPr="000455E5" w:rsidRDefault="008F79D3" w:rsidP="005168C9">
      <w:pPr>
        <w:pStyle w:val="HR"/>
        <w:ind w:firstLineChars="0" w:firstLine="340"/>
        <w:rPr>
          <w:lang w:val="en-US" w:eastAsia="zh-CN"/>
        </w:rPr>
      </w:pPr>
      <w:r w:rsidRPr="000455E5">
        <w:rPr>
          <w:lang w:val="en-US" w:eastAsia="zh-CN"/>
        </w:rPr>
        <w:t xml:space="preserve">All the requirements specified in the protocol must be followed strictly. Any intentional or unintentional behavior of deviation from or violation </w:t>
      </w:r>
      <w:r w:rsidR="00F66429" w:rsidRPr="000455E5">
        <w:rPr>
          <w:lang w:val="en-US" w:eastAsia="zh-CN"/>
        </w:rPr>
        <w:t>of</w:t>
      </w:r>
      <w:r w:rsidRPr="000455E5">
        <w:rPr>
          <w:lang w:val="en-US" w:eastAsia="zh-CN"/>
        </w:rPr>
        <w:t xml:space="preserve"> the trial protocol could be classified as a deviation from or a violation to the protocol.</w:t>
      </w:r>
      <w:r w:rsidR="005168C9" w:rsidRPr="000455E5">
        <w:rPr>
          <w:lang w:val="en-US" w:eastAsia="zh-CN"/>
        </w:rPr>
        <w:t xml:space="preserve"> </w:t>
      </w:r>
      <w:r w:rsidRPr="000455E5">
        <w:rPr>
          <w:lang w:val="en-US" w:eastAsia="zh-CN"/>
        </w:rPr>
        <w:t>Investigator</w:t>
      </w:r>
      <w:r w:rsidR="0034781E" w:rsidRPr="000455E5">
        <w:rPr>
          <w:lang w:val="en-US" w:eastAsia="zh-CN"/>
        </w:rPr>
        <w:t>s</w:t>
      </w:r>
      <w:r w:rsidRPr="000455E5">
        <w:rPr>
          <w:lang w:val="en-US" w:eastAsia="zh-CN"/>
        </w:rPr>
        <w:t xml:space="preserve"> sh</w:t>
      </w:r>
      <w:r w:rsidR="0034781E" w:rsidRPr="000455E5">
        <w:rPr>
          <w:lang w:val="en-US" w:eastAsia="zh-CN"/>
        </w:rPr>
        <w:t>ould</w:t>
      </w:r>
      <w:r w:rsidRPr="000455E5">
        <w:rPr>
          <w:lang w:val="en-US" w:eastAsia="zh-CN"/>
        </w:rPr>
        <w:t xml:space="preserve"> document the protocol violation and record the time of the finding, </w:t>
      </w:r>
      <w:r w:rsidR="00F66429" w:rsidRPr="000455E5">
        <w:rPr>
          <w:lang w:val="en-US" w:eastAsia="zh-CN"/>
        </w:rPr>
        <w:t xml:space="preserve">the </w:t>
      </w:r>
      <w:r w:rsidRPr="000455E5">
        <w:rPr>
          <w:lang w:val="en-US" w:eastAsia="zh-CN"/>
        </w:rPr>
        <w:t>onset time</w:t>
      </w:r>
      <w:r w:rsidR="00881394" w:rsidRPr="000455E5">
        <w:rPr>
          <w:lang w:val="en-US" w:eastAsia="zh-CN"/>
        </w:rPr>
        <w:t>,</w:t>
      </w:r>
      <w:r w:rsidRPr="000455E5">
        <w:rPr>
          <w:lang w:val="en-US" w:eastAsia="zh-CN"/>
        </w:rPr>
        <w:t xml:space="preserve"> the event process, </w:t>
      </w:r>
      <w:r w:rsidR="00F66429" w:rsidRPr="000455E5">
        <w:rPr>
          <w:lang w:val="en-US" w:eastAsia="zh-CN"/>
        </w:rPr>
        <w:t xml:space="preserve">the </w:t>
      </w:r>
      <w:r w:rsidRPr="000455E5">
        <w:rPr>
          <w:lang w:val="en-US" w:eastAsia="zh-CN"/>
        </w:rPr>
        <w:t>reasons</w:t>
      </w:r>
      <w:r w:rsidR="00F66429" w:rsidRPr="000455E5">
        <w:rPr>
          <w:lang w:val="en-US" w:eastAsia="zh-CN"/>
        </w:rPr>
        <w:t xml:space="preserve"> for the violation</w:t>
      </w:r>
      <w:r w:rsidRPr="000455E5">
        <w:rPr>
          <w:lang w:val="en-US" w:eastAsia="zh-CN"/>
        </w:rPr>
        <w:t xml:space="preserve"> and any corresponding measures </w:t>
      </w:r>
      <w:r w:rsidR="00881394" w:rsidRPr="000455E5">
        <w:rPr>
          <w:lang w:val="en-US" w:eastAsia="zh-CN"/>
        </w:rPr>
        <w:t>under</w:t>
      </w:r>
      <w:r w:rsidRPr="000455E5">
        <w:rPr>
          <w:lang w:val="en-US" w:eastAsia="zh-CN"/>
        </w:rPr>
        <w:t xml:space="preserve">taken if there </w:t>
      </w:r>
      <w:r w:rsidR="00F66429" w:rsidRPr="000455E5">
        <w:rPr>
          <w:lang w:val="en-US" w:eastAsia="zh-CN"/>
        </w:rPr>
        <w:t xml:space="preserve">is found to be any </w:t>
      </w:r>
      <w:r w:rsidRPr="000455E5">
        <w:rPr>
          <w:lang w:val="en-US" w:eastAsia="zh-CN"/>
        </w:rPr>
        <w:t xml:space="preserve">deviation from </w:t>
      </w:r>
      <w:r w:rsidR="00F66429" w:rsidRPr="000455E5">
        <w:rPr>
          <w:lang w:val="en-US" w:eastAsia="zh-CN"/>
        </w:rPr>
        <w:t xml:space="preserve">the </w:t>
      </w:r>
      <w:r w:rsidRPr="000455E5">
        <w:rPr>
          <w:lang w:val="en-US" w:eastAsia="zh-CN"/>
        </w:rPr>
        <w:t xml:space="preserve">protocol. The record </w:t>
      </w:r>
      <w:r w:rsidR="00B55590" w:rsidRPr="000455E5">
        <w:rPr>
          <w:lang w:val="en-US" w:eastAsia="zh-CN"/>
        </w:rPr>
        <w:t>should</w:t>
      </w:r>
      <w:r w:rsidRPr="000455E5">
        <w:rPr>
          <w:lang w:val="en-US" w:eastAsia="zh-CN"/>
        </w:rPr>
        <w:t xml:space="preserve"> be signed by the investigator</w:t>
      </w:r>
      <w:r w:rsidR="00B55590" w:rsidRPr="000455E5">
        <w:rPr>
          <w:lang w:val="en-US" w:eastAsia="zh-CN"/>
        </w:rPr>
        <w:t>s</w:t>
      </w:r>
      <w:r w:rsidRPr="000455E5">
        <w:rPr>
          <w:lang w:val="en-US" w:eastAsia="zh-CN"/>
        </w:rPr>
        <w:t xml:space="preserve"> and reported to the ethics committee.</w:t>
      </w:r>
    </w:p>
    <w:p w14:paraId="1FAF1146" w14:textId="68D36D1E" w:rsidR="008F79D3" w:rsidRPr="000455E5" w:rsidRDefault="008F79D3" w:rsidP="001D4773">
      <w:pPr>
        <w:pStyle w:val="1"/>
      </w:pPr>
      <w:r w:rsidRPr="000455E5">
        <w:lastRenderedPageBreak/>
        <w:t>Data management</w:t>
      </w:r>
    </w:p>
    <w:p w14:paraId="01ADC82B" w14:textId="6C3A36FA" w:rsidR="008F79D3" w:rsidRPr="000455E5" w:rsidRDefault="008F79D3" w:rsidP="005168C9">
      <w:pPr>
        <w:pStyle w:val="HR"/>
        <w:ind w:firstLineChars="0" w:firstLine="340"/>
        <w:rPr>
          <w:lang w:val="en-US" w:eastAsia="zh-CN"/>
        </w:rPr>
      </w:pPr>
      <w:r w:rsidRPr="000455E5">
        <w:rPr>
          <w:lang w:val="en-US" w:eastAsia="zh-CN"/>
        </w:rPr>
        <w:t xml:space="preserve">The investigators should agree to maintain all study materials, including the original record during hospitalization, informed consent, </w:t>
      </w:r>
      <w:r w:rsidR="00881394" w:rsidRPr="000455E5">
        <w:rPr>
          <w:lang w:val="en-US" w:eastAsia="zh-CN"/>
        </w:rPr>
        <w:t xml:space="preserve">the </w:t>
      </w:r>
      <w:r w:rsidRPr="000455E5">
        <w:rPr>
          <w:lang w:val="en-US" w:eastAsia="zh-CN"/>
        </w:rPr>
        <w:t xml:space="preserve">case report form and </w:t>
      </w:r>
      <w:r w:rsidR="00881394" w:rsidRPr="000455E5">
        <w:rPr>
          <w:lang w:val="en-US" w:eastAsia="zh-CN"/>
        </w:rPr>
        <w:t xml:space="preserve">the </w:t>
      </w:r>
      <w:r w:rsidRPr="000455E5">
        <w:rPr>
          <w:lang w:val="en-US" w:eastAsia="zh-CN"/>
        </w:rPr>
        <w:t xml:space="preserve">detailed record of drug dispensation. </w:t>
      </w:r>
    </w:p>
    <w:p w14:paraId="75489143" w14:textId="234D286E" w:rsidR="008F79D3" w:rsidRPr="000455E5" w:rsidRDefault="008F79D3" w:rsidP="005168C9">
      <w:pPr>
        <w:pStyle w:val="HR"/>
        <w:ind w:firstLineChars="0" w:firstLine="340"/>
        <w:rPr>
          <w:lang w:val="en-US" w:eastAsia="zh-CN"/>
        </w:rPr>
      </w:pPr>
      <w:r w:rsidRPr="000455E5">
        <w:rPr>
          <w:lang w:val="en-US" w:eastAsia="zh-CN"/>
        </w:rPr>
        <w:t>The study materials should be maintained by the research institution until 5 years after the end of the clinical trial.</w:t>
      </w:r>
    </w:p>
    <w:p w14:paraId="6214BF9A" w14:textId="34F337B5" w:rsidR="008F79D3" w:rsidRPr="000455E5" w:rsidRDefault="008F79D3" w:rsidP="001D4773">
      <w:pPr>
        <w:pStyle w:val="1"/>
      </w:pPr>
      <w:r w:rsidRPr="000455E5">
        <w:t xml:space="preserve">Data </w:t>
      </w:r>
      <w:r w:rsidR="009F02BF" w:rsidRPr="000455E5">
        <w:t>imputation</w:t>
      </w:r>
    </w:p>
    <w:p w14:paraId="241159E5" w14:textId="0142A693" w:rsidR="008F79D3" w:rsidRPr="000455E5" w:rsidRDefault="008F79D3" w:rsidP="005168C9">
      <w:pPr>
        <w:pStyle w:val="HR"/>
        <w:ind w:firstLineChars="0" w:firstLine="340"/>
        <w:rPr>
          <w:lang w:val="en-US" w:eastAsia="zh-CN"/>
        </w:rPr>
      </w:pPr>
      <w:r w:rsidRPr="000455E5">
        <w:rPr>
          <w:lang w:val="en-US" w:eastAsia="zh-CN"/>
        </w:rPr>
        <w:t>Efficacy parameter</w:t>
      </w:r>
      <w:r w:rsidR="009F02BF" w:rsidRPr="000455E5">
        <w:rPr>
          <w:lang w:val="en-US" w:eastAsia="zh-CN"/>
        </w:rPr>
        <w:t>s</w:t>
      </w:r>
      <w:r w:rsidRPr="000455E5">
        <w:rPr>
          <w:lang w:val="en-US" w:eastAsia="zh-CN"/>
        </w:rPr>
        <w:t>: all the missing values in the main efficacy parameters due to premature withdrawal will be regarded as “unable to be evaluated”</w:t>
      </w:r>
      <w:r w:rsidR="00245017" w:rsidRPr="000455E5">
        <w:rPr>
          <w:lang w:val="en-US" w:eastAsia="zh-CN"/>
        </w:rPr>
        <w:t>.</w:t>
      </w:r>
      <w:r w:rsidRPr="000455E5">
        <w:rPr>
          <w:lang w:val="en-US" w:eastAsia="zh-CN"/>
        </w:rPr>
        <w:t xml:space="preserve"> </w:t>
      </w:r>
      <w:r w:rsidR="00B80DEA" w:rsidRPr="000455E5">
        <w:rPr>
          <w:lang w:val="en-US" w:eastAsia="zh-CN"/>
        </w:rPr>
        <w:t>For</w:t>
      </w:r>
      <w:r w:rsidRPr="000455E5">
        <w:rPr>
          <w:lang w:val="en-US" w:eastAsia="zh-CN"/>
        </w:rPr>
        <w:t xml:space="preserve"> calculation of the time-to-event variables involved (</w:t>
      </w:r>
      <w:r w:rsidR="004F7C69" w:rsidRPr="000455E5">
        <w:rPr>
          <w:lang w:val="en-US" w:eastAsia="zh-CN"/>
        </w:rPr>
        <w:t>e.g. PFS and</w:t>
      </w:r>
      <w:r w:rsidRPr="000455E5">
        <w:rPr>
          <w:lang w:val="en-US" w:eastAsia="zh-CN"/>
        </w:rPr>
        <w:t xml:space="preserve"> OS), subjects whose post-treatment radiological evaluation is missing will be checked case by case</w:t>
      </w:r>
      <w:r w:rsidR="00B7620B" w:rsidRPr="000455E5">
        <w:rPr>
          <w:lang w:val="en-US" w:eastAsia="zh-CN"/>
        </w:rPr>
        <w:t xml:space="preserve"> </w:t>
      </w:r>
      <w:r w:rsidRPr="000455E5">
        <w:rPr>
          <w:lang w:val="en-US" w:eastAsia="zh-CN"/>
        </w:rPr>
        <w:t>to determine their censored times.</w:t>
      </w:r>
    </w:p>
    <w:p w14:paraId="5A4B31A1" w14:textId="499B8625" w:rsidR="008F79D3" w:rsidRPr="000455E5" w:rsidRDefault="008F79D3" w:rsidP="001D4773">
      <w:pPr>
        <w:pStyle w:val="1"/>
      </w:pPr>
      <w:r w:rsidRPr="000455E5">
        <w:t>Serious adverse event (SAE)</w:t>
      </w:r>
    </w:p>
    <w:p w14:paraId="5A5D3424" w14:textId="09331496" w:rsidR="008F79D3" w:rsidRPr="000455E5" w:rsidRDefault="00CB40FB" w:rsidP="005168C9">
      <w:pPr>
        <w:pStyle w:val="a3"/>
        <w:ind w:firstLineChars="0" w:firstLine="340"/>
      </w:pPr>
      <w:r w:rsidRPr="000455E5">
        <w:t xml:space="preserve">A serious </w:t>
      </w:r>
      <w:r w:rsidR="008F79D3" w:rsidRPr="000455E5">
        <w:t xml:space="preserve">adverse event (SAE) is defined as </w:t>
      </w:r>
      <w:r w:rsidRPr="000455E5">
        <w:t xml:space="preserve">a </w:t>
      </w:r>
      <w:r w:rsidR="008F79D3" w:rsidRPr="000455E5">
        <w:t>medical event requiring hospitalization, prolonged hospital stay, disability, affect</w:t>
      </w:r>
      <w:r w:rsidR="00D769F8" w:rsidRPr="000455E5">
        <w:t>s</w:t>
      </w:r>
      <w:r w:rsidR="008F79D3" w:rsidRPr="000455E5">
        <w:t xml:space="preserve"> working ability, is life-threatening or fatal,</w:t>
      </w:r>
      <w:r w:rsidR="00D769F8" w:rsidRPr="000455E5">
        <w:t xml:space="preserve"> </w:t>
      </w:r>
      <w:r w:rsidRPr="000455E5">
        <w:t>or</w:t>
      </w:r>
      <w:r w:rsidR="00D769F8" w:rsidRPr="000455E5">
        <w:t xml:space="preserve"> leads </w:t>
      </w:r>
      <w:r w:rsidR="008F79D3" w:rsidRPr="000455E5">
        <w:t xml:space="preserve">to congenital malformation during the clinical trial. </w:t>
      </w:r>
      <w:r w:rsidR="0013028A" w:rsidRPr="000455E5">
        <w:t xml:space="preserve">The </w:t>
      </w:r>
      <w:r w:rsidR="008F79D3" w:rsidRPr="000455E5">
        <w:t>unexpected medical events</w:t>
      </w:r>
      <w:r w:rsidR="0013028A" w:rsidRPr="000455E5">
        <w:t xml:space="preserve"> are included</w:t>
      </w:r>
      <w:r w:rsidR="001D4773" w:rsidRPr="000455E5">
        <w:t xml:space="preserve"> below</w:t>
      </w:r>
      <w:r w:rsidR="008F79D3" w:rsidRPr="000455E5">
        <w:t>:</w:t>
      </w:r>
    </w:p>
    <w:p w14:paraId="44A61E1F" w14:textId="07A96768" w:rsidR="008F79D3" w:rsidRPr="000455E5" w:rsidRDefault="008F79D3" w:rsidP="008F79D3">
      <w:pPr>
        <w:pStyle w:val="HR"/>
        <w:ind w:firstLineChars="0" w:firstLine="0"/>
        <w:rPr>
          <w:lang w:val="en-US" w:eastAsia="zh-CN"/>
        </w:rPr>
      </w:pPr>
      <w:r w:rsidRPr="000455E5">
        <w:rPr>
          <w:lang w:val="en-US" w:eastAsia="zh-CN"/>
        </w:rPr>
        <w:t>1</w:t>
      </w:r>
      <w:r w:rsidR="005168C9" w:rsidRPr="000455E5">
        <w:rPr>
          <w:lang w:val="en-US" w:eastAsia="zh-CN"/>
        </w:rPr>
        <w:t>)</w:t>
      </w:r>
      <w:r w:rsidRPr="000455E5">
        <w:rPr>
          <w:lang w:val="en-US" w:eastAsia="zh-CN"/>
        </w:rPr>
        <w:t>.</w:t>
      </w:r>
      <w:r w:rsidRPr="000455E5">
        <w:rPr>
          <w:lang w:val="en-US" w:eastAsia="zh-CN"/>
        </w:rPr>
        <w:tab/>
        <w:t>Events that result in death;</w:t>
      </w:r>
    </w:p>
    <w:p w14:paraId="33DE6B52" w14:textId="5F1E9BBC" w:rsidR="008F79D3" w:rsidRPr="000455E5" w:rsidRDefault="008F79D3" w:rsidP="008F79D3">
      <w:pPr>
        <w:pStyle w:val="HR"/>
        <w:ind w:firstLineChars="0" w:firstLine="0"/>
        <w:rPr>
          <w:lang w:val="en-US" w:eastAsia="zh-CN"/>
        </w:rPr>
      </w:pPr>
      <w:r w:rsidRPr="000455E5">
        <w:rPr>
          <w:lang w:val="en-US" w:eastAsia="zh-CN"/>
        </w:rPr>
        <w:t>2</w:t>
      </w:r>
      <w:r w:rsidR="005168C9" w:rsidRPr="000455E5">
        <w:rPr>
          <w:lang w:val="en-US" w:eastAsia="zh-CN"/>
        </w:rPr>
        <w:t>)</w:t>
      </w:r>
      <w:r w:rsidRPr="000455E5">
        <w:rPr>
          <w:lang w:val="en-US" w:eastAsia="zh-CN"/>
        </w:rPr>
        <w:t>.</w:t>
      </w:r>
      <w:r w:rsidRPr="000455E5">
        <w:rPr>
          <w:lang w:val="en-US" w:eastAsia="zh-CN"/>
        </w:rPr>
        <w:tab/>
        <w:t>Life-threatening events (defined as risk of death</w:t>
      </w:r>
      <w:r w:rsidR="00881394" w:rsidRPr="000455E5">
        <w:rPr>
          <w:lang w:val="en-US" w:eastAsia="zh-CN"/>
        </w:rPr>
        <w:t xml:space="preserve"> </w:t>
      </w:r>
      <w:r w:rsidRPr="000455E5">
        <w:rPr>
          <w:lang w:val="en-US" w:eastAsia="zh-CN"/>
        </w:rPr>
        <w:t xml:space="preserve">at </w:t>
      </w:r>
      <w:r w:rsidR="00881394" w:rsidRPr="000455E5">
        <w:rPr>
          <w:lang w:val="en-US" w:eastAsia="zh-CN"/>
        </w:rPr>
        <w:t xml:space="preserve">the </w:t>
      </w:r>
      <w:r w:rsidRPr="000455E5">
        <w:rPr>
          <w:lang w:val="en-US" w:eastAsia="zh-CN"/>
        </w:rPr>
        <w:t>onset of the event);</w:t>
      </w:r>
    </w:p>
    <w:p w14:paraId="76C7FD61" w14:textId="0611F9EF" w:rsidR="008F79D3" w:rsidRPr="000455E5" w:rsidRDefault="008F79D3" w:rsidP="008F79D3">
      <w:pPr>
        <w:pStyle w:val="HR"/>
        <w:ind w:firstLineChars="0" w:firstLine="0"/>
        <w:rPr>
          <w:lang w:val="en-US" w:eastAsia="zh-CN"/>
        </w:rPr>
      </w:pPr>
      <w:r w:rsidRPr="000455E5">
        <w:rPr>
          <w:lang w:val="en-US" w:eastAsia="zh-CN"/>
        </w:rPr>
        <w:t>3</w:t>
      </w:r>
      <w:r w:rsidR="005168C9" w:rsidRPr="000455E5">
        <w:rPr>
          <w:lang w:val="en-US" w:eastAsia="zh-CN"/>
        </w:rPr>
        <w:t>)</w:t>
      </w:r>
      <w:r w:rsidRPr="000455E5">
        <w:rPr>
          <w:lang w:val="en-US" w:eastAsia="zh-CN"/>
        </w:rPr>
        <w:t>.</w:t>
      </w:r>
      <w:r w:rsidRPr="000455E5">
        <w:rPr>
          <w:lang w:val="en-US" w:eastAsia="zh-CN"/>
        </w:rPr>
        <w:tab/>
        <w:t>Events that require in-patient hospitalization or prolonged hospitalization;</w:t>
      </w:r>
    </w:p>
    <w:p w14:paraId="71507536" w14:textId="52712755" w:rsidR="008F79D3" w:rsidRPr="000455E5" w:rsidRDefault="008F79D3" w:rsidP="008F79D3">
      <w:pPr>
        <w:pStyle w:val="HR"/>
        <w:ind w:firstLineChars="0" w:firstLine="0"/>
        <w:rPr>
          <w:lang w:val="en-US" w:eastAsia="zh-CN"/>
        </w:rPr>
      </w:pPr>
      <w:r w:rsidRPr="000455E5">
        <w:rPr>
          <w:lang w:val="en-US" w:eastAsia="zh-CN"/>
        </w:rPr>
        <w:t>4</w:t>
      </w:r>
      <w:r w:rsidR="005168C9" w:rsidRPr="000455E5">
        <w:rPr>
          <w:lang w:val="en-US" w:eastAsia="zh-CN"/>
        </w:rPr>
        <w:t>)</w:t>
      </w:r>
      <w:r w:rsidRPr="000455E5">
        <w:rPr>
          <w:lang w:val="en-US" w:eastAsia="zh-CN"/>
        </w:rPr>
        <w:t>.</w:t>
      </w:r>
      <w:r w:rsidRPr="000455E5">
        <w:rPr>
          <w:lang w:val="en-US" w:eastAsia="zh-CN"/>
        </w:rPr>
        <w:tab/>
        <w:t>Events that</w:t>
      </w:r>
      <w:r w:rsidR="00881394" w:rsidRPr="000455E5">
        <w:rPr>
          <w:lang w:val="en-US" w:eastAsia="zh-CN"/>
        </w:rPr>
        <w:t xml:space="preserve"> </w:t>
      </w:r>
      <w:r w:rsidRPr="000455E5">
        <w:rPr>
          <w:lang w:val="en-US" w:eastAsia="zh-CN"/>
        </w:rPr>
        <w:t>resulted in persistent or significant disability/incapacity; a congenital abnormality or birth defect;</w:t>
      </w:r>
    </w:p>
    <w:p w14:paraId="39F822A0" w14:textId="66E9BA97" w:rsidR="008F79D3" w:rsidRPr="000455E5" w:rsidRDefault="008F79D3" w:rsidP="005168C9">
      <w:pPr>
        <w:pStyle w:val="a3"/>
        <w:ind w:firstLineChars="0" w:firstLine="420"/>
      </w:pPr>
      <w:r w:rsidRPr="000455E5">
        <w:t>The occurrence, clinical control and prognosis of all serious adverse events should be followed up by investigators until recovery to normal, relief or stability, and recorded in the original medical record</w:t>
      </w:r>
      <w:r w:rsidR="00CD07A8" w:rsidRPr="000455E5">
        <w:t>,</w:t>
      </w:r>
      <w:r w:rsidRPr="000455E5">
        <w:t xml:space="preserve"> </w:t>
      </w:r>
      <w:r w:rsidR="00CD07A8" w:rsidRPr="000455E5">
        <w:t>th</w:t>
      </w:r>
      <w:r w:rsidR="00D34A58" w:rsidRPr="000455E5">
        <w:t>e</w:t>
      </w:r>
      <w:r w:rsidR="00CD07A8" w:rsidRPr="000455E5">
        <w:t xml:space="preserve"> </w:t>
      </w:r>
      <w:r w:rsidRPr="000455E5">
        <w:t xml:space="preserve">eCRF in detail (including </w:t>
      </w:r>
      <w:r w:rsidR="00881394" w:rsidRPr="000455E5">
        <w:t xml:space="preserve">the </w:t>
      </w:r>
      <w:r w:rsidRPr="000455E5">
        <w:t>adverse event report form</w:t>
      </w:r>
      <w:r w:rsidR="00254BA0" w:rsidRPr="000455E5">
        <w:t xml:space="preserve">; </w:t>
      </w:r>
      <w:r w:rsidRPr="000455E5">
        <w:t xml:space="preserve">the death report form </w:t>
      </w:r>
      <w:r w:rsidR="00D769F8" w:rsidRPr="000455E5">
        <w:t>must</w:t>
      </w:r>
      <w:r w:rsidRPr="000455E5">
        <w:t xml:space="preserve"> be filled in in case of death record), and a SAE report form</w:t>
      </w:r>
      <w:r w:rsidR="00AE78BF" w:rsidRPr="000455E5">
        <w:t xml:space="preserve">. </w:t>
      </w:r>
      <w:r w:rsidRPr="000455E5">
        <w:t xml:space="preserve">Serious adverse events should be </w:t>
      </w:r>
      <w:r w:rsidR="00881394" w:rsidRPr="000455E5">
        <w:t>monitored for</w:t>
      </w:r>
      <w:r w:rsidRPr="000455E5">
        <w:t xml:space="preserve"> 28 days (inclusive) from the </w:t>
      </w:r>
      <w:r w:rsidRPr="000455E5">
        <w:lastRenderedPageBreak/>
        <w:t xml:space="preserve">signing of the informed consent form </w:t>
      </w:r>
      <w:r w:rsidR="00881394" w:rsidRPr="000455E5">
        <w:t xml:space="preserve">until </w:t>
      </w:r>
      <w:r w:rsidRPr="000455E5">
        <w:t xml:space="preserve">the last dose of study drug. </w:t>
      </w:r>
      <w:r w:rsidR="00EC748D" w:rsidRPr="000455E5">
        <w:t>SAE</w:t>
      </w:r>
      <w:r w:rsidR="00881394" w:rsidRPr="000455E5">
        <w:t>s</w:t>
      </w:r>
      <w:r w:rsidRPr="000455E5">
        <w:t xml:space="preserve"> during the trial should be reported within 24 hours </w:t>
      </w:r>
      <w:r w:rsidR="00881394" w:rsidRPr="000455E5">
        <w:t xml:space="preserve">of </w:t>
      </w:r>
      <w:r w:rsidRPr="000455E5">
        <w:t xml:space="preserve">discovery, </w:t>
      </w:r>
      <w:r w:rsidR="00DA61BD" w:rsidRPr="000455E5">
        <w:t>and</w:t>
      </w:r>
      <w:r w:rsidRPr="000455E5">
        <w:t xml:space="preserve"> </w:t>
      </w:r>
      <w:r w:rsidR="00881394" w:rsidRPr="000455E5">
        <w:t xml:space="preserve">in case of </w:t>
      </w:r>
      <w:r w:rsidRPr="000455E5">
        <w:t xml:space="preserve">death must be reported immediately. </w:t>
      </w:r>
      <w:r w:rsidR="00EC268E" w:rsidRPr="000455E5">
        <w:t xml:space="preserve">All deaths </w:t>
      </w:r>
      <w:r w:rsidRPr="000455E5">
        <w:t xml:space="preserve">should be reported to the ethics committee of the study unit, the general office of </w:t>
      </w:r>
      <w:r w:rsidR="00EC268E" w:rsidRPr="000455E5">
        <w:t xml:space="preserve">the </w:t>
      </w:r>
      <w:r w:rsidRPr="000455E5">
        <w:t xml:space="preserve">China Food and Drug Administration and </w:t>
      </w:r>
      <w:r w:rsidR="00EC268E" w:rsidRPr="000455E5">
        <w:t xml:space="preserve">the </w:t>
      </w:r>
      <w:r w:rsidRPr="000455E5">
        <w:t xml:space="preserve">local (provincial or municipal) Food and Drug Administration where the investigators are located. </w:t>
      </w:r>
      <w:r w:rsidR="00EC268E" w:rsidRPr="000455E5">
        <w:t xml:space="preserve">All </w:t>
      </w:r>
      <w:r w:rsidR="000B361C" w:rsidRPr="000455E5">
        <w:t>SAE</w:t>
      </w:r>
      <w:r w:rsidR="00EC268E" w:rsidRPr="000455E5">
        <w:t>s</w:t>
      </w:r>
      <w:r w:rsidRPr="000455E5">
        <w:t xml:space="preserve"> that occur 28 days after the last dose </w:t>
      </w:r>
      <w:r w:rsidR="00EC268E" w:rsidRPr="000455E5">
        <w:t>do not need to be</w:t>
      </w:r>
      <w:r w:rsidRPr="000455E5">
        <w:t xml:space="preserve"> reported unless </w:t>
      </w:r>
      <w:r w:rsidR="00EC268E" w:rsidRPr="000455E5">
        <w:t xml:space="preserve">they are </w:t>
      </w:r>
      <w:r w:rsidRPr="000455E5">
        <w:t>related to the study drug.</w:t>
      </w:r>
    </w:p>
    <w:p w14:paraId="21E70A52" w14:textId="69DCE559" w:rsidR="008F79D3" w:rsidRPr="000455E5" w:rsidRDefault="008F79D3" w:rsidP="005168C9">
      <w:pPr>
        <w:pStyle w:val="a3"/>
        <w:ind w:firstLineChars="0" w:firstLine="340"/>
      </w:pPr>
      <w:r w:rsidRPr="000455E5">
        <w:t xml:space="preserve">The record of </w:t>
      </w:r>
      <w:r w:rsidR="00EC268E" w:rsidRPr="000455E5">
        <w:t xml:space="preserve">the </w:t>
      </w:r>
      <w:r w:rsidRPr="000455E5">
        <w:t>SAE should include detailed symptoms, severity, time of onset, time of management, measures taken, follow-up time and method</w:t>
      </w:r>
      <w:r w:rsidR="00EC268E" w:rsidRPr="000455E5">
        <w:t>,</w:t>
      </w:r>
      <w:r w:rsidRPr="000455E5">
        <w:t xml:space="preserve"> as well as outcome. If the investigator</w:t>
      </w:r>
      <w:r w:rsidR="00331507" w:rsidRPr="000455E5">
        <w:t>s</w:t>
      </w:r>
      <w:r w:rsidRPr="000455E5">
        <w:t xml:space="preserve"> consider that a </w:t>
      </w:r>
      <w:r w:rsidR="00331507" w:rsidRPr="000455E5">
        <w:t>SAE</w:t>
      </w:r>
      <w:r w:rsidRPr="000455E5">
        <w:t xml:space="preserve"> is not related to the study drug </w:t>
      </w:r>
      <w:r w:rsidR="00EC268E" w:rsidRPr="000455E5">
        <w:t xml:space="preserve">but is </w:t>
      </w:r>
      <w:r w:rsidRPr="000455E5">
        <w:t xml:space="preserve">potentially related to the study condition (e.g., termination of the original treatment or comorbidity during the trial), </w:t>
      </w:r>
      <w:r w:rsidR="00EC268E" w:rsidRPr="000455E5">
        <w:t>this</w:t>
      </w:r>
      <w:r w:rsidRPr="000455E5">
        <w:t xml:space="preserve"> should be described on the </w:t>
      </w:r>
      <w:r w:rsidR="00094B05" w:rsidRPr="000455E5">
        <w:t xml:space="preserve">SAE </w:t>
      </w:r>
      <w:r w:rsidRPr="000455E5">
        <w:t xml:space="preserve">page of the case report form. All </w:t>
      </w:r>
      <w:r w:rsidR="00094B05" w:rsidRPr="000455E5">
        <w:t>SAE</w:t>
      </w:r>
      <w:r w:rsidR="00EC268E" w:rsidRPr="000455E5">
        <w:t>s</w:t>
      </w:r>
      <w:r w:rsidRPr="000455E5">
        <w:t xml:space="preserve"> must be followed up</w:t>
      </w:r>
      <w:r w:rsidR="00EC268E" w:rsidRPr="000455E5">
        <w:t xml:space="preserve"> until the patient has </w:t>
      </w:r>
      <w:r w:rsidRPr="000455E5">
        <w:t>recover</w:t>
      </w:r>
      <w:r w:rsidR="00A95196" w:rsidRPr="000455E5">
        <w:t>ed</w:t>
      </w:r>
      <w:r w:rsidRPr="000455E5">
        <w:t xml:space="preserve"> or </w:t>
      </w:r>
      <w:r w:rsidR="00EC268E" w:rsidRPr="000455E5">
        <w:t xml:space="preserve">is </w:t>
      </w:r>
      <w:r w:rsidRPr="000455E5">
        <w:t>stab</w:t>
      </w:r>
      <w:r w:rsidR="00A95196" w:rsidRPr="000455E5">
        <w:t>le</w:t>
      </w:r>
      <w:r w:rsidRPr="000455E5">
        <w:t>.</w:t>
      </w:r>
    </w:p>
    <w:p w14:paraId="52396614" w14:textId="2E4EA197" w:rsidR="008F79D3" w:rsidRPr="000455E5" w:rsidRDefault="008F79D3" w:rsidP="001D4773">
      <w:pPr>
        <w:pStyle w:val="1"/>
      </w:pPr>
      <w:r w:rsidRPr="000455E5">
        <w:t>Protocol amendments</w:t>
      </w:r>
    </w:p>
    <w:p w14:paraId="1999F54D" w14:textId="2DDBA7DF" w:rsidR="008F79D3" w:rsidRPr="000455E5" w:rsidRDefault="008F79D3" w:rsidP="005168C9">
      <w:pPr>
        <w:pStyle w:val="a3"/>
        <w:ind w:firstLineChars="0" w:firstLine="340"/>
      </w:pPr>
      <w:r w:rsidRPr="000455E5">
        <w:t xml:space="preserve">Except for the </w:t>
      </w:r>
      <w:r w:rsidR="00EC268E" w:rsidRPr="000455E5">
        <w:t>p</w:t>
      </w:r>
      <w:r w:rsidRPr="000455E5">
        <w:t>rincipal investigator, no one can make amendment</w:t>
      </w:r>
      <w:r w:rsidR="00EC268E" w:rsidRPr="000455E5">
        <w:t>s</w:t>
      </w:r>
      <w:r w:rsidRPr="000455E5">
        <w:t xml:space="preserve"> to the protocol. Any change to the protocol </w:t>
      </w:r>
      <w:r w:rsidR="00EC268E" w:rsidRPr="000455E5">
        <w:t>must be made on</w:t>
      </w:r>
      <w:r w:rsidRPr="000455E5">
        <w:t xml:space="preserve"> an amendment form, and submitted to the ethics committee for approval or </w:t>
      </w:r>
      <w:r w:rsidR="00EC268E" w:rsidRPr="000455E5">
        <w:t xml:space="preserve">the </w:t>
      </w:r>
      <w:r w:rsidRPr="000455E5">
        <w:t xml:space="preserve">record </w:t>
      </w:r>
      <w:r w:rsidR="00EC268E" w:rsidRPr="000455E5">
        <w:t xml:space="preserve">kept </w:t>
      </w:r>
      <w:r w:rsidRPr="000455E5">
        <w:t>after signature by the principal investigator</w:t>
      </w:r>
      <w:r w:rsidR="008A1B5B" w:rsidRPr="000455E5">
        <w:t xml:space="preserve">. </w:t>
      </w:r>
      <w:r w:rsidR="00EC268E" w:rsidRPr="000455E5">
        <w:t>D</w:t>
      </w:r>
      <w:r w:rsidRPr="000455E5">
        <w:t>etailed information on historic amendments should be described in the protocol.</w:t>
      </w:r>
    </w:p>
    <w:p w14:paraId="1455CF49" w14:textId="134481F4" w:rsidR="008F79D3" w:rsidRPr="000455E5" w:rsidRDefault="008F79D3" w:rsidP="001D4773">
      <w:pPr>
        <w:pStyle w:val="1"/>
      </w:pPr>
      <w:r w:rsidRPr="000455E5">
        <w:t>Consent or assent</w:t>
      </w:r>
    </w:p>
    <w:p w14:paraId="463A1C05" w14:textId="0F31E47E" w:rsidR="008F79D3" w:rsidRPr="000455E5" w:rsidRDefault="008F79D3" w:rsidP="005168C9">
      <w:pPr>
        <w:pStyle w:val="a3"/>
        <w:ind w:firstLineChars="0" w:firstLine="340"/>
      </w:pPr>
      <w:r w:rsidRPr="000455E5">
        <w:t xml:space="preserve">Subjects must be informed of participation in the trial and provide written approval prior to the start of study treatment to ensure </w:t>
      </w:r>
      <w:r w:rsidR="008A1B5B" w:rsidRPr="000455E5">
        <w:t>t</w:t>
      </w:r>
      <w:r w:rsidRPr="000455E5">
        <w:t>he</w:t>
      </w:r>
      <w:r w:rsidR="008A1B5B" w:rsidRPr="000455E5">
        <w:rPr>
          <w:rFonts w:hint="eastAsia"/>
        </w:rPr>
        <w:t>i</w:t>
      </w:r>
      <w:r w:rsidRPr="000455E5">
        <w:t xml:space="preserve">r legal </w:t>
      </w:r>
      <w:r w:rsidR="008A1B5B" w:rsidRPr="000455E5">
        <w:rPr>
          <w:rFonts w:hint="eastAsia"/>
        </w:rPr>
        <w:t>rights</w:t>
      </w:r>
      <w:r w:rsidRPr="000455E5">
        <w:t xml:space="preserve">. Investigators are responsible for </w:t>
      </w:r>
      <w:r w:rsidR="00EC268E" w:rsidRPr="000455E5">
        <w:t xml:space="preserve">a </w:t>
      </w:r>
      <w:r w:rsidRPr="000455E5">
        <w:t>complete and full introduction of the objectives of this study, drug effect</w:t>
      </w:r>
      <w:r w:rsidR="00A434FA" w:rsidRPr="000455E5">
        <w:rPr>
          <w:rFonts w:hint="eastAsia"/>
        </w:rPr>
        <w:t>s</w:t>
      </w:r>
      <w:r w:rsidRPr="000455E5">
        <w:t>, possible side effect</w:t>
      </w:r>
      <w:r w:rsidR="00A434FA" w:rsidRPr="000455E5">
        <w:t>s</w:t>
      </w:r>
      <w:r w:rsidRPr="000455E5">
        <w:t xml:space="preserve"> and risks to subjects,</w:t>
      </w:r>
      <w:r w:rsidR="005A0F74" w:rsidRPr="000455E5">
        <w:t xml:space="preserve"> and </w:t>
      </w:r>
      <w:r w:rsidRPr="000455E5">
        <w:t>should</w:t>
      </w:r>
      <w:r w:rsidR="005A0F74" w:rsidRPr="000455E5">
        <w:t xml:space="preserve"> also</w:t>
      </w:r>
      <w:r w:rsidRPr="000455E5">
        <w:t xml:space="preserve"> </w:t>
      </w:r>
      <w:r w:rsidR="00A434FA" w:rsidRPr="000455E5">
        <w:t>clarify</w:t>
      </w:r>
      <w:r w:rsidRPr="000455E5">
        <w:t xml:space="preserve"> </w:t>
      </w:r>
      <w:r w:rsidR="00A434FA" w:rsidRPr="000455E5">
        <w:t>patients</w:t>
      </w:r>
      <w:r w:rsidR="00EC268E" w:rsidRPr="000455E5">
        <w:t>’</w:t>
      </w:r>
      <w:r w:rsidRPr="000455E5">
        <w:t xml:space="preserve"> rights, risks and benefits. Conversation is a very important process of informed consent. If the subject and </w:t>
      </w:r>
      <w:r w:rsidR="0088115C" w:rsidRPr="000455E5">
        <w:t>her</w:t>
      </w:r>
      <w:r w:rsidRPr="000455E5">
        <w:t xml:space="preserve"> legal representative have </w:t>
      </w:r>
      <w:r w:rsidR="0016220A" w:rsidRPr="000455E5">
        <w:rPr>
          <w:rFonts w:hint="eastAsia"/>
        </w:rPr>
        <w:t>diminished</w:t>
      </w:r>
      <w:r w:rsidR="0016220A" w:rsidRPr="000455E5">
        <w:t xml:space="preserve"> </w:t>
      </w:r>
      <w:r w:rsidRPr="000455E5">
        <w:t>cognitive ability, a witness should be involved in the informed consent process</w:t>
      </w:r>
      <w:r w:rsidR="0088115C" w:rsidRPr="000455E5">
        <w:t xml:space="preserve">. </w:t>
      </w:r>
      <w:r w:rsidR="00757A0A" w:rsidRPr="000455E5">
        <w:t xml:space="preserve">In such </w:t>
      </w:r>
      <w:r w:rsidR="00EC268E" w:rsidRPr="000455E5">
        <w:t xml:space="preserve">a </w:t>
      </w:r>
      <w:r w:rsidR="00757A0A" w:rsidRPr="000455E5">
        <w:t>case, oral consent</w:t>
      </w:r>
      <w:r w:rsidR="00EC268E" w:rsidRPr="000455E5">
        <w:t>,</w:t>
      </w:r>
      <w:r w:rsidR="00757A0A" w:rsidRPr="000455E5">
        <w:t xml:space="preserve"> </w:t>
      </w:r>
      <w:r w:rsidR="002D04C9" w:rsidRPr="000455E5">
        <w:t xml:space="preserve">the </w:t>
      </w:r>
      <w:r w:rsidR="00EC268E" w:rsidRPr="000455E5">
        <w:t>s</w:t>
      </w:r>
      <w:r w:rsidR="005E4995" w:rsidRPr="000455E5">
        <w:t>ignature of the subject/her legal representative</w:t>
      </w:r>
      <w:r w:rsidR="00EC268E" w:rsidRPr="000455E5">
        <w:t>,</w:t>
      </w:r>
      <w:r w:rsidR="005E4995" w:rsidRPr="000455E5">
        <w:t xml:space="preserve"> </w:t>
      </w:r>
      <w:r w:rsidR="00EC268E" w:rsidRPr="000455E5">
        <w:t xml:space="preserve">together </w:t>
      </w:r>
      <w:r w:rsidR="00757A0A" w:rsidRPr="000455E5">
        <w:t>with</w:t>
      </w:r>
      <w:r w:rsidR="005E4995" w:rsidRPr="000455E5">
        <w:t xml:space="preserve"> the</w:t>
      </w:r>
      <w:r w:rsidR="00757A0A" w:rsidRPr="000455E5">
        <w:t xml:space="preserve"> signature of the</w:t>
      </w:r>
      <w:r w:rsidR="005E4995" w:rsidRPr="000455E5">
        <w:t xml:space="preserve"> witness are </w:t>
      </w:r>
      <w:r w:rsidR="00757A0A" w:rsidRPr="000455E5">
        <w:t xml:space="preserve">required on the same day. </w:t>
      </w:r>
      <w:r w:rsidRPr="000455E5">
        <w:t>The version number and date should be noted on the informed consent form.</w:t>
      </w:r>
    </w:p>
    <w:p w14:paraId="307C5B03" w14:textId="77777777" w:rsidR="008F79D3" w:rsidRPr="000455E5" w:rsidRDefault="008F79D3" w:rsidP="008F79D3">
      <w:pPr>
        <w:pStyle w:val="a3"/>
        <w:ind w:firstLineChars="0" w:firstLine="0"/>
      </w:pPr>
    </w:p>
    <w:sectPr w:rsidR="008F79D3" w:rsidRPr="000455E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C55F" w14:textId="77777777" w:rsidR="00B10E48" w:rsidRDefault="00B10E48" w:rsidP="006F68C9">
      <w:pPr>
        <w:spacing w:line="240" w:lineRule="auto"/>
        <w:ind w:firstLine="480"/>
      </w:pPr>
      <w:r>
        <w:separator/>
      </w:r>
    </w:p>
  </w:endnote>
  <w:endnote w:type="continuationSeparator" w:id="0">
    <w:p w14:paraId="7ED940C0" w14:textId="77777777" w:rsidR="00B10E48" w:rsidRDefault="00B10E48" w:rsidP="006F68C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default"/>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99D5" w14:textId="77777777" w:rsidR="00B10E48" w:rsidRDefault="00B10E48">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D759" w14:textId="77777777" w:rsidR="00B10E48" w:rsidRDefault="00B10E48">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5CFB" w14:textId="77777777" w:rsidR="00B10E48" w:rsidRDefault="00B10E48">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C3D3" w14:textId="77777777" w:rsidR="00B10E48" w:rsidRDefault="00B10E48" w:rsidP="006F68C9">
      <w:pPr>
        <w:spacing w:line="240" w:lineRule="auto"/>
        <w:ind w:firstLine="480"/>
      </w:pPr>
      <w:r>
        <w:separator/>
      </w:r>
    </w:p>
  </w:footnote>
  <w:footnote w:type="continuationSeparator" w:id="0">
    <w:p w14:paraId="565A67AB" w14:textId="77777777" w:rsidR="00B10E48" w:rsidRDefault="00B10E48" w:rsidP="006F68C9">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774F" w14:textId="77777777" w:rsidR="00B10E48" w:rsidRDefault="00B10E48">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6359" w14:textId="77777777" w:rsidR="00B10E48" w:rsidRDefault="00B10E48">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148E" w14:textId="77777777" w:rsidR="00B10E48" w:rsidRDefault="00B10E48">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8F7"/>
    <w:multiLevelType w:val="multilevel"/>
    <w:tmpl w:val="7D384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3C5C97"/>
    <w:multiLevelType w:val="multilevel"/>
    <w:tmpl w:val="28409376"/>
    <w:lvl w:ilvl="0">
      <w:start w:val="1"/>
      <w:numFmt w:val="decimal"/>
      <w:lvlText w:val="%1."/>
      <w:lvlJc w:val="left"/>
      <w:pPr>
        <w:ind w:left="340" w:hanging="340"/>
      </w:pPr>
      <w:rPr>
        <w:rFonts w:ascii="Times New Roman" w:eastAsia="宋体" w:hAnsi="Times New Roman" w:hint="default"/>
        <w:b/>
        <w:i w:val="0"/>
        <w:color w:val="auto"/>
        <w:sz w:val="30"/>
      </w:rPr>
    </w:lvl>
    <w:lvl w:ilvl="1">
      <w:start w:val="1"/>
      <w:numFmt w:val="decimal"/>
      <w:lvlText w:val="%1.%2."/>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7" w:hanging="907"/>
      </w:pPr>
      <w:rPr>
        <w:rFonts w:ascii="Times New Roman" w:eastAsia="宋体" w:hAnsi="Times New Roman" w:hint="default"/>
        <w:b/>
        <w:i w:val="0"/>
        <w:sz w:val="24"/>
      </w:rPr>
    </w:lvl>
    <w:lvl w:ilvl="3">
      <w:start w:val="1"/>
      <w:numFmt w:val="decimal"/>
      <w:lvlText w:val="%1.%2.%3.%4."/>
      <w:lvlJc w:val="left"/>
      <w:pPr>
        <w:ind w:left="1304" w:hanging="1304"/>
      </w:pPr>
      <w:rPr>
        <w:rFonts w:ascii="Times New Roman" w:eastAsia="宋体" w:hAnsi="Times New Roman" w:hint="default"/>
        <w:b/>
        <w:i w:val="0"/>
        <w:sz w:val="24"/>
      </w:rPr>
    </w:lvl>
    <w:lvl w:ilvl="4">
      <w:start w:val="1"/>
      <w:numFmt w:val="decimal"/>
      <w:lvlText w:val="%1.%2.%3.%4.%5."/>
      <w:lvlJc w:val="left"/>
      <w:pPr>
        <w:ind w:left="1701" w:hanging="1701"/>
      </w:pPr>
      <w:rPr>
        <w:rFonts w:ascii="Times New Roman" w:eastAsia="宋体" w:hAnsi="Times New Roman" w:hint="default"/>
        <w:b/>
        <w:i w:val="0"/>
        <w:sz w:val="24"/>
      </w:rPr>
    </w:lvl>
    <w:lvl w:ilvl="5">
      <w:start w:val="1"/>
      <w:numFmt w:val="decimal"/>
      <w:lvlText w:val="%1.%2.%3.%4.%5.%6"/>
      <w:lvlJc w:val="left"/>
      <w:pPr>
        <w:ind w:left="340" w:hanging="340"/>
      </w:pPr>
      <w:rPr>
        <w:rFonts w:hint="eastAsia"/>
      </w:rPr>
    </w:lvl>
    <w:lvl w:ilvl="6">
      <w:start w:val="1"/>
      <w:numFmt w:val="decimal"/>
      <w:lvlText w:val="%1.%2.%3.%4.%5.%6.%7"/>
      <w:lvlJc w:val="left"/>
      <w:pPr>
        <w:ind w:left="340" w:hanging="340"/>
      </w:pPr>
      <w:rPr>
        <w:rFonts w:hint="eastAsia"/>
      </w:rPr>
    </w:lvl>
    <w:lvl w:ilvl="7">
      <w:start w:val="1"/>
      <w:numFmt w:val="decimal"/>
      <w:lvlText w:val="%1.%2.%3.%4.%5.%6.%7.%8"/>
      <w:lvlJc w:val="left"/>
      <w:pPr>
        <w:ind w:left="340" w:hanging="340"/>
      </w:pPr>
      <w:rPr>
        <w:rFonts w:hint="eastAsia"/>
      </w:rPr>
    </w:lvl>
    <w:lvl w:ilvl="8">
      <w:start w:val="1"/>
      <w:numFmt w:val="decimal"/>
      <w:lvlText w:val="%1.%2.%3.%4.%5.%6.%7.%8.%9"/>
      <w:lvlJc w:val="left"/>
      <w:pPr>
        <w:ind w:left="340" w:hanging="340"/>
      </w:pPr>
      <w:rPr>
        <w:rFonts w:hint="eastAsia"/>
      </w:rPr>
    </w:lvl>
  </w:abstractNum>
  <w:abstractNum w:abstractNumId="2" w15:restartNumberingAfterBreak="0">
    <w:nsid w:val="221A6952"/>
    <w:multiLevelType w:val="hybridMultilevel"/>
    <w:tmpl w:val="5F56F34E"/>
    <w:lvl w:ilvl="0" w:tplc="2D881FB8">
      <w:start w:val="1"/>
      <w:numFmt w:val="decimal"/>
      <w:lvlText w:val="%1."/>
      <w:lvlJc w:val="left"/>
      <w:pPr>
        <w:ind w:left="1060" w:hanging="360"/>
      </w:pPr>
      <w:rPr>
        <w:rFonts w:hint="default"/>
        <w:b/>
        <w:i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C2C1791"/>
    <w:multiLevelType w:val="multilevel"/>
    <w:tmpl w:val="3FFC15D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0DD1AB9"/>
    <w:multiLevelType w:val="multilevel"/>
    <w:tmpl w:val="D62631BA"/>
    <w:lvl w:ilvl="0">
      <w:start w:val="1"/>
      <w:numFmt w:val="decimal"/>
      <w:lvlText w:val="%1."/>
      <w:lvlJc w:val="left"/>
      <w:pPr>
        <w:ind w:left="340" w:hanging="340"/>
      </w:pPr>
      <w:rPr>
        <w:rFonts w:ascii="Times New Roman" w:eastAsia="宋体" w:hAnsi="Times New Roman" w:hint="default"/>
        <w:b/>
        <w:i w:val="0"/>
        <w:sz w:val="30"/>
      </w:rPr>
    </w:lvl>
    <w:lvl w:ilvl="1">
      <w:start w:val="1"/>
      <w:numFmt w:val="decimal"/>
      <w:pStyle w:val="2"/>
      <w:lvlText w:val="%1.%2."/>
      <w:lvlJc w:val="left"/>
      <w:pPr>
        <w:ind w:left="624" w:hanging="624"/>
      </w:pPr>
      <w:rPr>
        <w:rFonts w:ascii="ti" w:eastAsia="宋体" w:hAnsi="ti" w:hint="default"/>
        <w:b/>
        <w:i w:val="0"/>
        <w:sz w:val="24"/>
      </w:rPr>
    </w:lvl>
    <w:lvl w:ilvl="2">
      <w:start w:val="1"/>
      <w:numFmt w:val="decimal"/>
      <w:pStyle w:val="3"/>
      <w:lvlText w:val="%1.%2.%3."/>
      <w:lvlJc w:val="left"/>
      <w:pPr>
        <w:ind w:left="907" w:hanging="907"/>
      </w:pPr>
      <w:rPr>
        <w:rFonts w:ascii="Times New Roman" w:eastAsia="宋体" w:hAnsi="Times New Roman" w:hint="default"/>
        <w:b/>
        <w:i w:val="0"/>
        <w:sz w:val="24"/>
      </w:rPr>
    </w:lvl>
    <w:lvl w:ilvl="3">
      <w:start w:val="1"/>
      <w:numFmt w:val="decimal"/>
      <w:pStyle w:val="4"/>
      <w:lvlText w:val="%1.%2.%3.%4."/>
      <w:lvlJc w:val="left"/>
      <w:pPr>
        <w:ind w:left="1304" w:hanging="1304"/>
      </w:pPr>
      <w:rPr>
        <w:rFonts w:ascii="Times New Roman" w:eastAsia="宋体" w:hAnsi="Times New Roman" w:hint="default"/>
        <w:b/>
        <w:i w:val="0"/>
        <w:sz w:val="24"/>
      </w:rPr>
    </w:lvl>
    <w:lvl w:ilvl="4">
      <w:start w:val="1"/>
      <w:numFmt w:val="decimal"/>
      <w:pStyle w:val="5"/>
      <w:lvlText w:val="%1.%2.%3.%4.%5."/>
      <w:lvlJc w:val="left"/>
      <w:pPr>
        <w:ind w:left="1701" w:hanging="1701"/>
      </w:pPr>
      <w:rPr>
        <w:rFonts w:ascii="Times New Roman" w:eastAsia="宋体" w:hAnsi="Times New Roman" w:hint="default"/>
        <w:b/>
        <w:i w:val="0"/>
        <w:sz w:val="24"/>
      </w:rPr>
    </w:lvl>
    <w:lvl w:ilvl="5">
      <w:start w:val="1"/>
      <w:numFmt w:val="decimal"/>
      <w:lvlText w:val="%1.%2.%3.%4.%5.%6"/>
      <w:lvlJc w:val="left"/>
      <w:pPr>
        <w:ind w:left="340" w:hanging="340"/>
      </w:pPr>
      <w:rPr>
        <w:rFonts w:hint="eastAsia"/>
      </w:rPr>
    </w:lvl>
    <w:lvl w:ilvl="6">
      <w:start w:val="1"/>
      <w:numFmt w:val="decimal"/>
      <w:lvlText w:val="%1.%2.%3.%4.%5.%6.%7"/>
      <w:lvlJc w:val="left"/>
      <w:pPr>
        <w:ind w:left="340" w:hanging="340"/>
      </w:pPr>
      <w:rPr>
        <w:rFonts w:hint="eastAsia"/>
      </w:rPr>
    </w:lvl>
    <w:lvl w:ilvl="7">
      <w:start w:val="1"/>
      <w:numFmt w:val="decimal"/>
      <w:lvlText w:val="%1.%2.%3.%4.%5.%6.%7.%8"/>
      <w:lvlJc w:val="left"/>
      <w:pPr>
        <w:ind w:left="340" w:hanging="340"/>
      </w:pPr>
      <w:rPr>
        <w:rFonts w:hint="eastAsia"/>
      </w:rPr>
    </w:lvl>
    <w:lvl w:ilvl="8">
      <w:start w:val="1"/>
      <w:numFmt w:val="decimal"/>
      <w:lvlText w:val="%1.%2.%3.%4.%5.%6.%7.%8.%9"/>
      <w:lvlJc w:val="left"/>
      <w:pPr>
        <w:ind w:left="340" w:hanging="340"/>
      </w:pPr>
      <w:rPr>
        <w:rFonts w:hint="eastAsia"/>
      </w:rPr>
    </w:lvl>
  </w:abstractNum>
  <w:abstractNum w:abstractNumId="5" w15:restartNumberingAfterBreak="0">
    <w:nsid w:val="43D8029C"/>
    <w:multiLevelType w:val="multilevel"/>
    <w:tmpl w:val="CC98A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41209B"/>
    <w:multiLevelType w:val="multilevel"/>
    <w:tmpl w:val="7B48EBB0"/>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7525A80"/>
    <w:multiLevelType w:val="hybridMultilevel"/>
    <w:tmpl w:val="2828C956"/>
    <w:lvl w:ilvl="0" w:tplc="63D44512">
      <w:start w:val="1"/>
      <w:numFmt w:val="decimal"/>
      <w:pStyle w:val="1"/>
      <w:lvlText w:val="%1."/>
      <w:lvlJc w:val="left"/>
      <w:pPr>
        <w:ind w:left="1060" w:hanging="360"/>
      </w:pPr>
      <w:rPr>
        <w:rFonts w:hint="default"/>
        <w:b/>
        <w:i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5"/>
  </w:num>
  <w:num w:numId="3">
    <w:abstractNumId w:val="4"/>
  </w:num>
  <w:num w:numId="4">
    <w:abstractNumId w:val="4"/>
  </w:num>
  <w:num w:numId="5">
    <w:abstractNumId w:val="4"/>
  </w:num>
  <w:num w:numId="6">
    <w:abstractNumId w:val="4"/>
  </w:num>
  <w:num w:numId="7">
    <w:abstractNumId w:val="6"/>
  </w:num>
  <w:num w:numId="8">
    <w:abstractNumId w:val="3"/>
  </w:num>
  <w:num w:numId="9">
    <w:abstractNumId w:val="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0B"/>
    <w:rsid w:val="000040FC"/>
    <w:rsid w:val="000272E5"/>
    <w:rsid w:val="000455E5"/>
    <w:rsid w:val="00094B05"/>
    <w:rsid w:val="000B361C"/>
    <w:rsid w:val="000E69A2"/>
    <w:rsid w:val="0013028A"/>
    <w:rsid w:val="0013520E"/>
    <w:rsid w:val="0016220A"/>
    <w:rsid w:val="00167C00"/>
    <w:rsid w:val="00173E41"/>
    <w:rsid w:val="001A0632"/>
    <w:rsid w:val="001C0607"/>
    <w:rsid w:val="001D4773"/>
    <w:rsid w:val="001F43B9"/>
    <w:rsid w:val="002022E3"/>
    <w:rsid w:val="00245017"/>
    <w:rsid w:val="00254BA0"/>
    <w:rsid w:val="00265055"/>
    <w:rsid w:val="00280794"/>
    <w:rsid w:val="0029488E"/>
    <w:rsid w:val="002B7051"/>
    <w:rsid w:val="002D04C9"/>
    <w:rsid w:val="002D6762"/>
    <w:rsid w:val="00331507"/>
    <w:rsid w:val="0034781E"/>
    <w:rsid w:val="003661BA"/>
    <w:rsid w:val="003962A0"/>
    <w:rsid w:val="004102E5"/>
    <w:rsid w:val="00417B5B"/>
    <w:rsid w:val="00442CCE"/>
    <w:rsid w:val="004C2F8C"/>
    <w:rsid w:val="004F7C69"/>
    <w:rsid w:val="005069F4"/>
    <w:rsid w:val="005168C9"/>
    <w:rsid w:val="00574218"/>
    <w:rsid w:val="005A0F74"/>
    <w:rsid w:val="005E4995"/>
    <w:rsid w:val="0060626A"/>
    <w:rsid w:val="00643240"/>
    <w:rsid w:val="006603AA"/>
    <w:rsid w:val="006667A3"/>
    <w:rsid w:val="00673369"/>
    <w:rsid w:val="00695DFD"/>
    <w:rsid w:val="006B597B"/>
    <w:rsid w:val="006F68C9"/>
    <w:rsid w:val="00730348"/>
    <w:rsid w:val="00745E38"/>
    <w:rsid w:val="00757A0A"/>
    <w:rsid w:val="0078368E"/>
    <w:rsid w:val="00787A41"/>
    <w:rsid w:val="007A0C7B"/>
    <w:rsid w:val="007E2578"/>
    <w:rsid w:val="008030C8"/>
    <w:rsid w:val="008115C1"/>
    <w:rsid w:val="00825274"/>
    <w:rsid w:val="00836888"/>
    <w:rsid w:val="0085109B"/>
    <w:rsid w:val="00854AB0"/>
    <w:rsid w:val="0088115C"/>
    <w:rsid w:val="00881394"/>
    <w:rsid w:val="008A1B5B"/>
    <w:rsid w:val="008A7D2D"/>
    <w:rsid w:val="008A7D92"/>
    <w:rsid w:val="008B687E"/>
    <w:rsid w:val="008D139C"/>
    <w:rsid w:val="008F79D3"/>
    <w:rsid w:val="009768C3"/>
    <w:rsid w:val="009D7D0B"/>
    <w:rsid w:val="009F02BF"/>
    <w:rsid w:val="00A16F2D"/>
    <w:rsid w:val="00A25D12"/>
    <w:rsid w:val="00A434FA"/>
    <w:rsid w:val="00A4452E"/>
    <w:rsid w:val="00A95196"/>
    <w:rsid w:val="00A975EE"/>
    <w:rsid w:val="00AB59DD"/>
    <w:rsid w:val="00AB6197"/>
    <w:rsid w:val="00AD2973"/>
    <w:rsid w:val="00AE78BF"/>
    <w:rsid w:val="00B04066"/>
    <w:rsid w:val="00B102B7"/>
    <w:rsid w:val="00B10E48"/>
    <w:rsid w:val="00B130CF"/>
    <w:rsid w:val="00B237C1"/>
    <w:rsid w:val="00B27E00"/>
    <w:rsid w:val="00B320DA"/>
    <w:rsid w:val="00B53008"/>
    <w:rsid w:val="00B55590"/>
    <w:rsid w:val="00B7620B"/>
    <w:rsid w:val="00B80DEA"/>
    <w:rsid w:val="00BA3047"/>
    <w:rsid w:val="00BB168E"/>
    <w:rsid w:val="00BD4BA1"/>
    <w:rsid w:val="00BE7FCB"/>
    <w:rsid w:val="00C2142A"/>
    <w:rsid w:val="00C2530B"/>
    <w:rsid w:val="00C443D0"/>
    <w:rsid w:val="00C65621"/>
    <w:rsid w:val="00C9100A"/>
    <w:rsid w:val="00CB40FB"/>
    <w:rsid w:val="00CD07A8"/>
    <w:rsid w:val="00CD35F5"/>
    <w:rsid w:val="00CF1384"/>
    <w:rsid w:val="00D0681D"/>
    <w:rsid w:val="00D20B55"/>
    <w:rsid w:val="00D34A58"/>
    <w:rsid w:val="00D769F8"/>
    <w:rsid w:val="00D8265C"/>
    <w:rsid w:val="00DA61BD"/>
    <w:rsid w:val="00DA7BE4"/>
    <w:rsid w:val="00DE06A7"/>
    <w:rsid w:val="00E02367"/>
    <w:rsid w:val="00E13984"/>
    <w:rsid w:val="00EC268E"/>
    <w:rsid w:val="00EC748D"/>
    <w:rsid w:val="00ED633B"/>
    <w:rsid w:val="00EE7785"/>
    <w:rsid w:val="00F0453D"/>
    <w:rsid w:val="00F47F7C"/>
    <w:rsid w:val="00F51817"/>
    <w:rsid w:val="00F519A2"/>
    <w:rsid w:val="00F54299"/>
    <w:rsid w:val="00F66429"/>
    <w:rsid w:val="00F71763"/>
    <w:rsid w:val="00F9765B"/>
    <w:rsid w:val="00FC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19DC9"/>
  <w15:chartTrackingRefBased/>
  <w15:docId w15:val="{78ED9A9A-41B6-4909-9E48-0EFB8C79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0DA"/>
    <w:pPr>
      <w:widowControl w:val="0"/>
      <w:spacing w:line="360" w:lineRule="auto"/>
      <w:ind w:firstLineChars="200" w:firstLine="200"/>
      <w:jc w:val="both"/>
    </w:pPr>
    <w:rPr>
      <w:rFonts w:ascii="Times New Roman" w:eastAsia="宋体" w:hAnsi="Times New Roman" w:cs="Times New Roman"/>
      <w:sz w:val="24"/>
    </w:rPr>
  </w:style>
  <w:style w:type="paragraph" w:styleId="1">
    <w:name w:val="heading 1"/>
    <w:aliases w:val="HR标题 1"/>
    <w:basedOn w:val="a"/>
    <w:next w:val="HR"/>
    <w:link w:val="10"/>
    <w:autoRedefine/>
    <w:qFormat/>
    <w:rsid w:val="001D4773"/>
    <w:pPr>
      <w:keepNext/>
      <w:keepLines/>
      <w:numPr>
        <w:numId w:val="18"/>
      </w:numPr>
      <w:spacing w:before="240" w:after="120" w:line="240" w:lineRule="auto"/>
      <w:ind w:firstLineChars="0" w:firstLine="0"/>
      <w:contextualSpacing/>
      <w:jc w:val="left"/>
      <w:outlineLvl w:val="0"/>
    </w:pPr>
    <w:rPr>
      <w:rFonts w:cstheme="minorBidi"/>
      <w:b/>
      <w:bCs/>
      <w:kern w:val="44"/>
      <w:sz w:val="28"/>
      <w:szCs w:val="28"/>
    </w:rPr>
  </w:style>
  <w:style w:type="paragraph" w:styleId="2">
    <w:name w:val="heading 2"/>
    <w:aliases w:val="HR标题 2"/>
    <w:basedOn w:val="a"/>
    <w:next w:val="HR"/>
    <w:link w:val="20"/>
    <w:qFormat/>
    <w:rsid w:val="002D6762"/>
    <w:pPr>
      <w:keepNext/>
      <w:keepLines/>
      <w:numPr>
        <w:ilvl w:val="1"/>
        <w:numId w:val="17"/>
      </w:numPr>
      <w:spacing w:before="240" w:after="120" w:line="240" w:lineRule="auto"/>
      <w:ind w:firstLineChars="0" w:firstLine="0"/>
      <w:contextualSpacing/>
      <w:outlineLvl w:val="1"/>
    </w:pPr>
    <w:rPr>
      <w:rFonts w:eastAsiaTheme="majorEastAsia" w:cstheme="majorBidi"/>
      <w:b/>
      <w:bCs/>
      <w:szCs w:val="32"/>
    </w:rPr>
  </w:style>
  <w:style w:type="paragraph" w:styleId="3">
    <w:name w:val="heading 3"/>
    <w:aliases w:val="HR标题 3"/>
    <w:basedOn w:val="a"/>
    <w:next w:val="HR"/>
    <w:link w:val="30"/>
    <w:qFormat/>
    <w:rsid w:val="002D6762"/>
    <w:pPr>
      <w:keepNext/>
      <w:keepLines/>
      <w:numPr>
        <w:ilvl w:val="2"/>
        <w:numId w:val="17"/>
      </w:numPr>
      <w:spacing w:before="240" w:after="120" w:line="240" w:lineRule="auto"/>
      <w:ind w:firstLineChars="0" w:firstLine="0"/>
      <w:contextualSpacing/>
      <w:outlineLvl w:val="2"/>
    </w:pPr>
    <w:rPr>
      <w:rFonts w:cstheme="minorBidi"/>
      <w:b/>
      <w:bCs/>
      <w:szCs w:val="32"/>
    </w:rPr>
  </w:style>
  <w:style w:type="paragraph" w:styleId="4">
    <w:name w:val="heading 4"/>
    <w:aliases w:val="HR标题 4"/>
    <w:basedOn w:val="a"/>
    <w:next w:val="HR"/>
    <w:link w:val="40"/>
    <w:autoRedefine/>
    <w:qFormat/>
    <w:rsid w:val="002D6762"/>
    <w:pPr>
      <w:keepNext/>
      <w:keepLines/>
      <w:numPr>
        <w:ilvl w:val="3"/>
        <w:numId w:val="17"/>
      </w:numPr>
      <w:spacing w:before="240" w:after="120" w:line="240" w:lineRule="auto"/>
      <w:ind w:firstLineChars="0" w:firstLine="0"/>
      <w:contextualSpacing/>
      <w:outlineLvl w:val="3"/>
    </w:pPr>
    <w:rPr>
      <w:rFonts w:cstheme="majorBidi"/>
      <w:b/>
      <w:bCs/>
      <w:szCs w:val="28"/>
    </w:rPr>
  </w:style>
  <w:style w:type="paragraph" w:styleId="5">
    <w:name w:val="heading 5"/>
    <w:aliases w:val="HR标题 5"/>
    <w:basedOn w:val="a"/>
    <w:next w:val="HR"/>
    <w:link w:val="50"/>
    <w:qFormat/>
    <w:rsid w:val="002D6762"/>
    <w:pPr>
      <w:keepNext/>
      <w:keepLines/>
      <w:numPr>
        <w:ilvl w:val="4"/>
        <w:numId w:val="17"/>
      </w:numPr>
      <w:spacing w:before="240" w:after="120" w:line="240" w:lineRule="auto"/>
      <w:ind w:firstLineChars="0" w:firstLine="0"/>
      <w:contextualSpacing/>
      <w:outlineLvl w:val="4"/>
    </w:pPr>
    <w:rPr>
      <w:rFonts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R标题 1 字符"/>
    <w:basedOn w:val="a0"/>
    <w:link w:val="1"/>
    <w:rsid w:val="001D4773"/>
    <w:rPr>
      <w:rFonts w:ascii="Times New Roman" w:eastAsia="宋体" w:hAnsi="Times New Roman"/>
      <w:b/>
      <w:bCs/>
      <w:kern w:val="44"/>
      <w:sz w:val="28"/>
      <w:szCs w:val="28"/>
    </w:rPr>
  </w:style>
  <w:style w:type="paragraph" w:customStyle="1" w:styleId="a3">
    <w:name w:val="！正文"/>
    <w:link w:val="Char"/>
    <w:qFormat/>
    <w:rsid w:val="002D6762"/>
    <w:pPr>
      <w:topLinePunct/>
      <w:snapToGrid w:val="0"/>
      <w:spacing w:line="360" w:lineRule="auto"/>
      <w:ind w:firstLineChars="200" w:firstLine="200"/>
      <w:jc w:val="both"/>
    </w:pPr>
    <w:rPr>
      <w:rFonts w:ascii="Times New Roman" w:eastAsia="宋体" w:hAnsi="Times New Roman" w:cs="Times New Roman"/>
      <w:kern w:val="0"/>
      <w:sz w:val="24"/>
      <w:szCs w:val="21"/>
    </w:rPr>
  </w:style>
  <w:style w:type="character" w:customStyle="1" w:styleId="Char">
    <w:name w:val="！正文 Char"/>
    <w:link w:val="a3"/>
    <w:qFormat/>
    <w:rsid w:val="002D6762"/>
    <w:rPr>
      <w:rFonts w:ascii="Times New Roman" w:eastAsia="宋体" w:hAnsi="Times New Roman" w:cs="Times New Roman"/>
      <w:kern w:val="0"/>
      <w:sz w:val="24"/>
      <w:szCs w:val="21"/>
    </w:rPr>
  </w:style>
  <w:style w:type="character" w:customStyle="1" w:styleId="20">
    <w:name w:val="标题 2 字符"/>
    <w:aliases w:val="HR标题 2 字符"/>
    <w:basedOn w:val="a0"/>
    <w:link w:val="2"/>
    <w:rsid w:val="002D6762"/>
    <w:rPr>
      <w:rFonts w:ascii="Times New Roman" w:eastAsiaTheme="majorEastAsia" w:hAnsi="Times New Roman" w:cstheme="majorBidi"/>
      <w:b/>
      <w:bCs/>
      <w:sz w:val="24"/>
      <w:szCs w:val="32"/>
    </w:rPr>
  </w:style>
  <w:style w:type="character" w:customStyle="1" w:styleId="40">
    <w:name w:val="标题 4 字符"/>
    <w:aliases w:val="HR标题 4 字符"/>
    <w:basedOn w:val="a0"/>
    <w:link w:val="4"/>
    <w:rsid w:val="002D6762"/>
    <w:rPr>
      <w:rFonts w:ascii="Times New Roman" w:eastAsia="宋体" w:hAnsi="Times New Roman" w:cstheme="majorBidi"/>
      <w:b/>
      <w:bCs/>
      <w:sz w:val="24"/>
      <w:szCs w:val="28"/>
    </w:rPr>
  </w:style>
  <w:style w:type="character" w:customStyle="1" w:styleId="50">
    <w:name w:val="标题 5 字符"/>
    <w:aliases w:val="HR标题 5 字符"/>
    <w:basedOn w:val="a0"/>
    <w:link w:val="5"/>
    <w:rsid w:val="002D6762"/>
    <w:rPr>
      <w:rFonts w:ascii="Times New Roman" w:eastAsia="宋体" w:hAnsi="Times New Roman"/>
      <w:b/>
      <w:bCs/>
      <w:sz w:val="24"/>
      <w:szCs w:val="28"/>
    </w:rPr>
  </w:style>
  <w:style w:type="paragraph" w:customStyle="1" w:styleId="HR0">
    <w:name w:val="HR表"/>
    <w:basedOn w:val="a"/>
    <w:next w:val="HR"/>
    <w:qFormat/>
    <w:rsid w:val="002D6762"/>
    <w:pPr>
      <w:keepLines/>
      <w:widowControl/>
      <w:spacing w:line="240" w:lineRule="auto"/>
      <w:ind w:firstLineChars="0" w:firstLine="0"/>
      <w:contextualSpacing/>
      <w:jc w:val="center"/>
    </w:pPr>
    <w:rPr>
      <w:rFonts w:cstheme="minorBidi"/>
      <w:sz w:val="21"/>
      <w:szCs w:val="21"/>
    </w:rPr>
  </w:style>
  <w:style w:type="paragraph" w:customStyle="1" w:styleId="21">
    <w:name w:val="！标题2"/>
    <w:next w:val="a3"/>
    <w:rsid w:val="002D6762"/>
    <w:pPr>
      <w:keepNext/>
      <w:topLinePunct/>
      <w:snapToGrid w:val="0"/>
      <w:spacing w:line="360" w:lineRule="auto"/>
      <w:ind w:left="425" w:hanging="425"/>
      <w:outlineLvl w:val="1"/>
    </w:pPr>
    <w:rPr>
      <w:rFonts w:ascii="Times New Roman Bold" w:eastAsia="黑体" w:hAnsi="Times New Roman Bold" w:cs="Times New Roman"/>
      <w:iCs/>
      <w:kern w:val="0"/>
      <w:sz w:val="24"/>
      <w:szCs w:val="24"/>
    </w:rPr>
  </w:style>
  <w:style w:type="paragraph" w:customStyle="1" w:styleId="31">
    <w:name w:val="！标题3"/>
    <w:next w:val="a3"/>
    <w:rsid w:val="002D6762"/>
    <w:pPr>
      <w:keepNext/>
      <w:topLinePunct/>
      <w:snapToGrid w:val="0"/>
      <w:spacing w:line="360" w:lineRule="auto"/>
      <w:ind w:left="567" w:hanging="567"/>
      <w:outlineLvl w:val="2"/>
    </w:pPr>
    <w:rPr>
      <w:rFonts w:ascii="Times New Roman Bold" w:eastAsia="黑体" w:hAnsi="Times New Roman Bold" w:cs="Times New Roman"/>
      <w:kern w:val="0"/>
      <w:sz w:val="24"/>
      <w:szCs w:val="24"/>
    </w:rPr>
  </w:style>
  <w:style w:type="paragraph" w:customStyle="1" w:styleId="51">
    <w:name w:val="！标题5"/>
    <w:next w:val="a3"/>
    <w:rsid w:val="002D6762"/>
    <w:pPr>
      <w:snapToGrid w:val="0"/>
      <w:spacing w:line="360" w:lineRule="auto"/>
      <w:ind w:left="851" w:hanging="851"/>
    </w:pPr>
    <w:rPr>
      <w:rFonts w:ascii="Times New Roman" w:eastAsia="黑体" w:hAnsi="Times New Roman" w:cs="Times New Roman"/>
      <w:bCs/>
      <w:color w:val="000000"/>
      <w:kern w:val="0"/>
      <w:sz w:val="24"/>
      <w:szCs w:val="24"/>
    </w:rPr>
  </w:style>
  <w:style w:type="paragraph" w:customStyle="1" w:styleId="HR1">
    <w:name w:val="HR表题"/>
    <w:basedOn w:val="a4"/>
    <w:next w:val="HR0"/>
    <w:qFormat/>
    <w:rsid w:val="002D6762"/>
    <w:pPr>
      <w:keepNext/>
      <w:keepLines/>
      <w:widowControl/>
      <w:ind w:firstLineChars="0" w:firstLine="0"/>
      <w:jc w:val="center"/>
    </w:pPr>
    <w:rPr>
      <w:rFonts w:ascii="Times New Roman" w:eastAsia="宋体" w:hAnsi="Times New Roman"/>
      <w:b/>
      <w:sz w:val="21"/>
    </w:rPr>
  </w:style>
  <w:style w:type="paragraph" w:styleId="a4">
    <w:name w:val="caption"/>
    <w:basedOn w:val="a"/>
    <w:next w:val="a"/>
    <w:uiPriority w:val="35"/>
    <w:semiHidden/>
    <w:unhideWhenUsed/>
    <w:qFormat/>
    <w:rsid w:val="002D6762"/>
    <w:rPr>
      <w:rFonts w:asciiTheme="majorHAnsi" w:eastAsia="黑体" w:hAnsiTheme="majorHAnsi" w:cstheme="majorBidi"/>
      <w:sz w:val="20"/>
      <w:szCs w:val="20"/>
    </w:rPr>
  </w:style>
  <w:style w:type="paragraph" w:customStyle="1" w:styleId="HR2">
    <w:name w:val="HR图"/>
    <w:basedOn w:val="a4"/>
    <w:next w:val="HR3"/>
    <w:qFormat/>
    <w:rsid w:val="002D6762"/>
    <w:pPr>
      <w:keepNext/>
      <w:widowControl/>
      <w:spacing w:after="240" w:line="276" w:lineRule="auto"/>
      <w:ind w:firstLineChars="0" w:firstLine="0"/>
      <w:jc w:val="center"/>
    </w:pPr>
    <w:rPr>
      <w:rFonts w:ascii="Times New Roman" w:eastAsia="宋体" w:hAnsi="Times New Roman"/>
      <w:sz w:val="21"/>
    </w:rPr>
  </w:style>
  <w:style w:type="paragraph" w:customStyle="1" w:styleId="HR3">
    <w:name w:val="HR图题"/>
    <w:basedOn w:val="a4"/>
    <w:next w:val="a"/>
    <w:qFormat/>
    <w:rsid w:val="002D6762"/>
    <w:pPr>
      <w:keepLines/>
      <w:widowControl/>
      <w:spacing w:after="240"/>
      <w:ind w:firstLineChars="0" w:firstLine="0"/>
      <w:jc w:val="center"/>
    </w:pPr>
    <w:rPr>
      <w:rFonts w:ascii="Times New Roman" w:eastAsia="宋体" w:hAnsi="Times New Roman"/>
      <w:b/>
      <w:sz w:val="21"/>
    </w:rPr>
  </w:style>
  <w:style w:type="paragraph" w:customStyle="1" w:styleId="HR">
    <w:name w:val="HR正文格式"/>
    <w:basedOn w:val="a"/>
    <w:link w:val="HRChar"/>
    <w:qFormat/>
    <w:rsid w:val="002D6762"/>
    <w:pPr>
      <w:widowControl/>
      <w:spacing w:after="240"/>
      <w:contextualSpacing/>
      <w:jc w:val="left"/>
    </w:pPr>
    <w:rPr>
      <w:rFonts w:cstheme="minorBidi"/>
      <w:szCs w:val="24"/>
      <w:lang w:val="zh-CN" w:eastAsia="en-US"/>
    </w:rPr>
  </w:style>
  <w:style w:type="character" w:customStyle="1" w:styleId="HRChar">
    <w:name w:val="HR正文格式 Char"/>
    <w:basedOn w:val="a0"/>
    <w:link w:val="HR"/>
    <w:rsid w:val="002D6762"/>
    <w:rPr>
      <w:rFonts w:ascii="Times New Roman" w:eastAsia="宋体" w:hAnsi="Times New Roman"/>
      <w:sz w:val="24"/>
      <w:szCs w:val="24"/>
      <w:lang w:val="zh-CN" w:eastAsia="en-US"/>
    </w:rPr>
  </w:style>
  <w:style w:type="character" w:customStyle="1" w:styleId="30">
    <w:name w:val="标题 3 字符"/>
    <w:aliases w:val="HR标题 3 字符"/>
    <w:basedOn w:val="a0"/>
    <w:link w:val="3"/>
    <w:rsid w:val="002D6762"/>
    <w:rPr>
      <w:rFonts w:ascii="Times New Roman" w:eastAsia="宋体" w:hAnsi="Times New Roman"/>
      <w:b/>
      <w:bCs/>
      <w:sz w:val="24"/>
      <w:szCs w:val="32"/>
    </w:rPr>
  </w:style>
  <w:style w:type="character" w:styleId="a5">
    <w:name w:val="Hyperlink"/>
    <w:basedOn w:val="a0"/>
    <w:uiPriority w:val="99"/>
    <w:unhideWhenUsed/>
    <w:rsid w:val="002D6762"/>
    <w:rPr>
      <w:color w:val="0563C1" w:themeColor="hyperlink"/>
      <w:u w:val="single"/>
    </w:rPr>
  </w:style>
  <w:style w:type="character" w:customStyle="1" w:styleId="CharChar1">
    <w:name w:val="Char Char1"/>
    <w:rsid w:val="002D6762"/>
    <w:rPr>
      <w:rFonts w:eastAsia="宋体"/>
      <w:kern w:val="2"/>
      <w:sz w:val="18"/>
      <w:szCs w:val="18"/>
      <w:lang w:val="en-US" w:eastAsia="zh-CN"/>
    </w:rPr>
  </w:style>
  <w:style w:type="paragraph" w:styleId="a6">
    <w:name w:val="header"/>
    <w:basedOn w:val="a"/>
    <w:link w:val="a7"/>
    <w:uiPriority w:val="99"/>
    <w:unhideWhenUsed/>
    <w:rsid w:val="006F68C9"/>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6F68C9"/>
    <w:rPr>
      <w:rFonts w:ascii="Times New Roman" w:eastAsia="宋体" w:hAnsi="Times New Roman" w:cs="Times New Roman"/>
      <w:sz w:val="18"/>
      <w:szCs w:val="18"/>
    </w:rPr>
  </w:style>
  <w:style w:type="paragraph" w:styleId="a8">
    <w:name w:val="footer"/>
    <w:basedOn w:val="a"/>
    <w:link w:val="a9"/>
    <w:uiPriority w:val="99"/>
    <w:unhideWhenUsed/>
    <w:rsid w:val="006F68C9"/>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6F68C9"/>
    <w:rPr>
      <w:rFonts w:ascii="Times New Roman" w:eastAsia="宋体" w:hAnsi="Times New Roman" w:cs="Times New Roman"/>
      <w:sz w:val="18"/>
      <w:szCs w:val="18"/>
    </w:rPr>
  </w:style>
  <w:style w:type="table" w:styleId="aa">
    <w:name w:val="Table Grid"/>
    <w:basedOn w:val="a1"/>
    <w:uiPriority w:val="39"/>
    <w:rsid w:val="006F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F68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C2142A"/>
    <w:pPr>
      <w:spacing w:line="240" w:lineRule="auto"/>
    </w:pPr>
    <w:rPr>
      <w:rFonts w:ascii="Segoe UI" w:hAnsi="Segoe UI" w:cs="Segoe UI"/>
      <w:sz w:val="18"/>
      <w:szCs w:val="18"/>
    </w:rPr>
  </w:style>
  <w:style w:type="character" w:customStyle="1" w:styleId="ac">
    <w:name w:val="批注框文本 字符"/>
    <w:basedOn w:val="a0"/>
    <w:link w:val="ab"/>
    <w:uiPriority w:val="99"/>
    <w:semiHidden/>
    <w:rsid w:val="00C2142A"/>
    <w:rPr>
      <w:rFonts w:ascii="Segoe UI" w:eastAsia="宋体" w:hAnsi="Segoe UI" w:cs="Segoe UI"/>
      <w:sz w:val="18"/>
      <w:szCs w:val="18"/>
    </w:rPr>
  </w:style>
  <w:style w:type="character" w:styleId="ad">
    <w:name w:val="annotation reference"/>
    <w:basedOn w:val="a0"/>
    <w:uiPriority w:val="99"/>
    <w:semiHidden/>
    <w:unhideWhenUsed/>
    <w:rsid w:val="00F66429"/>
    <w:rPr>
      <w:sz w:val="16"/>
      <w:szCs w:val="16"/>
    </w:rPr>
  </w:style>
  <w:style w:type="paragraph" w:styleId="ae">
    <w:name w:val="annotation text"/>
    <w:basedOn w:val="a"/>
    <w:link w:val="af"/>
    <w:uiPriority w:val="99"/>
    <w:semiHidden/>
    <w:unhideWhenUsed/>
    <w:rsid w:val="00F66429"/>
    <w:pPr>
      <w:spacing w:line="240" w:lineRule="auto"/>
    </w:pPr>
    <w:rPr>
      <w:sz w:val="20"/>
      <w:szCs w:val="20"/>
    </w:rPr>
  </w:style>
  <w:style w:type="character" w:customStyle="1" w:styleId="af">
    <w:name w:val="批注文字 字符"/>
    <w:basedOn w:val="a0"/>
    <w:link w:val="ae"/>
    <w:uiPriority w:val="99"/>
    <w:semiHidden/>
    <w:rsid w:val="00F66429"/>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sid w:val="00F66429"/>
    <w:rPr>
      <w:b/>
      <w:bCs/>
    </w:rPr>
  </w:style>
  <w:style w:type="character" w:customStyle="1" w:styleId="af1">
    <w:name w:val="批注主题 字符"/>
    <w:basedOn w:val="af"/>
    <w:link w:val="af0"/>
    <w:uiPriority w:val="99"/>
    <w:semiHidden/>
    <w:rsid w:val="00F66429"/>
    <w:rPr>
      <w:rFonts w:ascii="Times New Roman" w:eastAsia="宋体" w:hAnsi="Times New Roman" w:cs="Times New Roman"/>
      <w:b/>
      <w:bCs/>
      <w:sz w:val="20"/>
      <w:szCs w:val="20"/>
    </w:rPr>
  </w:style>
  <w:style w:type="paragraph" w:styleId="af2">
    <w:name w:val="Revision"/>
    <w:hidden/>
    <w:uiPriority w:val="99"/>
    <w:semiHidden/>
    <w:rsid w:val="00F66429"/>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7AB1F2E52BBC4EB1B5AA061DC9504A" ma:contentTypeVersion="9" ma:contentTypeDescription="Create a new document." ma:contentTypeScope="" ma:versionID="c61ad5c010df836ddfa8bbdc0b61892e">
  <xsd:schema xmlns:xsd="http://www.w3.org/2001/XMLSchema" xmlns:xs="http://www.w3.org/2001/XMLSchema" xmlns:p="http://schemas.microsoft.com/office/2006/metadata/properties" xmlns:ns3="b8338227-9756-4266-94eb-9e435ea792a6" targetNamespace="http://schemas.microsoft.com/office/2006/metadata/properties" ma:root="true" ma:fieldsID="9fbe254ab0c10f14fd732c1716e19bae" ns3:_="">
    <xsd:import namespace="b8338227-9756-4266-94eb-9e435ea79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38227-9756-4266-94eb-9e435ea79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75182-3DB7-44D0-95B2-27763F9A7FD6}">
  <ds:schemaRefs>
    <ds:schemaRef ds:uri="http://schemas.microsoft.com/sharepoint/v3/contenttype/forms"/>
  </ds:schemaRefs>
</ds:datastoreItem>
</file>

<file path=customXml/itemProps2.xml><?xml version="1.0" encoding="utf-8"?>
<ds:datastoreItem xmlns:ds="http://schemas.openxmlformats.org/officeDocument/2006/customXml" ds:itemID="{71625D5F-801E-4778-9BF1-9FF18E96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38227-9756-4266-94eb-9e435ea79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CABF4-607A-48C2-8B0A-E8D67BE59C2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8338227-9756-4266-94eb-9e435ea792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洪伟</dc:creator>
  <cp:keywords/>
  <dc:description/>
  <cp:lastModifiedBy>Changjun Wang</cp:lastModifiedBy>
  <cp:revision>19</cp:revision>
  <dcterms:created xsi:type="dcterms:W3CDTF">2020-06-18T15:39:00Z</dcterms:created>
  <dcterms:modified xsi:type="dcterms:W3CDTF">2020-07-04T01:44:00Z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0x010100117AB1F2E52BBC4EB1B5AA061DC9504A</vt:lpwstr>
  </property>
</Properties>
</file>