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11" w:rsidRPr="00E35947" w:rsidRDefault="008D5D11" w:rsidP="00E3594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35947">
        <w:rPr>
          <w:rFonts w:ascii="Times New Roman" w:hAnsi="Times New Roman" w:cs="Times New Roman"/>
          <w:sz w:val="28"/>
          <w:szCs w:val="24"/>
        </w:rPr>
        <w:t>Supplementary Material</w:t>
      </w:r>
      <w:r w:rsidR="00E35947">
        <w:rPr>
          <w:rFonts w:ascii="Times New Roman" w:hAnsi="Times New Roman" w:cs="Times New Roman"/>
          <w:sz w:val="28"/>
          <w:szCs w:val="24"/>
        </w:rPr>
        <w:t>:</w:t>
      </w:r>
    </w:p>
    <w:p w:rsidR="008D5D11" w:rsidRPr="007206D9" w:rsidRDefault="008D5D11" w:rsidP="00E3594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4"/>
          <w:lang w:val="en-US"/>
        </w:rPr>
      </w:pPr>
      <w:r w:rsidRPr="007206D9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Quantitative EEG as a biomarker in mild cognitive impairment with Lewy bodies </w:t>
      </w:r>
    </w:p>
    <w:p w:rsidR="008D5D11" w:rsidRDefault="008D5D11" w:rsidP="00E35947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7B94">
        <w:rPr>
          <w:rFonts w:ascii="Times New Roman" w:hAnsi="Times New Roman" w:cs="Times New Roman"/>
          <w:bCs/>
          <w:sz w:val="24"/>
          <w:szCs w:val="24"/>
          <w:lang w:val="en-US"/>
        </w:rPr>
        <w:t>Julia Schumacher, John-Paul Taylor, Calum A. Hamilton, Michael Firbank, Ruth A. Cromarty, Paul C. Donaghy, Gemma Roberts, Louise Allan, Jim Lloyd, Rory Durcan, Nicola Barnett, John T. O’Brien, Alan J. Thomas</w:t>
      </w:r>
    </w:p>
    <w:p w:rsidR="008D5D11" w:rsidRPr="008D5D11" w:rsidRDefault="008D5D11" w:rsidP="00E35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Correspondence: julia.schumacher@newcastle.ac.uk</w:t>
      </w:r>
      <w:r w:rsidRPr="008D5D11">
        <w:rPr>
          <w:rFonts w:ascii="Times New Roman" w:hAnsi="Times New Roman" w:cs="Times New Roman"/>
          <w:sz w:val="24"/>
          <w:szCs w:val="24"/>
        </w:rPr>
        <w:br w:type="page"/>
      </w:r>
    </w:p>
    <w:p w:rsidR="00E123D1" w:rsidRPr="008D5D11" w:rsidRDefault="00B14A89" w:rsidP="00E123D1">
      <w:pPr>
        <w:pStyle w:val="Caption"/>
        <w:keepNext/>
        <w:spacing w:after="0" w:line="276" w:lineRule="auto"/>
        <w:rPr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 xml:space="preserve">Supplementary </w:t>
      </w:r>
      <w:r w:rsidR="00E123D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 S1</w:t>
      </w:r>
      <w:r w:rsidR="00E123D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:</w:t>
      </w:r>
      <w:r w:rsidR="00E123D1" w:rsidRPr="008D5D1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Group comparison of quantitative EEG characteristics, restricting the analysis to 21 electrodes from the 10-20 system.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701"/>
        <w:gridCol w:w="1418"/>
        <w:gridCol w:w="1417"/>
        <w:gridCol w:w="1418"/>
        <w:gridCol w:w="2977"/>
      </w:tblGrid>
      <w:tr w:rsidR="00E123D1" w:rsidRPr="008D5D11" w:rsidTr="003B5BC3">
        <w:trPr>
          <w:cantSplit/>
          <w:trHeight w:val="27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MCI-AD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MCI-LB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Group comparison</w:t>
            </w:r>
          </w:p>
        </w:tc>
      </w:tr>
      <w:tr w:rsidR="00E123D1" w:rsidRPr="008D5D11" w:rsidTr="003B5BC3">
        <w:trPr>
          <w:trHeight w:val="276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Delta power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F(2,102)=0.5, p=0.59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[11.7, 17.5]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[12.0, 16.6]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[12.9, 17.5]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Theta power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F(2,102)=4.4, p=0.01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[4.7, 7.0]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[6.1, 8.2]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[7.3, 10.4]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p(HC,MCI-AD)=0.22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p(HC,MCI-LB)=0.006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p(MCI-AD,MCI-LB)=0.51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Pre-alpha power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  <w:tcBorders>
              <w:top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F(2,102)=15.8, p&lt;0.001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[9.8, 16.5]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[16.0, 23.0]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[24.0, 33.3]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p(HC,MCI-AD)=0.006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p(HC,MCI-LB)&lt;0.001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p(MCI-AD,MCI-LB)=0.02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Alpha power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F(2,102)=5.4, p=0.006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[33.8, 45.5]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[29.1, 37.9]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[23.4, 32.9]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p(HC,MCI-AD)=0.42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p(HC,MCI-LB)=0.001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p(MCI-AD,MCI-LB)=0.07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Beta power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F(2,102)=7.8, p=0.001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[22.6, 30.2]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[22.3, 28.1]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[15.3, 22.5]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p(HC,MCI-AD)=1.0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p(HC,MCI-LB)=0.001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  <w:tcBorders>
              <w:top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Theta/alpha ratio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F(2,102)=7.1, p&lt;0.001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[0.28, 0.41]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[0.36, 0.48]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[0.44, 0.58]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p(HC,MCI-AD)=0.24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p(HC,MCI-LB)=0.001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p(MCI-AD,MCI-LB)=0.12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DF, all electrodes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F(2,102)=9.0, p&lt;0.001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[8.0, 8.9]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[7.6, 8.3]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[6.8, 7.6]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p(HC,MCI-AD)=0.19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p(HC,MCI-LB)&lt;0.001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p(MCI-AD,MCI-LB)=0.02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DF, occipital electrodes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F(2,102)=8.5, p&lt;0.001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[8.1, 9.0]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[7.5, 8.3]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[6.9, 7.7]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p(HC,MCI-AD)=0.09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p(HC,MCI-LB)&lt;0.001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p(MCI-AD,MCI-LB)=0.052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 w:val="restart"/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DFV, occipital electrodes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F(2,102)=3.4, p=0.02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1701" w:type="dxa"/>
            <w:vMerge/>
            <w:tcBorders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[1.0, 1.7]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[1.3, 1.8]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[0.9, 1.3]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p(HC,MCI-AD)=0.26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p(HC,MCI-LB)=1.0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p(MCI-AD,MCI-LB)=0.05</w:t>
            </w:r>
          </w:p>
        </w:tc>
      </w:tr>
      <w:tr w:rsidR="00E123D1" w:rsidRPr="008D5D11" w:rsidTr="003B5BC3">
        <w:trPr>
          <w:trHeight w:val="135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</w:tcPr>
          <w:p w:rsidR="00E123D1" w:rsidRPr="008D5D11" w:rsidRDefault="00E123D1" w:rsidP="003B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[95% confidence interval] of different quantitative EEG characteristics. Group comparisons were performed using univariate ANOVAs followed by post-hoc tests, Bonferroni-corrected for multiple comparisons. Sex was included as a covariate.</w:t>
            </w:r>
          </w:p>
          <w:p w:rsidR="00E123D1" w:rsidRPr="008D5D11" w:rsidRDefault="00E123D1" w:rsidP="003B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DF, dominant frequency; DFV, dominant frequency variability; HC, healthy controls; MCI-AD, mild cognitive impairment with Alzheimer’s disease; MCI-LB, probable mild cognitive impairment with Lewy bodies</w:t>
            </w:r>
          </w:p>
        </w:tc>
      </w:tr>
    </w:tbl>
    <w:p w:rsidR="00E123D1" w:rsidRDefault="00E123D1" w:rsidP="008D5D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23D1" w:rsidRDefault="00E1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7356" w:rsidRPr="008D5D11" w:rsidRDefault="00197356" w:rsidP="00197356">
      <w:pPr>
        <w:pStyle w:val="Caption"/>
        <w:keepNext/>
        <w:spacing w:after="0" w:line="276" w:lineRule="auto"/>
        <w:rPr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 xml:space="preserve">Supplementary </w:t>
      </w:r>
      <w:r w:rsidR="008A599B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 S2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:</w:t>
      </w:r>
      <w:r w:rsidRPr="008D5D1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Group comparison of quantitative EEG characteristics, </w:t>
      </w:r>
      <w:r w:rsidR="008A599B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splitting the set of electrodes into four macroscopic regions.</w:t>
      </w:r>
    </w:p>
    <w:tbl>
      <w:tblPr>
        <w:tblStyle w:val="TableGrid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426"/>
        <w:gridCol w:w="1134"/>
        <w:gridCol w:w="1417"/>
        <w:gridCol w:w="1276"/>
        <w:gridCol w:w="1276"/>
        <w:gridCol w:w="5386"/>
      </w:tblGrid>
      <w:tr w:rsidR="008F30F6" w:rsidRPr="008D5D11" w:rsidTr="008576B6">
        <w:trPr>
          <w:cantSplit/>
          <w:trHeight w:val="56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MCI-AD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MCI-LB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comparison</w:t>
            </w:r>
          </w:p>
        </w:tc>
      </w:tr>
      <w:tr w:rsidR="008F30F6" w:rsidRPr="008D5D11" w:rsidTr="008576B6">
        <w:trPr>
          <w:trHeight w:val="1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Delta power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8F30F6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 diagnosis:</w:t>
            </w:r>
            <w:r w:rsidR="00B000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A52996">
              <w:rPr>
                <w:rFonts w:ascii="Times New Roman" w:hAnsi="Times New Roman" w:cs="Times New Roman"/>
                <w:sz w:val="24"/>
                <w:szCs w:val="24"/>
              </w:rPr>
              <w:t>(2,102)</w:t>
            </w:r>
            <w:r w:rsidR="00035BAC">
              <w:rPr>
                <w:rFonts w:ascii="Times New Roman" w:hAnsi="Times New Roman" w:cs="Times New Roman"/>
                <w:sz w:val="24"/>
                <w:szCs w:val="24"/>
              </w:rPr>
              <w:t>=0.8, p=0.47</w:t>
            </w:r>
          </w:p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diagnosis*region:</w:t>
            </w:r>
            <w:r w:rsidR="00B000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A52996">
              <w:rPr>
                <w:rFonts w:ascii="Times New Roman" w:hAnsi="Times New Roman" w:cs="Times New Roman"/>
                <w:sz w:val="24"/>
                <w:szCs w:val="24"/>
              </w:rPr>
              <w:t>(5,242)</w:t>
            </w:r>
            <w:r w:rsidR="00B00050">
              <w:rPr>
                <w:rFonts w:ascii="Times New Roman" w:hAnsi="Times New Roman" w:cs="Times New Roman"/>
                <w:sz w:val="24"/>
                <w:szCs w:val="24"/>
              </w:rPr>
              <w:t>=2.7, p=0.02</w:t>
            </w:r>
          </w:p>
        </w:tc>
      </w:tr>
      <w:tr w:rsidR="008F30F6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(8.2)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 (7.2)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 (7.2)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8F30F6" w:rsidRPr="008D5D11" w:rsidRDefault="00A5299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F(2,102)=0.6, p=0.6</w:t>
            </w:r>
          </w:p>
        </w:tc>
      </w:tr>
      <w:tr w:rsidR="008F30F6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(7.7)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 (6.7)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 (6.5)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8F30F6" w:rsidRPr="008D5D11" w:rsidRDefault="00A5299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F30F6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 (7.2)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(6.5)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 (7.1)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8F30F6" w:rsidRPr="008D5D11" w:rsidRDefault="00A5299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F30F6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 (8.3)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 (6.7)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8F30F6" w:rsidRPr="008D5D11" w:rsidRDefault="008F30F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(7.3)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8F30F6" w:rsidRPr="008D5D11" w:rsidRDefault="00A52996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47A94" w:rsidRPr="008D5D11" w:rsidTr="008576B6">
        <w:trPr>
          <w:trHeight w:val="1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47A94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Theta power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147A94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 diagnosis:</w:t>
            </w:r>
            <w:r w:rsidR="00F5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37"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F209B3">
              <w:rPr>
                <w:rFonts w:ascii="Times New Roman" w:hAnsi="Times New Roman" w:cs="Times New Roman"/>
                <w:sz w:val="24"/>
                <w:szCs w:val="24"/>
              </w:rPr>
              <w:t>4.7, p=0.01</w:t>
            </w:r>
          </w:p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diagnosis*region:</w:t>
            </w:r>
            <w:r w:rsidR="00F5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209B3">
              <w:rPr>
                <w:rFonts w:ascii="Times New Roman" w:hAnsi="Times New Roman" w:cs="Times New Roman"/>
                <w:sz w:val="24"/>
                <w:szCs w:val="24"/>
              </w:rPr>
              <w:t>(5,249</w:t>
            </w:r>
            <w:r w:rsidR="00F54137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F209B3">
              <w:rPr>
                <w:rFonts w:ascii="Times New Roman" w:hAnsi="Times New Roman" w:cs="Times New Roman"/>
                <w:sz w:val="24"/>
                <w:szCs w:val="24"/>
              </w:rPr>
              <w:t>4.7, p&lt;0.001</w:t>
            </w:r>
          </w:p>
        </w:tc>
      </w:tr>
      <w:tr w:rsidR="00147A94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(3.4)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 (3.4)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47A94" w:rsidRPr="008D5D11" w:rsidRDefault="00147A94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(5.1)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147A94" w:rsidRPr="008D5D11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5A2D0C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2D0C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2D0C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D0C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2D0C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p(HC,MCI-AD)=0.3, p(HC-MCI-LB)=0.02, </w:t>
            </w:r>
          </w:p>
          <w:p w:rsidR="005A2D0C" w:rsidRDefault="005A2D0C" w:rsidP="0014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MCI-LB)=0.8</w:t>
            </w:r>
          </w:p>
        </w:tc>
      </w:tr>
      <w:tr w:rsidR="005A2D0C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(2.9)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(3.0)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(4.4)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CB0F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 w:rsidR="00CB0F41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CB0F41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B0F41" w:rsidRPr="008D5D1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B0F4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0F4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F4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F4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0.2, p(HC-MCI-LB)=0.003, </w:t>
            </w:r>
          </w:p>
          <w:p w:rsidR="00CB0F41" w:rsidRDefault="00CB0F41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MCI-LB)=0.4</w:t>
            </w:r>
          </w:p>
        </w:tc>
      </w:tr>
      <w:tr w:rsidR="005A2D0C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(2.8)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(2.7)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(4.5)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D9446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 w:rsidR="00D9446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94462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94462" w:rsidRPr="008D5D11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462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4462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4462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94462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D94462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</w:t>
            </w:r>
            <w:r w:rsidR="00432B1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p(HC-MCI-</w:t>
            </w:r>
            <w:r w:rsidR="00432B13">
              <w:rPr>
                <w:rFonts w:ascii="Times New Roman" w:hAnsi="Times New Roman" w:cs="Times New Roman"/>
                <w:sz w:val="24"/>
                <w:szCs w:val="24"/>
              </w:rPr>
              <w:t xml:space="preserve">LB)=0.003, </w:t>
            </w:r>
          </w:p>
          <w:p w:rsidR="00D94462" w:rsidRDefault="00432B1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MCI-LB)=0.7</w:t>
            </w:r>
          </w:p>
        </w:tc>
      </w:tr>
      <w:tr w:rsidR="005A2D0C" w:rsidRPr="008D5D11" w:rsidTr="008576B6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(3.5)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(3.3)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(5.5)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0451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 w:rsidR="000451F3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0451F3" w:rsidRPr="008D5D11" w:rsidTr="00443770">
        <w:trPr>
          <w:trHeight w:val="1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0451F3" w:rsidRPr="008D5D11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451F3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51F3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51F3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0451F3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685DFA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p(HC-MCI-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LB)=0.007, </w:t>
            </w:r>
          </w:p>
          <w:p w:rsidR="000451F3" w:rsidRDefault="000451F3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MCI-LB)=0.2</w:t>
            </w:r>
          </w:p>
        </w:tc>
      </w:tr>
      <w:tr w:rsidR="005A2D0C" w:rsidRPr="008D5D11" w:rsidTr="00443770">
        <w:trPr>
          <w:trHeight w:val="1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A2D0C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Pre-alpha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5A2D0C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 diagnosis: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16.2, p&lt;0.001</w:t>
            </w:r>
          </w:p>
          <w:p w:rsidR="005A2D0C" w:rsidRPr="008D5D11" w:rsidRDefault="005A2D0C" w:rsidP="005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diagnosis*region: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(5,258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F937D7">
              <w:rPr>
                <w:rFonts w:ascii="Times New Roman" w:hAnsi="Times New Roman" w:cs="Times New Roman"/>
                <w:sz w:val="24"/>
                <w:szCs w:val="24"/>
              </w:rPr>
              <w:t>0.9, p=0.5</w:t>
            </w:r>
          </w:p>
        </w:tc>
      </w:tr>
      <w:tr w:rsidR="00E24D21" w:rsidRPr="008D5D11" w:rsidTr="00443770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(10.0)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 (10.2)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 (14.4)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E24D21" w:rsidRPr="008D5D11" w:rsidRDefault="00E24D21" w:rsidP="00E2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FC" w:rsidRPr="008D5D11" w:rsidTr="00443770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 (8.6)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 (9.6)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 (13.4)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FC" w:rsidRPr="008D5D11" w:rsidTr="00443770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 (7.8)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 (10.7)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 (14.2)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FC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(10.3)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 (11.4)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 (15.9)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FC" w:rsidRPr="008D5D11" w:rsidTr="00457B7A">
        <w:trPr>
          <w:trHeight w:val="1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55BFC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F55BFC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 diagnosis: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5.8, p=0.004</w:t>
            </w:r>
          </w:p>
          <w:p w:rsidR="00F55BFC" w:rsidRPr="008D5D11" w:rsidRDefault="00F55BFC" w:rsidP="00F5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diagnosis*region: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(6,285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3.9, p=0.001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 (16.6)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 (13.7)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 (14.0)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F(2,102)=4.4, p=0.02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p(HC,MCI-AD)=0.5, p(HC-MCI-LB)=0.003, </w:t>
            </w:r>
          </w:p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MCI-LB)=0.1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 (14.8)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 (11.8)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 (13.4)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F(2,102)=4.5, p=0.01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p(HC,MCI-AD)=0.4, p(HC-MCI-LB)=0.003, </w:t>
            </w:r>
          </w:p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MCI-LB)=0.2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 (12.8)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 (10.9)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 (13.7)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F(2,102)=7.8, p=0.001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p(HC,MCI-AD)=0.4, p(HC-MCI-LB)&lt;0.001, </w:t>
            </w:r>
          </w:p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MCI-LB)=0.01</w:t>
            </w:r>
          </w:p>
        </w:tc>
      </w:tr>
      <w:tr w:rsidR="00457B7A" w:rsidRPr="008D5D11" w:rsidTr="00457B7A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 (18.4)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 (14.7)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 (17.9)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F(2,102)=6.2, p=0.003</w:t>
            </w:r>
          </w:p>
        </w:tc>
      </w:tr>
      <w:tr w:rsidR="00457B7A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685DF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p(HC,MCI-AD)=0.3, p(HC-MCI-LB)&lt;0.001, </w:t>
            </w:r>
          </w:p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MCI-LB)=0.047</w:t>
            </w:r>
          </w:p>
        </w:tc>
      </w:tr>
      <w:tr w:rsidR="00457B7A" w:rsidRPr="008D5D11" w:rsidTr="00246EF1">
        <w:trPr>
          <w:trHeight w:val="13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</w:tcBorders>
          </w:tcPr>
          <w:p w:rsidR="00457B7A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 diagnosis:</w:t>
            </w:r>
            <w:r w:rsidR="0010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CB"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1003CB">
              <w:rPr>
                <w:rFonts w:ascii="Times New Roman" w:hAnsi="Times New Roman" w:cs="Times New Roman"/>
                <w:sz w:val="24"/>
                <w:szCs w:val="24"/>
              </w:rPr>
              <w:t>8.3, p&lt;0.001</w:t>
            </w:r>
          </w:p>
          <w:p w:rsidR="00457B7A" w:rsidRPr="008D5D11" w:rsidRDefault="00457B7A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diagnosis*region:</w:t>
            </w:r>
            <w:r w:rsidR="00CB6536">
              <w:rPr>
                <w:rFonts w:ascii="Times New Roman" w:hAnsi="Times New Roman" w:cs="Times New Roman"/>
                <w:sz w:val="24"/>
                <w:szCs w:val="24"/>
              </w:rPr>
              <w:t xml:space="preserve"> F(5,263)=3.6, p=0.003</w:t>
            </w:r>
          </w:p>
        </w:tc>
      </w:tr>
      <w:tr w:rsidR="005D08A3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 (10.6)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 (8.9)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 (11.9)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5D08A3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D08A3" w:rsidRPr="008D5D11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08A3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08A3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08A3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D08A3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p(HC-MCI-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LB)=0.003, </w:t>
            </w:r>
          </w:p>
          <w:p w:rsidR="005D08A3" w:rsidRDefault="005D08A3" w:rsidP="005D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MCI-LB)=0.003</w:t>
            </w:r>
          </w:p>
        </w:tc>
      </w:tr>
      <w:tr w:rsidR="00456AFC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 (10.9)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 (9.2)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 (11.2)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7.9, p&lt;0.001</w:t>
            </w:r>
          </w:p>
        </w:tc>
      </w:tr>
      <w:tr w:rsidR="00456AFC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56AFC" w:rsidRPr="008D5D11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6AFC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56AFC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AFC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56AFC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p(HC,MCI-AD)=1.0, p(HC-MCI-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LB)&lt;0.001, </w:t>
            </w:r>
          </w:p>
          <w:p w:rsidR="00456AFC" w:rsidRDefault="00456AFC" w:rsidP="004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MCI-LB)=0.001</w:t>
            </w:r>
          </w:p>
        </w:tc>
      </w:tr>
      <w:tr w:rsidR="00746D54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 (9.0)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 (8.3)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 (10.1)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746D54" w:rsidRPr="008D5D11" w:rsidRDefault="00746D54" w:rsidP="0006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 w:rsidR="000634A2">
              <w:rPr>
                <w:rFonts w:ascii="Times New Roman" w:hAnsi="Times New Roman" w:cs="Times New Roman"/>
                <w:sz w:val="24"/>
                <w:szCs w:val="24"/>
              </w:rPr>
              <w:t>7.7, p&lt;0.001</w:t>
            </w:r>
          </w:p>
        </w:tc>
      </w:tr>
      <w:tr w:rsidR="00746D54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685DFA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</w:t>
            </w:r>
            <w:r w:rsidR="000634A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p(HC-MCI-</w:t>
            </w:r>
            <w:r w:rsidR="000634A2">
              <w:rPr>
                <w:rFonts w:ascii="Times New Roman" w:hAnsi="Times New Roman" w:cs="Times New Roman"/>
                <w:sz w:val="24"/>
                <w:szCs w:val="24"/>
              </w:rPr>
              <w:t xml:space="preserve">LB)&lt;0.001, </w:t>
            </w:r>
          </w:p>
          <w:p w:rsidR="00746D54" w:rsidRDefault="000634A2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MCI-LB)=0.002</w:t>
            </w:r>
          </w:p>
        </w:tc>
      </w:tr>
      <w:tr w:rsidR="00746D54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 (11.5)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 (9.4)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 (11.3)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F(2,102)=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7.3, p&lt;0.001</w:t>
            </w:r>
          </w:p>
        </w:tc>
      </w:tr>
      <w:tr w:rsidR="00746D54" w:rsidRPr="008D5D11" w:rsidTr="00246EF1">
        <w:trPr>
          <w:trHeight w:val="135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685DFA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p(HC,MCI-AD)=1.0, p(HC-MCI-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LB)&lt;0.001, </w:t>
            </w:r>
          </w:p>
          <w:p w:rsidR="00746D54" w:rsidRDefault="00746D54" w:rsidP="007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p(MCI-AD, MCI-LB)&lt;0.001</w:t>
            </w:r>
          </w:p>
        </w:tc>
      </w:tr>
      <w:tr w:rsidR="00746D54" w:rsidRPr="008D5D11" w:rsidTr="00246EF1">
        <w:trPr>
          <w:trHeight w:val="135"/>
          <w:jc w:val="center"/>
        </w:trPr>
        <w:tc>
          <w:tcPr>
            <w:tcW w:w="10915" w:type="dxa"/>
            <w:gridSpan w:val="6"/>
            <w:tcBorders>
              <w:top w:val="nil"/>
              <w:bottom w:val="nil"/>
            </w:tcBorders>
          </w:tcPr>
          <w:p w:rsidR="00746D54" w:rsidRPr="008D5D11" w:rsidRDefault="00746D54" w:rsidP="00746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(standard deviation)</w:t>
            </w: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different quantitative EEG characteristics. Group comparisons were performed using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repeated measures</w:t>
            </w: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ANOVAs followed by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univariate ANOVAs if the interaction between diagnosis and region was significant. </w:t>
            </w: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was included as a covariate.</w:t>
            </w:r>
            <w:bookmarkStart w:id="0" w:name="_GoBack"/>
            <w:bookmarkEnd w:id="0"/>
          </w:p>
          <w:p w:rsidR="00746D54" w:rsidRPr="008D5D11" w:rsidRDefault="00746D54" w:rsidP="00746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HC, healthy controls; MCI-AD, mild cognitive impairment with Alzheimer’s disease; MCI-LB, probable mild cognitive impairment with Lewy bodies</w:t>
            </w:r>
          </w:p>
        </w:tc>
      </w:tr>
    </w:tbl>
    <w:p w:rsidR="00197356" w:rsidRDefault="0019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D11" w:rsidRPr="008D5D11" w:rsidRDefault="008D5D11" w:rsidP="008D5D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5D11">
        <w:rPr>
          <w:rFonts w:ascii="Times New Roman" w:hAnsi="Times New Roman" w:cs="Times New Roman"/>
          <w:sz w:val="24"/>
          <w:szCs w:val="24"/>
        </w:rPr>
        <w:lastRenderedPageBreak/>
        <w:t>Supplementary Table S</w:t>
      </w:r>
      <w:r w:rsidR="0087525C">
        <w:rPr>
          <w:rFonts w:ascii="Times New Roman" w:hAnsi="Times New Roman" w:cs="Times New Roman"/>
          <w:sz w:val="24"/>
          <w:szCs w:val="24"/>
        </w:rPr>
        <w:t>3</w:t>
      </w:r>
      <w:r w:rsidRPr="008D5D11">
        <w:rPr>
          <w:rFonts w:ascii="Times New Roman" w:hAnsi="Times New Roman" w:cs="Times New Roman"/>
          <w:sz w:val="24"/>
          <w:szCs w:val="24"/>
        </w:rPr>
        <w:t>: Association between Lewy body symptom severity and EEG characteristics in the MCI-LB group. Two-sample t-tests comparing EEG measures between MCI-LB patients with two symptoms/biomarkers (N=13) and MCI-LB patients with more than two symptoms/biomarkers (N=26) and Spearman’s correlations between EEG characteristics and symptom/biomarker count (ranging from 2 to 6). P-values are FDR-corrected for multiple comparisons.</w:t>
      </w:r>
    </w:p>
    <w:tbl>
      <w:tblPr>
        <w:tblStyle w:val="TableGrid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650"/>
        <w:gridCol w:w="1701"/>
        <w:gridCol w:w="2126"/>
        <w:gridCol w:w="2268"/>
      </w:tblGrid>
      <w:tr w:rsidR="008D5D11" w:rsidRPr="008D5D11" w:rsidTr="003B5B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EEG measure, mean (SD)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MCI-LB with 2 symptoms/ biomarkers (N=13)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MCI-LB with </w:t>
            </w:r>
          </w:p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&gt; 2 symptoms/ biomarkers (N=26)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T-test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Correlation with symptom count</w:t>
            </w:r>
          </w:p>
        </w:tc>
      </w:tr>
      <w:tr w:rsidR="008D5D11" w:rsidRPr="008D5D11" w:rsidTr="003B5BC3">
        <w:tc>
          <w:tcPr>
            <w:tcW w:w="2178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Delta power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12.0 (5.5)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16.4 (7.0)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=2.1,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=0.33,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=0.04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Theta power</w:t>
            </w:r>
          </w:p>
        </w:tc>
        <w:tc>
          <w:tcPr>
            <w:tcW w:w="1650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7.2 (5.2)</w:t>
            </w:r>
          </w:p>
        </w:tc>
        <w:tc>
          <w:tcPr>
            <w:tcW w:w="1701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9.6 (4.5)</w:t>
            </w:r>
          </w:p>
        </w:tc>
        <w:tc>
          <w:tcPr>
            <w:tcW w:w="212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=2.1,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=0.16</w:t>
            </w:r>
          </w:p>
        </w:tc>
        <w:tc>
          <w:tcPr>
            <w:tcW w:w="226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=0.40,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=0.01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Pre-alpha power</w:t>
            </w:r>
          </w:p>
        </w:tc>
        <w:tc>
          <w:tcPr>
            <w:tcW w:w="1650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18.3 (9.2)</w:t>
            </w:r>
          </w:p>
        </w:tc>
        <w:tc>
          <w:tcPr>
            <w:tcW w:w="1701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34.0 (13.4)</w:t>
            </w:r>
          </w:p>
        </w:tc>
        <w:tc>
          <w:tcPr>
            <w:tcW w:w="212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=3.7,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=0.004</w:t>
            </w:r>
          </w:p>
        </w:tc>
        <w:tc>
          <w:tcPr>
            <w:tcW w:w="226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=0.54,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=0.004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Alpha power</w:t>
            </w:r>
          </w:p>
        </w:tc>
        <w:tc>
          <w:tcPr>
            <w:tcW w:w="1650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40.0 (17.7)</w:t>
            </w:r>
          </w:p>
        </w:tc>
        <w:tc>
          <w:tcPr>
            <w:tcW w:w="1701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22.5 (8.6)</w:t>
            </w:r>
          </w:p>
        </w:tc>
        <w:tc>
          <w:tcPr>
            <w:tcW w:w="212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=3.7,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=0.004</w:t>
            </w:r>
          </w:p>
        </w:tc>
        <w:tc>
          <w:tcPr>
            <w:tcW w:w="226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=-0.43,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=0.01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Beta power</w:t>
            </w:r>
          </w:p>
        </w:tc>
        <w:tc>
          <w:tcPr>
            <w:tcW w:w="1650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22.2 (9.3)</w:t>
            </w:r>
          </w:p>
        </w:tc>
        <w:tc>
          <w:tcPr>
            <w:tcW w:w="1701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17.2 (11.6)</w:t>
            </w:r>
          </w:p>
        </w:tc>
        <w:tc>
          <w:tcPr>
            <w:tcW w:w="212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=1.8,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=0.08</w:t>
            </w:r>
          </w:p>
        </w:tc>
        <w:tc>
          <w:tcPr>
            <w:tcW w:w="226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=-0.44,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=0.01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Theta/alpha ratio</w:t>
            </w:r>
          </w:p>
        </w:tc>
        <w:tc>
          <w:tcPr>
            <w:tcW w:w="1650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0.38 (0.24)</w:t>
            </w:r>
          </w:p>
        </w:tc>
        <w:tc>
          <w:tcPr>
            <w:tcW w:w="1701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0.57 (0.17)</w:t>
            </w:r>
          </w:p>
        </w:tc>
        <w:tc>
          <w:tcPr>
            <w:tcW w:w="212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=2.9,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=0.02</w:t>
            </w:r>
          </w:p>
        </w:tc>
        <w:tc>
          <w:tcPr>
            <w:tcW w:w="226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=0.44, 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FDR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=0.01</w:t>
            </w:r>
          </w:p>
        </w:tc>
      </w:tr>
      <w:tr w:rsidR="008D5D11" w:rsidRPr="008D5D11" w:rsidTr="003B5BC3">
        <w:tc>
          <w:tcPr>
            <w:tcW w:w="2178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DF, </w:t>
            </w: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all electrodes</w:t>
            </w:r>
          </w:p>
        </w:tc>
        <w:tc>
          <w:tcPr>
            <w:tcW w:w="1650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7.8 (1.2)</w:t>
            </w:r>
          </w:p>
        </w:tc>
        <w:tc>
          <w:tcPr>
            <w:tcW w:w="1701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6.9 (1.0)</w:t>
            </w:r>
          </w:p>
        </w:tc>
        <w:tc>
          <w:tcPr>
            <w:tcW w:w="2126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=2.3,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=0.06</w:t>
            </w:r>
          </w:p>
        </w:tc>
        <w:tc>
          <w:tcPr>
            <w:tcW w:w="2268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ρ=-0.45,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=0.01</w:t>
            </w:r>
          </w:p>
        </w:tc>
      </w:tr>
      <w:tr w:rsidR="008D5D11" w:rsidRPr="008D5D11" w:rsidTr="003B5BC3">
        <w:tc>
          <w:tcPr>
            <w:tcW w:w="2178" w:type="dxa"/>
            <w:tcBorders>
              <w:top w:val="nil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DF, occipital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electr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7.8 (1.2)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7.0 (1.1)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=2.2,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ρ=-0.48,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=0.01 </w:t>
            </w:r>
          </w:p>
        </w:tc>
      </w:tr>
      <w:tr w:rsidR="008D5D11" w:rsidRPr="008D5D11" w:rsidTr="003B5BC3"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ACE-R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86.8 (7.1)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82.3 (9.9)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</w:t>
            </w: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=1.6,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ρ=-0.17,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=0.30</w:t>
            </w:r>
          </w:p>
        </w:tc>
      </w:tr>
      <w:tr w:rsidR="008D5D11" w:rsidRPr="008D5D11" w:rsidTr="003B5BC3"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0"/>
                <w:szCs w:val="24"/>
              </w:rPr>
              <w:t>DF, dominant frequency; FDR, false discovery rate; MCI-LB, probable mild cognitive impairment with Lewy bodies; SD, standard deviation</w:t>
            </w:r>
          </w:p>
        </w:tc>
      </w:tr>
    </w:tbl>
    <w:p w:rsidR="008D5D11" w:rsidRPr="008D5D11" w:rsidRDefault="008D5D11" w:rsidP="008D5D1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D11" w:rsidRPr="008D5D11" w:rsidRDefault="008D5D11" w:rsidP="008D5D1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D11" w:rsidRPr="008D5D11" w:rsidRDefault="008D5D11" w:rsidP="008D5D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5D11">
        <w:rPr>
          <w:rFonts w:ascii="Times New Roman" w:hAnsi="Times New Roman" w:cs="Times New Roman"/>
          <w:sz w:val="24"/>
          <w:szCs w:val="24"/>
        </w:rPr>
        <w:t>Supplementary Table S</w:t>
      </w:r>
      <w:r w:rsidR="0087525C">
        <w:rPr>
          <w:rFonts w:ascii="Times New Roman" w:hAnsi="Times New Roman" w:cs="Times New Roman"/>
          <w:sz w:val="24"/>
          <w:szCs w:val="24"/>
        </w:rPr>
        <w:t>4</w:t>
      </w:r>
      <w:r w:rsidRPr="008D5D11">
        <w:rPr>
          <w:rFonts w:ascii="Times New Roman" w:hAnsi="Times New Roman" w:cs="Times New Roman"/>
          <w:sz w:val="24"/>
          <w:szCs w:val="24"/>
        </w:rPr>
        <w:t xml:space="preserve">: Association between the severity of overall cognitive impairment (ACE-R scores) and EEG characteristics in the MCI-LB and MCI-AD groups using Spearman’s correlations. P-values are FDR-corrected for multiple comparisons. </w:t>
      </w:r>
    </w:p>
    <w:tbl>
      <w:tblPr>
        <w:tblStyle w:val="TableGrid"/>
        <w:tblW w:w="7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84"/>
        <w:gridCol w:w="2976"/>
      </w:tblGrid>
      <w:tr w:rsidR="008D5D11" w:rsidRPr="008D5D11" w:rsidTr="003B5B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Correlation with ACE-R scores in MCI-AD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Correlation with ACE-R scores in MCI-LB</w:t>
            </w:r>
          </w:p>
        </w:tc>
      </w:tr>
      <w:tr w:rsidR="008D5D11" w:rsidRPr="008D5D11" w:rsidTr="003B5BC3">
        <w:tc>
          <w:tcPr>
            <w:tcW w:w="2178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Delta power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ρ=-0.12,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=0.51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ρ=-0.23,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=0.21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Theta power</w:t>
            </w:r>
          </w:p>
        </w:tc>
        <w:tc>
          <w:tcPr>
            <w:tcW w:w="2784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ρ=-0.21,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=0.26</w:t>
            </w:r>
          </w:p>
        </w:tc>
        <w:tc>
          <w:tcPr>
            <w:tcW w:w="297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ρ=-0.35,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=0.046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Pre-alpha power</w:t>
            </w:r>
          </w:p>
        </w:tc>
        <w:tc>
          <w:tcPr>
            <w:tcW w:w="2784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ρ=-0.44,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=0.02</w:t>
            </w:r>
          </w:p>
        </w:tc>
        <w:tc>
          <w:tcPr>
            <w:tcW w:w="297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ρ=-0.37,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=0.04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Alpha power</w:t>
            </w:r>
          </w:p>
        </w:tc>
        <w:tc>
          <w:tcPr>
            <w:tcW w:w="2784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ρ=0.40,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=0.03</w:t>
            </w:r>
          </w:p>
        </w:tc>
        <w:tc>
          <w:tcPr>
            <w:tcW w:w="297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ρ=0.50,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=0.008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Beta power</w:t>
            </w:r>
          </w:p>
        </w:tc>
        <w:tc>
          <w:tcPr>
            <w:tcW w:w="2784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ρ=0.11,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=0.51</w:t>
            </w:r>
          </w:p>
        </w:tc>
        <w:tc>
          <w:tcPr>
            <w:tcW w:w="297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ρ=0.30,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=0.09</w:t>
            </w:r>
          </w:p>
        </w:tc>
      </w:tr>
      <w:tr w:rsidR="008D5D11" w:rsidRPr="008D5D11" w:rsidTr="003B5BC3">
        <w:tc>
          <w:tcPr>
            <w:tcW w:w="2178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Theta/alpha ratio</w:t>
            </w:r>
          </w:p>
        </w:tc>
        <w:tc>
          <w:tcPr>
            <w:tcW w:w="2784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ρ=-0.32,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=0.08</w:t>
            </w:r>
          </w:p>
        </w:tc>
        <w:tc>
          <w:tcPr>
            <w:tcW w:w="2976" w:type="dxa"/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ρ=-0.48,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=0.008</w:t>
            </w:r>
          </w:p>
        </w:tc>
      </w:tr>
      <w:tr w:rsidR="008D5D11" w:rsidRPr="008D5D11" w:rsidTr="003B5BC3">
        <w:tc>
          <w:tcPr>
            <w:tcW w:w="2178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DF, all electrodes</w:t>
            </w:r>
          </w:p>
        </w:tc>
        <w:tc>
          <w:tcPr>
            <w:tcW w:w="2784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ρ=0.50,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=0.008</w:t>
            </w:r>
          </w:p>
        </w:tc>
        <w:tc>
          <w:tcPr>
            <w:tcW w:w="2976" w:type="dxa"/>
            <w:tcBorders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ρ=0.43,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=0.02</w:t>
            </w:r>
          </w:p>
        </w:tc>
      </w:tr>
      <w:tr w:rsidR="008D5D11" w:rsidRPr="008D5D11" w:rsidTr="003B5BC3"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DF, occipital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electr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ρ=0.49,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=0.008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4"/>
                <w:szCs w:val="24"/>
              </w:rPr>
              <w:t xml:space="preserve">ρ=0.48, </w:t>
            </w:r>
            <w:proofErr w:type="spellStart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5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FDR</w:t>
            </w:r>
            <w:proofErr w:type="spellEnd"/>
            <w:r w:rsidRPr="008D5D11">
              <w:rPr>
                <w:rFonts w:ascii="Times New Roman" w:hAnsi="Times New Roman" w:cs="Times New Roman"/>
                <w:sz w:val="24"/>
                <w:szCs w:val="24"/>
              </w:rPr>
              <w:t>=0.008</w:t>
            </w:r>
          </w:p>
        </w:tc>
      </w:tr>
      <w:tr w:rsidR="008D5D11" w:rsidRPr="008D5D11" w:rsidTr="003B5BC3">
        <w:tc>
          <w:tcPr>
            <w:tcW w:w="7938" w:type="dxa"/>
            <w:gridSpan w:val="3"/>
            <w:tcBorders>
              <w:top w:val="single" w:sz="4" w:space="0" w:color="auto"/>
              <w:bottom w:val="nil"/>
            </w:tcBorders>
          </w:tcPr>
          <w:p w:rsidR="008D5D11" w:rsidRPr="008D5D11" w:rsidRDefault="008D5D11" w:rsidP="003B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11">
              <w:rPr>
                <w:rFonts w:ascii="Times New Roman" w:hAnsi="Times New Roman" w:cs="Times New Roman"/>
                <w:sz w:val="20"/>
                <w:szCs w:val="20"/>
              </w:rPr>
              <w:t xml:space="preserve">ACE-R, </w:t>
            </w:r>
            <w:proofErr w:type="spellStart"/>
            <w:r w:rsidRPr="008D5D11">
              <w:rPr>
                <w:rFonts w:ascii="Times New Roman" w:hAnsi="Times New Roman" w:cs="Times New Roman"/>
                <w:sz w:val="20"/>
                <w:szCs w:val="20"/>
              </w:rPr>
              <w:t>Addenbrooke’s</w:t>
            </w:r>
            <w:proofErr w:type="spellEnd"/>
            <w:r w:rsidRPr="008D5D11">
              <w:rPr>
                <w:rFonts w:ascii="Times New Roman" w:hAnsi="Times New Roman" w:cs="Times New Roman"/>
                <w:sz w:val="20"/>
                <w:szCs w:val="20"/>
              </w:rPr>
              <w:t xml:space="preserve"> Cognitive Examination – Revised; DF, dominant frequency; FDR, false discovery rate corrected; MCI-AD, mild cognitive impairment with Alzheimer’s disease; MCI-LB, mild cognitive impairment with Lewy bodies.</w:t>
            </w:r>
          </w:p>
        </w:tc>
      </w:tr>
    </w:tbl>
    <w:p w:rsidR="002E0F18" w:rsidRPr="0087525C" w:rsidRDefault="002E0F18">
      <w:pPr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sectPr w:rsidR="002E0F18" w:rsidRPr="00875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E"/>
    <w:rsid w:val="00006127"/>
    <w:rsid w:val="00022E37"/>
    <w:rsid w:val="00035BAC"/>
    <w:rsid w:val="000451F3"/>
    <w:rsid w:val="000634A2"/>
    <w:rsid w:val="00090004"/>
    <w:rsid w:val="000B5D3C"/>
    <w:rsid w:val="001003CB"/>
    <w:rsid w:val="00147A94"/>
    <w:rsid w:val="00197356"/>
    <w:rsid w:val="001F7249"/>
    <w:rsid w:val="00220E9D"/>
    <w:rsid w:val="00246EF1"/>
    <w:rsid w:val="002E0F18"/>
    <w:rsid w:val="003D1DE9"/>
    <w:rsid w:val="00415B70"/>
    <w:rsid w:val="00432B13"/>
    <w:rsid w:val="00443770"/>
    <w:rsid w:val="00456AFC"/>
    <w:rsid w:val="00457B7A"/>
    <w:rsid w:val="00480D41"/>
    <w:rsid w:val="004E5843"/>
    <w:rsid w:val="005A2D0C"/>
    <w:rsid w:val="005A33BA"/>
    <w:rsid w:val="005B30DE"/>
    <w:rsid w:val="005B66F8"/>
    <w:rsid w:val="005D08A3"/>
    <w:rsid w:val="00685DFA"/>
    <w:rsid w:val="006A021D"/>
    <w:rsid w:val="006A4699"/>
    <w:rsid w:val="007007D0"/>
    <w:rsid w:val="00746D54"/>
    <w:rsid w:val="00761CBD"/>
    <w:rsid w:val="007D1AB8"/>
    <w:rsid w:val="007F1FC6"/>
    <w:rsid w:val="008258E4"/>
    <w:rsid w:val="008576B6"/>
    <w:rsid w:val="0087525C"/>
    <w:rsid w:val="008A599B"/>
    <w:rsid w:val="008D5D11"/>
    <w:rsid w:val="008F30F6"/>
    <w:rsid w:val="00910D3D"/>
    <w:rsid w:val="009662E5"/>
    <w:rsid w:val="00984BE2"/>
    <w:rsid w:val="009E03E0"/>
    <w:rsid w:val="00A077F1"/>
    <w:rsid w:val="00A52996"/>
    <w:rsid w:val="00B00050"/>
    <w:rsid w:val="00B14A89"/>
    <w:rsid w:val="00BC535C"/>
    <w:rsid w:val="00CB0F41"/>
    <w:rsid w:val="00CB6536"/>
    <w:rsid w:val="00CD12C6"/>
    <w:rsid w:val="00D0630A"/>
    <w:rsid w:val="00D32F62"/>
    <w:rsid w:val="00D35778"/>
    <w:rsid w:val="00D733F5"/>
    <w:rsid w:val="00D94462"/>
    <w:rsid w:val="00E00121"/>
    <w:rsid w:val="00E04200"/>
    <w:rsid w:val="00E123D1"/>
    <w:rsid w:val="00E24D21"/>
    <w:rsid w:val="00E34F55"/>
    <w:rsid w:val="00E35947"/>
    <w:rsid w:val="00F209B3"/>
    <w:rsid w:val="00F54137"/>
    <w:rsid w:val="00F55BFC"/>
    <w:rsid w:val="00F77B22"/>
    <w:rsid w:val="00F8423C"/>
    <w:rsid w:val="00F937D7"/>
    <w:rsid w:val="00FC4CBC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347A"/>
  <w15:chartTrackingRefBased/>
  <w15:docId w15:val="{09C137FC-FF82-4F32-9079-F8AD75D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00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1174</Words>
  <Characters>6693</Characters>
  <Application>Microsoft Office Word</Application>
  <DocSecurity>0</DocSecurity>
  <Lines>55</Lines>
  <Paragraphs>15</Paragraphs>
  <ScaleCrop>false</ScaleCrop>
  <Company>Newcastle University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Schumacher</dc:creator>
  <cp:keywords/>
  <dc:description/>
  <cp:lastModifiedBy>Julia Schumacher</cp:lastModifiedBy>
  <cp:revision>71</cp:revision>
  <dcterms:created xsi:type="dcterms:W3CDTF">2020-06-15T10:21:00Z</dcterms:created>
  <dcterms:modified xsi:type="dcterms:W3CDTF">2020-06-16T11:29:00Z</dcterms:modified>
</cp:coreProperties>
</file>