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60" w:line="36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1"/>
    </w:p>
    <w:p>
      <w:pPr>
        <w:widowControl/>
        <w:snapToGrid w:val="0"/>
        <w:spacing w:line="360" w:lineRule="auto"/>
        <w:jc w:val="left"/>
        <w:outlineLvl w:val="0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</w:rPr>
        <w:t xml:space="preserve">Table </w:t>
      </w: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S1</w:t>
      </w:r>
      <w:r>
        <w:rPr>
          <w:rFonts w:ascii="Times New Roman" w:hAnsi="Times New Roman" w:cs="Times New Roman"/>
          <w:b/>
          <w:bCs/>
          <w:sz w:val="24"/>
          <w:szCs w:val="32"/>
        </w:rPr>
        <w:t>:</w:t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</w:rPr>
        <w:t>R</w:t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 xml:space="preserve">esults of univariate </w:t>
      </w:r>
      <w:r>
        <w:rPr>
          <w:rFonts w:ascii="Times New Roman" w:hAnsi="Times New Roman" w:cs="Times New Roman"/>
          <w:b/>
          <w:bCs/>
          <w:sz w:val="24"/>
          <w:szCs w:val="32"/>
        </w:rPr>
        <w:t>K</w:t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>aplan-</w:t>
      </w:r>
      <w:r>
        <w:rPr>
          <w:rFonts w:ascii="Times New Roman" w:hAnsi="Times New Roman" w:cs="Times New Roman"/>
          <w:b/>
          <w:bCs/>
          <w:sz w:val="24"/>
          <w:szCs w:val="32"/>
        </w:rPr>
        <w:t>M</w:t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>eier analysis</w:t>
      </w:r>
    </w:p>
    <w:tbl>
      <w:tblPr>
        <w:tblStyle w:val="7"/>
        <w:tblW w:w="59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970"/>
        <w:gridCol w:w="1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Results classified by median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N/L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&lt;3.6464</w:t>
            </w:r>
          </w:p>
        </w:tc>
        <w:tc>
          <w:tcPr>
            <w:tcW w:w="4535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3.6464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CRP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mg/dL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&lt;2.555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2.555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AST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(U/L)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&lt;23.000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23.000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ALB (g/L)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&lt;38.600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38.600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sCr (</w:t>
            </w:r>
            <w:r>
              <w:rPr>
                <w:rFonts w:hint="eastAsia" w:ascii="Times New Roman" w:hAnsi="Times New Roman" w:cs="Times New Roman"/>
                <w:sz w:val="24"/>
              </w:rPr>
              <w:t>μmol/L)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&lt;66.300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66.300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BUN (</w:t>
            </w:r>
            <w:r>
              <w:rPr>
                <w:rFonts w:ascii="Times New Roman" w:hAnsi="Times New Roman" w:cs="Times New Roman"/>
                <w:sz w:val="24"/>
              </w:rPr>
              <w:t>mmol/L)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&lt;4.1900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4.1900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D-dimer (</w:t>
            </w:r>
            <w:r>
              <w:rPr>
                <w:rFonts w:hint="eastAsia" w:ascii="Times New Roman" w:hAnsi="Times New Roman" w:cs="Times New Roman"/>
                <w:sz w:val="24"/>
              </w:rPr>
              <w:t>μg/mL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&lt;0.8300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0.8300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Age (years)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&lt;56.000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56.000</w:t>
            </w:r>
          </w:p>
        </w:tc>
        <w:tc>
          <w:tcPr>
            <w:tcW w:w="45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T2DM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N/A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Hypertension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N/A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CHD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N/A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0.255</w:t>
            </w:r>
          </w:p>
        </w:tc>
      </w:tr>
    </w:tbl>
    <w:p>
      <w:pPr>
        <w:widowControl/>
        <w:snapToGrid w:val="0"/>
        <w:spacing w:after="160" w:line="360" w:lineRule="auto"/>
        <w:jc w:val="left"/>
        <w:rPr>
          <w:rFonts w:hint="default" w:ascii="Times New Roman" w:hAnsi="Times New Roman" w:eastAsia="Times New Roman"/>
          <w:sz w:val="24"/>
        </w:rPr>
      </w:pPr>
    </w:p>
    <w:p>
      <w:pPr>
        <w:widowControl/>
        <w:snapToGrid w:val="0"/>
        <w:spacing w:after="16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/>
          <w:sz w:val="24"/>
        </w:rPr>
        <w:t>Abbreviations:</w:t>
      </w:r>
      <w:r>
        <w:rPr>
          <w:rFonts w:hint="default" w:ascii="Times New Roman" w:hAnsi="Times New Roman" w:eastAsia="Times New Roman"/>
          <w:sz w:val="24"/>
          <w:lang w:val="en-US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N/L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hint="eastAsia" w:ascii="Times New Roman" w:hAnsi="Times New Roman" w:cs="Times New Roman"/>
          <w:sz w:val="20"/>
          <w:szCs w:val="20"/>
        </w:rPr>
        <w:t xml:space="preserve"> ratio of neutrophils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hint="eastAsia" w:ascii="Times New Roman" w:hAnsi="Times New Roman" w:cs="Times New Roman"/>
          <w:sz w:val="20"/>
          <w:szCs w:val="20"/>
        </w:rPr>
        <w:t xml:space="preserve"> lymphocyte</w:t>
      </w:r>
      <w:r>
        <w:rPr>
          <w:rFonts w:ascii="Times New Roman" w:hAnsi="Times New Roman" w:cs="Times New Roman"/>
          <w:sz w:val="20"/>
          <w:szCs w:val="20"/>
        </w:rPr>
        <w:t>s; CRP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C-reactive protein</w:t>
      </w:r>
      <w:r>
        <w:rPr>
          <w:rFonts w:hint="eastAsia"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AST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aspartate aminotransferase; ALB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serum albumin; sCr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serum creatinine; BUN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blood urea nitrogen; T2DM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type 2 diabetes mellitus; CHD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coronary heart disease.</w:t>
      </w: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line="360" w:lineRule="auto"/>
        <w:jc w:val="left"/>
        <w:outlineLvl w:val="0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</w:rPr>
        <w:t xml:space="preserve">Table </w:t>
      </w: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S2</w:t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>: Baseline characteristics of critically ill patients</w:t>
      </w:r>
    </w:p>
    <w:tbl>
      <w:tblPr>
        <w:tblStyle w:val="7"/>
        <w:tblW w:w="836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2251"/>
        <w:gridCol w:w="2264"/>
        <w:gridCol w:w="1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0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Survivors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(n = 55)</w:t>
            </w: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Non-survivors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(n = 50)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Males (%) </w:t>
            </w:r>
          </w:p>
        </w:tc>
        <w:tc>
          <w:tcPr>
            <w:tcW w:w="22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 (61.82%)</w:t>
            </w: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 (62%)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1.000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Age (years)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60.82 (11.66)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67.82 (15.73)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Onset time (days)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7.11 (3.91)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6.54 (3.71)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Hypertension (%)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 (45.45%)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 (74%)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T2DM (%)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 (29.09%)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 (34%)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CHD (%)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 (9.09%)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 (14%)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COPD (%)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 (3.64%)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 (6%)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WBC (10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5.66 (3.92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7.04)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5.73 (4.18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7.95)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N/L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6.31 (3.12)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9.24 (7.84)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ALT (U/L)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25.80 (15.20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38.70)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21.05 (14.33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29.48)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AST (U/L)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29.40 (25.00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50.60)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31.50 (22.40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44.33)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ALB (g/L)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36.80 (5.18)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35.55 (4.30)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sCr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mol/L)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72.30 (59.30–85.30)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76.00 (58.00–109.20)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BUN (</w:t>
            </w:r>
            <w:r>
              <w:rPr>
                <w:rFonts w:ascii="Times New Roman" w:hAnsi="Times New Roman" w:cs="Times New Roman"/>
                <w:szCs w:val="21"/>
              </w:rPr>
              <w:t>mmol/L)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4.94 (3.50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6.60)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6.60 (4.60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10.58)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CRP (</w:t>
            </w:r>
            <w:r>
              <w:rPr>
                <w:rFonts w:ascii="Times New Roman" w:hAnsi="Times New Roman" w:cs="Times New Roman"/>
                <w:szCs w:val="21"/>
              </w:rPr>
              <w:t>mg/dL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6.10 (2.78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8.20)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6.10 (3.53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8.84)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D-dimer (</w:t>
            </w:r>
            <w:r>
              <w:rPr>
                <w:rFonts w:hint="eastAsia" w:ascii="Times New Roman" w:hAnsi="Times New Roman" w:cs="Times New Roman"/>
                <w:szCs w:val="21"/>
              </w:rPr>
              <w:t>μ</w:t>
            </w:r>
            <w:r>
              <w:rPr>
                <w:rFonts w:ascii="Times New Roman" w:hAnsi="Times New Roman" w:cs="Times New Roman"/>
                <w:szCs w:val="21"/>
              </w:rPr>
              <w:t>g/mL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2.65 (0.66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8.48)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6.21 (1.27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19.73)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val="en-US" w:bidi="ar"/>
              </w:rPr>
              <w:t>corticosteroid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use (d)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10.60 (7.14)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7.98 (5.43)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Mean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val="en-US" w:bidi="ar"/>
              </w:rPr>
              <w:t>corticosteroid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(mg/d)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44.57 (30.86)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49.34 (31.80)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APACHE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8.51 (3.32)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12.44 (3.41)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&lt;0.001</w:t>
            </w:r>
          </w:p>
        </w:tc>
      </w:tr>
    </w:tbl>
    <w:p>
      <w:pPr>
        <w:widowControl/>
        <w:snapToGrid w:val="0"/>
        <w:spacing w:after="160" w:line="360" w:lineRule="auto"/>
        <w:jc w:val="left"/>
        <w:rPr>
          <w:rFonts w:hint="default" w:ascii="Times New Roman" w:hAnsi="Times New Roman" w:eastAsia="Times New Roman"/>
          <w:sz w:val="24"/>
        </w:rPr>
      </w:pPr>
    </w:p>
    <w:p>
      <w:pPr>
        <w:widowControl/>
        <w:snapToGrid w:val="0"/>
        <w:spacing w:after="16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/>
          <w:sz w:val="24"/>
        </w:rPr>
        <w:t>Abbreviations:</w:t>
      </w:r>
      <w:r>
        <w:rPr>
          <w:rFonts w:hint="default" w:ascii="Times New Roman" w:hAnsi="Times New Roman" w:eastAsia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Onset time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time from onset to admission (days); T2DM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type 2 diabetes mellitus; CHD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coronary heart disease; COPD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,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chronic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obstructive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pulmonary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disease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; WBC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white blood cell count; </w:t>
      </w:r>
      <w:r>
        <w:rPr>
          <w:rFonts w:hint="eastAsia" w:ascii="Times New Roman" w:hAnsi="Times New Roman" w:cs="Times New Roman"/>
          <w:sz w:val="20"/>
          <w:szCs w:val="20"/>
        </w:rPr>
        <w:t>N/L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hint="eastAsia" w:ascii="Times New Roman" w:hAnsi="Times New Roman" w:cs="Times New Roman"/>
          <w:sz w:val="20"/>
          <w:szCs w:val="20"/>
        </w:rPr>
        <w:t xml:space="preserve"> ratio of neutrophils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hint="eastAsia" w:ascii="Times New Roman" w:hAnsi="Times New Roman" w:cs="Times New Roman"/>
          <w:sz w:val="20"/>
          <w:szCs w:val="20"/>
        </w:rPr>
        <w:t xml:space="preserve"> lymphocyte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hint="eastAsia"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ALT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alanine transaminase; AST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aspartate aminotransferase; ALB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serum albumin; sCr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serum creatinine; BUN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blood urea nitrogen; CRP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C-reactive protein</w:t>
      </w:r>
      <w:r>
        <w:rPr>
          <w:rFonts w:hint="eastAsia" w:ascii="Times New Roman" w:hAnsi="Times New Roman" w:cs="Times New Roman"/>
          <w:sz w:val="20"/>
          <w:szCs w:val="20"/>
        </w:rPr>
        <w:t xml:space="preserve">;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corticosteroid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(d)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hint="eastAsia" w:ascii="Times New Roman" w:hAnsi="Times New Roman" w:cs="Times New Roman"/>
          <w:sz w:val="20"/>
          <w:szCs w:val="20"/>
        </w:rPr>
        <w:t xml:space="preserve"> of methylprednisolone use</w:t>
      </w:r>
      <w:r>
        <w:rPr>
          <w:rFonts w:ascii="Times New Roman" w:hAnsi="Times New Roman" w:cs="Times New Roman"/>
          <w:sz w:val="20"/>
          <w:szCs w:val="20"/>
        </w:rPr>
        <w:t xml:space="preserve"> (days)</w:t>
      </w:r>
      <w:r>
        <w:rPr>
          <w:rFonts w:hint="eastAsia" w:ascii="Times New Roman" w:hAnsi="Times New Roman" w:cs="Times New Roman"/>
          <w:sz w:val="20"/>
          <w:szCs w:val="20"/>
        </w:rPr>
        <w:t xml:space="preserve">; Mean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corticosteroid,</w:t>
      </w:r>
      <w:r>
        <w:rPr>
          <w:rFonts w:hint="eastAsia" w:ascii="Times New Roman" w:hAnsi="Times New Roman" w:cs="Times New Roman"/>
          <w:sz w:val="20"/>
          <w:szCs w:val="20"/>
        </w:rPr>
        <w:t xml:space="preserve"> average daily dose of methylprednisolone</w:t>
      </w:r>
      <w:r>
        <w:rPr>
          <w:rFonts w:hint="eastAsia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APACHE II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Acute Physiology And Chronic Health Evaluation II.</w:t>
      </w: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napToGrid w:val="0"/>
        <w:spacing w:after="160" w:line="360" w:lineRule="auto"/>
        <w:jc w:val="left"/>
        <w:outlineLvl w:val="0"/>
        <w:rPr>
          <w:b/>
          <w:bCs/>
          <w:sz w:val="24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left"/>
        <w:outlineLvl w:val="0"/>
        <w:rPr>
          <w:rFonts w:hint="default" w:ascii="Times New Roman" w:hAnsi="Times New Roman" w:cs="Times New Roman"/>
          <w:b/>
          <w:bCs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</w:rPr>
        <w:t xml:space="preserve">Table </w:t>
      </w: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S3</w:t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32"/>
        </w:rPr>
        <w:t>B</w:t>
      </w:r>
      <w:r>
        <w:rPr>
          <w:rFonts w:hint="default" w:ascii="Times New Roman" w:hAnsi="Times New Roman" w:cs="Times New Roman"/>
          <w:b/>
          <w:bCs/>
          <w:sz w:val="24"/>
          <w:szCs w:val="32"/>
        </w:rPr>
        <w:t>aseline characteristics of critically ill patients with and without hypertension</w:t>
      </w:r>
    </w:p>
    <w:tbl>
      <w:tblPr>
        <w:tblStyle w:val="7"/>
        <w:tblW w:w="92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594"/>
        <w:gridCol w:w="1594"/>
        <w:gridCol w:w="644"/>
        <w:gridCol w:w="1594"/>
        <w:gridCol w:w="1595"/>
        <w:gridCol w:w="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Header/>
          <w:jc w:val="center"/>
        </w:trPr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auto"/>
              <w:outlineLvl w:val="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Before PSM</w:t>
            </w:r>
          </w:p>
        </w:tc>
        <w:tc>
          <w:tcPr>
            <w:tcW w:w="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auto"/>
              <w:outlineLvl w:val="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After PSM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  <w:jc w:val="center"/>
        </w:trPr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Non-hypertension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(n = 43)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Hypertension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(n = 62)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-value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Non-hypertension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(n = 31)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Hypertension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(n = 31)</w:t>
            </w: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Males (%)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91" w:hanging="291"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27 (62.79%)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38 (61.29%)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1.000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18 (58.06%)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20 (64.52%)</w:t>
            </w: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0.795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Age (years)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58.53 (13.51)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68.05 (13.30)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60.00 (12.98)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62.74 (14.49)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Onset time (day)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7.09 (4.01)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6.66 (3.68)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0.570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7.26 (4.33)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6.29 (3.80)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T2DM (%)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 (16.28%)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26 (41.94%)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0.006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 (22.58%)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10 (32.26%)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CHD (%)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4 (9.30%)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8 (12.90%)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0.757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 (9.68%)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 (6.45%)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1.000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COPD (%)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 (2.33%)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4 (6.45%)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0.646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N/A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WBC (10</w:t>
            </w: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9</w:t>
            </w: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5.26 (3.64–6.70)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6.06 (4.30–7.43)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5.66 (3.67–7.51)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6.15 (4.31–7.49)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N/L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5.97 (4.44–8.75)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6.18 (3.70–10.05)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0.820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5.81 (4.13–8.61)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7.16 (4.51–12.71)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ALT (U/L)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27.30 (16.70–38.70)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19.40 (14.05–29.48)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25.20 (15.50–34.20)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23.70 (14.20–36.90)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AST (U/L)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33.00 (27.10–58.60)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28.50 (22.00–42.15)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32.80 (27.10–45.60)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29.40 (21.00–44.70)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ALB (g/L)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36.60 (5.39)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35.93 (4.36)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0.481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35.74 (4.65)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36.45 (4.73)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sCr (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μ</w:t>
            </w:r>
            <w:r>
              <w:rPr>
                <w:rFonts w:ascii="Times" w:hAnsi="Times" w:cs="Times New Roman"/>
                <w:sz w:val="18"/>
                <w:szCs w:val="18"/>
              </w:rPr>
              <w:t>mol/L)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71.60 (59.90–77.60)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77.10 (57.53–111.50)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0.144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68.50 (57.90–76.00)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80.90 (58.00–114.30)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BUN (</w:t>
            </w:r>
            <w:r>
              <w:rPr>
                <w:rFonts w:ascii="Times" w:hAnsi="Times" w:cs="Times New Roman"/>
                <w:sz w:val="18"/>
                <w:szCs w:val="18"/>
              </w:rPr>
              <w:t>mmol/L)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5.20 (3.80–6.60)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5.85 (4.12–9.04)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5.49 (3.80–6.40)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5.80 (4.14–8.46)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CRP (</w:t>
            </w:r>
            <w:r>
              <w:rPr>
                <w:rFonts w:ascii="Times" w:hAnsi="Times" w:cs="Times New Roman"/>
                <w:sz w:val="18"/>
                <w:szCs w:val="18"/>
              </w:rPr>
              <w:t>mg/dL</w:t>
            </w: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6.10 (3.56–7.55)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6.10 (3.15–9.01)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0.338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6.10 (3.56–7.56)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6.10 (3.29–8.49)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D-dimer (</w:t>
            </w:r>
            <w:r>
              <w:rPr>
                <w:rFonts w:hint="eastAsia" w:ascii="Times" w:hAnsi="Times" w:cs="Times New Roman"/>
                <w:sz w:val="18"/>
                <w:szCs w:val="18"/>
              </w:rPr>
              <w:t>μ</w:t>
            </w:r>
            <w:r>
              <w:rPr>
                <w:rFonts w:ascii="Times" w:hAnsi="Times" w:cs="Times New Roman"/>
                <w:sz w:val="18"/>
                <w:szCs w:val="18"/>
              </w:rPr>
              <w:t>g/mL</w:t>
            </w: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3.38 (0.83–12.16)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3.31 (1.14–9.71)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0.767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2.21 (0.83–9.06)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4.28 (1.54–11.93)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val="en-US" w:bidi="ar"/>
              </w:rPr>
              <w:t>corticosteroid</w:t>
            </w: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 xml:space="preserve"> use (d)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11.00 (9.00–17.00)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7.00 (2.00–12.00)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10.00 (6.00–14.00)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10.00 (7.00–12.00)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 xml:space="preserve">Mean </w:t>
            </w: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val="en-US" w:bidi="ar"/>
              </w:rPr>
              <w:t>corticosteroid</w:t>
            </w: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 xml:space="preserve"> (mg/day)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48.89 (40.00–66.67)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40.00 (33.31–60.71)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0.042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47.27 (40.00–67.27)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40.00 (38.33–57.14)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APACHE II score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8 (6–11)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11 (9–14)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8 (6–12)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10 (8–13)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" w:hAnsi="Times" w:eastAsia="宋体" w:cs="Calibri"/>
                <w:color w:val="000000"/>
                <w:sz w:val="18"/>
                <w:szCs w:val="18"/>
              </w:rPr>
            </w:pPr>
            <w:r>
              <w:rPr>
                <w:rFonts w:ascii="Times" w:hAnsi="Times" w:eastAsia="宋体" w:cs="Calibri"/>
                <w:color w:val="000000"/>
                <w:kern w:val="0"/>
                <w:sz w:val="18"/>
                <w:szCs w:val="18"/>
                <w:lang w:bidi="ar"/>
              </w:rPr>
              <w:t>0.086</w:t>
            </w:r>
          </w:p>
        </w:tc>
      </w:tr>
    </w:tbl>
    <w:p>
      <w:pPr>
        <w:widowControl/>
        <w:snapToGrid w:val="0"/>
        <w:spacing w:after="160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rFonts w:ascii="Times New Roman" w:hAnsi="Times New Roman" w:cs="Times New Roman"/>
        </w:rPr>
      </w:pPr>
      <w:r>
        <w:rPr>
          <w:rFonts w:hint="default" w:ascii="Times New Roman" w:hAnsi="Times New Roman" w:eastAsia="Times New Roman"/>
          <w:sz w:val="24"/>
        </w:rPr>
        <w:t>Abbreviations:</w:t>
      </w:r>
      <w:r>
        <w:rPr>
          <w:rFonts w:hint="default" w:ascii="Times New Roman" w:hAnsi="Times New Roman" w:eastAsia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Onset time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time from onset to admission (days); T2DM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type 2 diabetes mellitus; CHD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coronary heart disease; COPD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chronic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obstructive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pulmonary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"D:/Program%20Files%20(x86)/Youdao/Dict/8.7.0.0/resultui/html/index.html" \l "/javascript:;"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disease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; WBC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white blood cell count; </w:t>
      </w:r>
      <w:r>
        <w:rPr>
          <w:rFonts w:hint="eastAsia" w:ascii="Times New Roman" w:hAnsi="Times New Roman" w:cs="Times New Roman"/>
          <w:sz w:val="20"/>
          <w:szCs w:val="20"/>
        </w:rPr>
        <w:t>N/L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hint="eastAsia" w:ascii="Times New Roman" w:hAnsi="Times New Roman" w:cs="Times New Roman"/>
          <w:sz w:val="20"/>
          <w:szCs w:val="20"/>
        </w:rPr>
        <w:t xml:space="preserve"> ratio of neutrophils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hint="eastAsia" w:ascii="Times New Roman" w:hAnsi="Times New Roman" w:cs="Times New Roman"/>
          <w:sz w:val="20"/>
          <w:szCs w:val="20"/>
        </w:rPr>
        <w:t xml:space="preserve"> lymphocyte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hint="eastAsia"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ALT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alanine transaminase; AST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aspartate aminotransferase; ALB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serum albumin; sCr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serum creatinine; BUN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blood urea nitrogen; CRP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C-reactive protein</w:t>
      </w:r>
      <w:r>
        <w:rPr>
          <w:rFonts w:hint="eastAsia" w:ascii="Times New Roman" w:hAnsi="Times New Roman" w:cs="Times New Roman"/>
          <w:sz w:val="20"/>
          <w:szCs w:val="20"/>
        </w:rPr>
        <w:t xml:space="preserve">;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corticosteroid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(d)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uration</w:t>
      </w:r>
      <w:r>
        <w:rPr>
          <w:rFonts w:hint="eastAsia" w:ascii="Times New Roman" w:hAnsi="Times New Roman" w:cs="Times New Roman"/>
          <w:sz w:val="20"/>
          <w:szCs w:val="20"/>
        </w:rPr>
        <w:t xml:space="preserve"> of methylprednisolone use</w:t>
      </w:r>
      <w:r>
        <w:rPr>
          <w:rFonts w:ascii="Times New Roman" w:hAnsi="Times New Roman" w:cs="Times New Roman"/>
          <w:sz w:val="20"/>
          <w:szCs w:val="20"/>
        </w:rPr>
        <w:t xml:space="preserve"> (days)</w:t>
      </w:r>
      <w:r>
        <w:rPr>
          <w:rFonts w:hint="eastAsia" w:ascii="Times New Roman" w:hAnsi="Times New Roman" w:cs="Times New Roman"/>
          <w:sz w:val="20"/>
          <w:szCs w:val="20"/>
        </w:rPr>
        <w:t xml:space="preserve">; Mean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corticosteroid,</w:t>
      </w:r>
      <w:r>
        <w:rPr>
          <w:rFonts w:hint="eastAsia" w:ascii="Times New Roman" w:hAnsi="Times New Roman" w:cs="Times New Roman"/>
          <w:sz w:val="20"/>
          <w:szCs w:val="20"/>
        </w:rPr>
        <w:t xml:space="preserve"> average daily dose of methylprednisolone</w:t>
      </w:r>
      <w:r>
        <w:rPr>
          <w:rFonts w:ascii="Times New Roman" w:hAnsi="Times New Roman" w:cs="Times New Roman"/>
        </w:rPr>
        <w:t>; APACHE II</w:t>
      </w:r>
      <w:r>
        <w:rPr>
          <w:rFonts w:hint="default"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Acute Physiology And Chronic Health Evaluation II.</w:t>
      </w:r>
    </w:p>
    <w:p>
      <w:pPr>
        <w:widowControl/>
        <w:snapToGrid w:val="0"/>
        <w:spacing w:after="160" w:line="360" w:lineRule="auto"/>
        <w:jc w:val="left"/>
        <w:outlineLvl w:val="0"/>
        <w:rPr>
          <w:rFonts w:ascii="Times New Roman" w:hAnsi="Times New Roman" w:cs="Times New Roman"/>
        </w:rPr>
      </w:pPr>
    </w:p>
    <w:p>
      <w:pPr>
        <w:widowControl/>
        <w:snapToGrid w:val="0"/>
        <w:spacing w:after="160" w:line="360" w:lineRule="auto"/>
        <w:jc w:val="left"/>
        <w:outlineLvl w:val="0"/>
        <w:rPr>
          <w:rFonts w:ascii="Times New Roman" w:hAnsi="Times New Roman" w:cs="Times New Roman"/>
        </w:rPr>
      </w:pPr>
      <w:bookmarkStart w:id="1" w:name="_GoBack"/>
      <w:bookmarkEnd w:id="1"/>
    </w:p>
    <w:bookmarkEnd w:id="0"/>
    <w:p>
      <w:pPr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de-DE"/>
      </w:rPr>
      <w:t>9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3727"/>
    <w:rsid w:val="00037D4A"/>
    <w:rsid w:val="000B4BD2"/>
    <w:rsid w:val="000E605C"/>
    <w:rsid w:val="000E7E6F"/>
    <w:rsid w:val="001011FB"/>
    <w:rsid w:val="00120174"/>
    <w:rsid w:val="0012725F"/>
    <w:rsid w:val="00141116"/>
    <w:rsid w:val="00163137"/>
    <w:rsid w:val="001637E7"/>
    <w:rsid w:val="001724EB"/>
    <w:rsid w:val="00173124"/>
    <w:rsid w:val="001817A6"/>
    <w:rsid w:val="001860B6"/>
    <w:rsid w:val="001913EB"/>
    <w:rsid w:val="00195C99"/>
    <w:rsid w:val="001E513B"/>
    <w:rsid w:val="002068C2"/>
    <w:rsid w:val="00214363"/>
    <w:rsid w:val="00235550"/>
    <w:rsid w:val="00261BC9"/>
    <w:rsid w:val="002752C4"/>
    <w:rsid w:val="002962C7"/>
    <w:rsid w:val="002B00BB"/>
    <w:rsid w:val="002B17D9"/>
    <w:rsid w:val="002B35E5"/>
    <w:rsid w:val="002F6D0A"/>
    <w:rsid w:val="00300A56"/>
    <w:rsid w:val="003302F9"/>
    <w:rsid w:val="00345A41"/>
    <w:rsid w:val="00363D15"/>
    <w:rsid w:val="00372EB6"/>
    <w:rsid w:val="003B10AF"/>
    <w:rsid w:val="003D591D"/>
    <w:rsid w:val="003E3018"/>
    <w:rsid w:val="003F6D99"/>
    <w:rsid w:val="003F72A8"/>
    <w:rsid w:val="00405E50"/>
    <w:rsid w:val="00427609"/>
    <w:rsid w:val="0043498A"/>
    <w:rsid w:val="004538BB"/>
    <w:rsid w:val="0045646B"/>
    <w:rsid w:val="00464D0E"/>
    <w:rsid w:val="004732CE"/>
    <w:rsid w:val="00477505"/>
    <w:rsid w:val="0048722A"/>
    <w:rsid w:val="00496E0F"/>
    <w:rsid w:val="0049786E"/>
    <w:rsid w:val="004B65A5"/>
    <w:rsid w:val="004D2B9E"/>
    <w:rsid w:val="004E18F5"/>
    <w:rsid w:val="004E202B"/>
    <w:rsid w:val="004E2604"/>
    <w:rsid w:val="004E3B36"/>
    <w:rsid w:val="005C785D"/>
    <w:rsid w:val="005E1044"/>
    <w:rsid w:val="005F1D10"/>
    <w:rsid w:val="006115A4"/>
    <w:rsid w:val="00616878"/>
    <w:rsid w:val="0063214E"/>
    <w:rsid w:val="006346A2"/>
    <w:rsid w:val="0066226E"/>
    <w:rsid w:val="00671938"/>
    <w:rsid w:val="0068188B"/>
    <w:rsid w:val="00682F81"/>
    <w:rsid w:val="00684195"/>
    <w:rsid w:val="006955DA"/>
    <w:rsid w:val="006A2FF1"/>
    <w:rsid w:val="006A55AA"/>
    <w:rsid w:val="006A642E"/>
    <w:rsid w:val="006B1444"/>
    <w:rsid w:val="006D6CF5"/>
    <w:rsid w:val="006E40B7"/>
    <w:rsid w:val="00704FD8"/>
    <w:rsid w:val="00711FB6"/>
    <w:rsid w:val="00723773"/>
    <w:rsid w:val="007C3876"/>
    <w:rsid w:val="007C6A60"/>
    <w:rsid w:val="007D31A2"/>
    <w:rsid w:val="00812788"/>
    <w:rsid w:val="0082319F"/>
    <w:rsid w:val="00843611"/>
    <w:rsid w:val="00843B45"/>
    <w:rsid w:val="00870894"/>
    <w:rsid w:val="0087747F"/>
    <w:rsid w:val="008C163F"/>
    <w:rsid w:val="009173C1"/>
    <w:rsid w:val="0092183A"/>
    <w:rsid w:val="0093125F"/>
    <w:rsid w:val="00953604"/>
    <w:rsid w:val="009742F0"/>
    <w:rsid w:val="009F2AF8"/>
    <w:rsid w:val="00A14C81"/>
    <w:rsid w:val="00A40AD1"/>
    <w:rsid w:val="00A9586E"/>
    <w:rsid w:val="00AB390C"/>
    <w:rsid w:val="00AF318A"/>
    <w:rsid w:val="00AF7417"/>
    <w:rsid w:val="00B11CD9"/>
    <w:rsid w:val="00B4131E"/>
    <w:rsid w:val="00B45D98"/>
    <w:rsid w:val="00B67B96"/>
    <w:rsid w:val="00B82E37"/>
    <w:rsid w:val="00B874F5"/>
    <w:rsid w:val="00BA0BCC"/>
    <w:rsid w:val="00BA3F14"/>
    <w:rsid w:val="00BB7B5C"/>
    <w:rsid w:val="00BC1227"/>
    <w:rsid w:val="00BE6225"/>
    <w:rsid w:val="00C035A2"/>
    <w:rsid w:val="00C36309"/>
    <w:rsid w:val="00C50976"/>
    <w:rsid w:val="00C52B45"/>
    <w:rsid w:val="00C754D6"/>
    <w:rsid w:val="00C8040D"/>
    <w:rsid w:val="00C826E8"/>
    <w:rsid w:val="00C85A8C"/>
    <w:rsid w:val="00CA118D"/>
    <w:rsid w:val="00CA321B"/>
    <w:rsid w:val="00D24CB3"/>
    <w:rsid w:val="00D6212B"/>
    <w:rsid w:val="00D76207"/>
    <w:rsid w:val="00D92F87"/>
    <w:rsid w:val="00DC6B6D"/>
    <w:rsid w:val="00DD7B8F"/>
    <w:rsid w:val="00DF39E1"/>
    <w:rsid w:val="00E163F4"/>
    <w:rsid w:val="00E221A9"/>
    <w:rsid w:val="00E727F6"/>
    <w:rsid w:val="00E76684"/>
    <w:rsid w:val="00EC0A9D"/>
    <w:rsid w:val="00ED294C"/>
    <w:rsid w:val="00F0752C"/>
    <w:rsid w:val="00F10BDB"/>
    <w:rsid w:val="00F178BC"/>
    <w:rsid w:val="00F41685"/>
    <w:rsid w:val="00F53D48"/>
    <w:rsid w:val="00F71877"/>
    <w:rsid w:val="00F744A3"/>
    <w:rsid w:val="00FB7AC9"/>
    <w:rsid w:val="00FC2F4A"/>
    <w:rsid w:val="00FE400C"/>
    <w:rsid w:val="016C37EA"/>
    <w:rsid w:val="0B4439F5"/>
    <w:rsid w:val="0B86444F"/>
    <w:rsid w:val="0FD3764E"/>
    <w:rsid w:val="124440E0"/>
    <w:rsid w:val="19290C72"/>
    <w:rsid w:val="1B3F5820"/>
    <w:rsid w:val="1FEC272D"/>
    <w:rsid w:val="212137F5"/>
    <w:rsid w:val="27AE0D68"/>
    <w:rsid w:val="2AF372E4"/>
    <w:rsid w:val="36B619CE"/>
    <w:rsid w:val="3A176F1C"/>
    <w:rsid w:val="408462DA"/>
    <w:rsid w:val="445F19D4"/>
    <w:rsid w:val="459626F7"/>
    <w:rsid w:val="4C0C645C"/>
    <w:rsid w:val="54DE5AF1"/>
    <w:rsid w:val="5553248F"/>
    <w:rsid w:val="5E245B53"/>
    <w:rsid w:val="60876714"/>
    <w:rsid w:val="68D02AFF"/>
    <w:rsid w:val="69C76F56"/>
    <w:rsid w:val="769D0492"/>
    <w:rsid w:val="7B0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rPr>
      <w:sz w:val="2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5"/>
    <w:qFormat/>
    <w:uiPriority w:val="0"/>
    <w:pPr>
      <w:tabs>
        <w:tab w:val="center" w:pos="4320"/>
        <w:tab w:val="right" w:pos="8640"/>
      </w:tabs>
    </w:pPr>
  </w:style>
  <w:style w:type="paragraph" w:styleId="6">
    <w:name w:val="annotation subject"/>
    <w:basedOn w:val="2"/>
    <w:next w:val="2"/>
    <w:link w:val="14"/>
    <w:qFormat/>
    <w:uiPriority w:val="0"/>
    <w:rPr>
      <w:b/>
      <w:bCs/>
      <w:sz w:val="20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18"/>
      <w:szCs w:val="18"/>
    </w:rPr>
  </w:style>
  <w:style w:type="paragraph" w:customStyle="1" w:styleId="11">
    <w:name w:val="EndNote Bibliography"/>
    <w:basedOn w:val="1"/>
    <w:qFormat/>
    <w:uiPriority w:val="0"/>
    <w:pPr>
      <w:widowControl/>
      <w:spacing w:after="200"/>
      <w:jc w:val="left"/>
    </w:pPr>
    <w:rPr>
      <w:rFonts w:ascii="Calibri" w:hAnsi="Calibri" w:eastAsia="宋体" w:cs="Times New Roman"/>
      <w:kern w:val="0"/>
      <w:sz w:val="20"/>
      <w:szCs w:val="22"/>
      <w:lang w:eastAsia="en-US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4"/>
    </w:rPr>
  </w:style>
  <w:style w:type="character" w:customStyle="1" w:styleId="15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Accdon</Company>
  <Pages>20</Pages>
  <Words>6412</Words>
  <Characters>36549</Characters>
  <Lines>304</Lines>
  <Paragraphs>85</Paragraphs>
  <TotalTime>8</TotalTime>
  <ScaleCrop>false</ScaleCrop>
  <LinksUpToDate>false</LinksUpToDate>
  <CharactersWithSpaces>42876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2020-04-01T17:02:00Z</dcterms:created>
  <dc:creator>lenovo</dc:creator>
  <cp:lastModifiedBy>王医生</cp:lastModifiedBy>
  <dcterms:modified xsi:type="dcterms:W3CDTF">2020-04-17T07:28:37Z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