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39D6" w:rsidRDefault="009621A9" w:rsidP="005A39D6">
      <w:pPr>
        <w:pStyle w:val="Heading3"/>
        <w:spacing w:before="0"/>
        <w:jc w:val="center"/>
      </w:pPr>
      <w:r>
        <w:softHyphen/>
      </w:r>
      <w:r>
        <w:softHyphen/>
      </w:r>
      <w:r w:rsidR="005A39D6">
        <w:t>Supplemental information for</w:t>
      </w:r>
    </w:p>
    <w:p w:rsidR="005A39D6" w:rsidRDefault="005A39D6" w:rsidP="005A39D6">
      <w:pPr>
        <w:rPr>
          <w:rFonts w:ascii="Arial" w:hAnsi="Arial"/>
          <w:b/>
          <w:sz w:val="48"/>
          <w:szCs w:val="48"/>
        </w:rPr>
      </w:pPr>
    </w:p>
    <w:p w:rsidR="00FA22B3" w:rsidRDefault="00FA22B3" w:rsidP="00FA22B3">
      <w:pPr>
        <w:rPr>
          <w:rFonts w:ascii="Arial" w:hAnsi="Arial"/>
          <w:b/>
          <w:sz w:val="48"/>
          <w:szCs w:val="48"/>
        </w:rPr>
      </w:pPr>
      <w:r w:rsidRPr="00D46BD6">
        <w:rPr>
          <w:rFonts w:ascii="Arial" w:hAnsi="Arial"/>
          <w:b/>
          <w:sz w:val="48"/>
          <w:szCs w:val="48"/>
        </w:rPr>
        <w:t xml:space="preserve">Cathepsin D </w:t>
      </w:r>
      <w:r>
        <w:rPr>
          <w:rFonts w:ascii="Arial" w:hAnsi="Arial"/>
          <w:b/>
          <w:sz w:val="48"/>
          <w:szCs w:val="48"/>
        </w:rPr>
        <w:t>regulates cerebral Aß42/40 ratios via differential degradation of Aß42 and Aß40</w:t>
      </w:r>
    </w:p>
    <w:p w:rsidR="005A39D6" w:rsidRPr="00CE15CC" w:rsidRDefault="005A39D6" w:rsidP="005A39D6">
      <w:pPr>
        <w:rPr>
          <w:rFonts w:ascii="Arial" w:hAnsi="Arial"/>
          <w:b/>
          <w:sz w:val="48"/>
        </w:rPr>
      </w:pPr>
    </w:p>
    <w:p w:rsidR="005A39D6" w:rsidRPr="00150A16" w:rsidRDefault="005A39D6" w:rsidP="005A39D6">
      <w:pPr>
        <w:spacing w:line="360" w:lineRule="auto"/>
        <w:rPr>
          <w:vertAlign w:val="superscript"/>
        </w:rPr>
      </w:pPr>
      <w:r>
        <w:t xml:space="preserve">Caitlin N. Suire, </w:t>
      </w:r>
      <w:r w:rsidRPr="001859F1">
        <w:t xml:space="preserve">Samer O. Abdul-Hay, Tomoko Sahara, Dongcheul Kang, </w:t>
      </w:r>
      <w:r>
        <w:t xml:space="preserve">Monica K. Brizuela, </w:t>
      </w:r>
      <w:r w:rsidRPr="001859F1">
        <w:t>Paul S</w:t>
      </w:r>
      <w:r w:rsidR="00FA22B3">
        <w:t>a</w:t>
      </w:r>
      <w:r w:rsidRPr="001859F1">
        <w:t>ftig, Dennis W. Dickson, Terrone L. Rosenberry</w:t>
      </w:r>
      <w:r w:rsidRPr="00150A16">
        <w:t xml:space="preserve"> </w:t>
      </w:r>
      <w:r w:rsidRPr="001859F1">
        <w:t xml:space="preserve">and </w:t>
      </w:r>
      <w:bookmarkStart w:id="0" w:name="_GoBack"/>
      <w:bookmarkEnd w:id="0"/>
      <w:r w:rsidRPr="001859F1">
        <w:t>Malcolm A. Leissring</w:t>
      </w:r>
    </w:p>
    <w:p w:rsidR="005A39D6" w:rsidRDefault="005A39D6" w:rsidP="005A39D6">
      <w:pPr>
        <w:rPr>
          <w:rFonts w:ascii="Arial" w:hAnsi="Arial"/>
          <w:b/>
          <w:sz w:val="32"/>
        </w:rPr>
      </w:pPr>
    </w:p>
    <w:p w:rsidR="005A39D6" w:rsidRDefault="005A39D6" w:rsidP="005A39D6">
      <w:pPr>
        <w:rPr>
          <w:rFonts w:ascii="Arial" w:hAnsi="Arial"/>
          <w:b/>
          <w:sz w:val="32"/>
        </w:rPr>
      </w:pPr>
    </w:p>
    <w:p w:rsidR="003F6FF4" w:rsidRDefault="003F6FF4" w:rsidP="005A39D6">
      <w:pPr>
        <w:rPr>
          <w:rFonts w:ascii="Arial" w:hAnsi="Arial"/>
          <w:b/>
          <w:sz w:val="32"/>
        </w:rPr>
      </w:pPr>
    </w:p>
    <w:p w:rsidR="005A39D6" w:rsidRPr="00BD65BE" w:rsidRDefault="005A39D6" w:rsidP="005A39D6">
      <w:pPr>
        <w:rPr>
          <w:rFonts w:ascii="Arial" w:hAnsi="Arial"/>
          <w:b/>
          <w:sz w:val="32"/>
        </w:rPr>
      </w:pPr>
      <w:r w:rsidRPr="00BD65BE">
        <w:rPr>
          <w:rFonts w:ascii="Arial" w:hAnsi="Arial"/>
          <w:b/>
          <w:sz w:val="32"/>
        </w:rPr>
        <w:t xml:space="preserve">Supplemental Information Inventory </w:t>
      </w:r>
    </w:p>
    <w:p w:rsidR="005A39D6" w:rsidRDefault="005A39D6" w:rsidP="005A39D6">
      <w:pPr>
        <w:rPr>
          <w:rFonts w:ascii="Arial" w:hAnsi="Arial"/>
          <w:b/>
        </w:rPr>
      </w:pPr>
    </w:p>
    <w:p w:rsidR="005A39D6" w:rsidRDefault="005A39D6" w:rsidP="003F6FF4">
      <w:pPr>
        <w:spacing w:after="180"/>
        <w:rPr>
          <w:rFonts w:ascii="Arial" w:hAnsi="Arial"/>
        </w:rPr>
      </w:pPr>
      <w:r>
        <w:rPr>
          <w:rFonts w:ascii="Arial" w:hAnsi="Arial"/>
          <w:b/>
        </w:rPr>
        <w:t>Table S1.</w:t>
      </w:r>
      <w:r w:rsidR="003F6FF4">
        <w:rPr>
          <w:rFonts w:ascii="Arial" w:hAnsi="Arial"/>
          <w:b/>
        </w:rPr>
        <w:t xml:space="preserve"> </w:t>
      </w:r>
      <w:r w:rsidRPr="009A7C07">
        <w:rPr>
          <w:rFonts w:ascii="Arial" w:hAnsi="Arial"/>
        </w:rPr>
        <w:t xml:space="preserve">Determination of </w:t>
      </w:r>
      <w:r>
        <w:rPr>
          <w:rFonts w:ascii="Arial" w:hAnsi="Arial"/>
        </w:rPr>
        <w:t xml:space="preserve">CatD-mediated </w:t>
      </w:r>
      <w:r w:rsidRPr="009A7C07">
        <w:rPr>
          <w:rFonts w:ascii="Arial" w:hAnsi="Arial"/>
        </w:rPr>
        <w:t>cleavage sites within Aß42 and Aß40 via mass spectrometry.</w:t>
      </w:r>
    </w:p>
    <w:p w:rsidR="005A39D6" w:rsidRDefault="005A39D6" w:rsidP="003F6FF4">
      <w:pPr>
        <w:spacing w:after="180"/>
        <w:rPr>
          <w:rFonts w:ascii="Arial" w:hAnsi="Arial"/>
          <w:b/>
        </w:rPr>
      </w:pPr>
      <w:r>
        <w:rPr>
          <w:rFonts w:ascii="Arial" w:hAnsi="Arial"/>
          <w:b/>
        </w:rPr>
        <w:t>Table S2.</w:t>
      </w:r>
      <w:r>
        <w:rPr>
          <w:rFonts w:ascii="Arial" w:hAnsi="Arial"/>
        </w:rPr>
        <w:t xml:space="preserve"> </w:t>
      </w:r>
      <w:r w:rsidRPr="009D249D">
        <w:rPr>
          <w:rFonts w:ascii="Arial" w:hAnsi="Arial"/>
        </w:rPr>
        <w:t xml:space="preserve">Kinetics of Aß42 vs Aß40 degradation </w:t>
      </w:r>
      <w:r w:rsidR="00450F58">
        <w:rPr>
          <w:rFonts w:ascii="Arial" w:hAnsi="Arial"/>
        </w:rPr>
        <w:t xml:space="preserve">at pH 4.0 </w:t>
      </w:r>
      <w:r w:rsidRPr="009D249D">
        <w:rPr>
          <w:rFonts w:ascii="Arial" w:hAnsi="Arial"/>
        </w:rPr>
        <w:t>quantified by several independent method</w:t>
      </w:r>
      <w:r>
        <w:rPr>
          <w:rFonts w:ascii="Arial" w:hAnsi="Arial"/>
        </w:rPr>
        <w:t>s</w:t>
      </w:r>
      <w:r w:rsidRPr="009D249D">
        <w:rPr>
          <w:rFonts w:ascii="Arial" w:hAnsi="Arial"/>
        </w:rPr>
        <w:t>.</w:t>
      </w:r>
      <w:r>
        <w:rPr>
          <w:rFonts w:ascii="Arial" w:hAnsi="Arial"/>
          <w:b/>
        </w:rPr>
        <w:t xml:space="preserve"> </w:t>
      </w:r>
    </w:p>
    <w:p w:rsidR="005A39D6" w:rsidRDefault="005A39D6" w:rsidP="003F6FF4">
      <w:pPr>
        <w:spacing w:after="180"/>
        <w:rPr>
          <w:rFonts w:ascii="Arial" w:hAnsi="Arial" w:cs="Arial"/>
        </w:rPr>
      </w:pPr>
      <w:r w:rsidRPr="00BD65BE">
        <w:rPr>
          <w:rFonts w:ascii="Arial" w:hAnsi="Arial"/>
          <w:b/>
        </w:rPr>
        <w:t xml:space="preserve">Figure S1. </w:t>
      </w:r>
      <w:r w:rsidRPr="000F79DF">
        <w:rPr>
          <w:rFonts w:ascii="Arial" w:hAnsi="Arial" w:cs="Arial"/>
        </w:rPr>
        <w:t>The mechanism by which CatD regulates Aß levels does not involve effects on APP, Aß production or known Aß-degrading proteases.</w:t>
      </w:r>
    </w:p>
    <w:p w:rsidR="005A39D6" w:rsidRDefault="005A39D6" w:rsidP="003F6FF4">
      <w:pPr>
        <w:spacing w:after="180"/>
        <w:rPr>
          <w:rFonts w:ascii="Arial" w:hAnsi="Arial" w:cs="Arial"/>
        </w:rPr>
      </w:pPr>
      <w:r w:rsidRPr="00BD65BE">
        <w:rPr>
          <w:rFonts w:ascii="Arial" w:hAnsi="Arial"/>
          <w:b/>
        </w:rPr>
        <w:t>Figure S</w:t>
      </w:r>
      <w:r>
        <w:rPr>
          <w:rFonts w:ascii="Arial" w:hAnsi="Arial"/>
          <w:b/>
        </w:rPr>
        <w:t>2</w:t>
      </w:r>
      <w:r w:rsidRPr="00BD65BE">
        <w:rPr>
          <w:rFonts w:ascii="Arial" w:hAnsi="Arial"/>
          <w:b/>
        </w:rPr>
        <w:t xml:space="preserve">. </w:t>
      </w:r>
      <w:r>
        <w:rPr>
          <w:rFonts w:ascii="Arial" w:hAnsi="Arial" w:cs="Arial"/>
        </w:rPr>
        <w:t>Soluble Aß42 and Aß40 levels in CatD-KO</w:t>
      </w:r>
      <w:r w:rsidR="002931A5">
        <w:rPr>
          <w:rFonts w:ascii="Arial" w:hAnsi="Arial" w:cs="Arial"/>
        </w:rPr>
        <w:t>, -HET and -WT</w:t>
      </w:r>
      <w:r>
        <w:rPr>
          <w:rFonts w:ascii="Arial" w:hAnsi="Arial" w:cs="Arial"/>
        </w:rPr>
        <w:t xml:space="preserve"> brains.</w:t>
      </w:r>
    </w:p>
    <w:p w:rsidR="003F6FF4" w:rsidRPr="003F6FF4" w:rsidRDefault="003F6FF4" w:rsidP="003F6FF4">
      <w:pPr>
        <w:spacing w:after="180"/>
        <w:rPr>
          <w:rFonts w:ascii="Arial" w:hAnsi="Arial"/>
        </w:rPr>
      </w:pPr>
      <w:r w:rsidRPr="00156C44">
        <w:rPr>
          <w:rFonts w:ascii="Arial" w:hAnsi="Arial" w:cs="Arial"/>
          <w:b/>
        </w:rPr>
        <w:t>Figure S</w:t>
      </w:r>
      <w:r>
        <w:rPr>
          <w:rFonts w:ascii="Arial" w:hAnsi="Arial" w:cs="Arial"/>
          <w:b/>
        </w:rPr>
        <w:t>3</w:t>
      </w:r>
      <w:r w:rsidRPr="00156C44">
        <w:rPr>
          <w:rFonts w:ascii="Arial" w:hAnsi="Arial" w:cs="Arial"/>
          <w:b/>
        </w:rPr>
        <w:t xml:space="preserve">. </w:t>
      </w:r>
      <w:r w:rsidRPr="003F6FF4">
        <w:rPr>
          <w:rFonts w:ascii="Arial" w:hAnsi="Arial"/>
        </w:rPr>
        <w:t>Cerebral Aß levels are unchanged in another mouse model featuring profound lysosomal dysfunction and premature lethality.</w:t>
      </w:r>
    </w:p>
    <w:p w:rsidR="005A39D6" w:rsidRPr="00F07B1F" w:rsidRDefault="005A39D6" w:rsidP="003F6FF4">
      <w:pPr>
        <w:spacing w:after="180"/>
        <w:rPr>
          <w:rFonts w:ascii="Arial" w:hAnsi="Arial"/>
        </w:rPr>
      </w:pPr>
      <w:r w:rsidRPr="00F07B1F">
        <w:rPr>
          <w:rFonts w:ascii="Arial" w:hAnsi="Arial"/>
          <w:b/>
        </w:rPr>
        <w:t>Figure S</w:t>
      </w:r>
      <w:r w:rsidR="003F6FF4">
        <w:rPr>
          <w:rFonts w:ascii="Arial" w:hAnsi="Arial"/>
          <w:b/>
        </w:rPr>
        <w:t>4</w:t>
      </w:r>
      <w:r w:rsidRPr="00F07B1F">
        <w:rPr>
          <w:rFonts w:ascii="Arial" w:hAnsi="Arial"/>
          <w:b/>
        </w:rPr>
        <w:t xml:space="preserve">. </w:t>
      </w:r>
      <w:r w:rsidRPr="00F07B1F">
        <w:rPr>
          <w:rFonts w:ascii="Arial" w:hAnsi="Arial"/>
        </w:rPr>
        <w:t>Immunohistochemical analysis of CatD-KO mice shows selective accumulation of Aß42 in lysosomes and other intracellular compartments by 3 weeks of age.</w:t>
      </w:r>
    </w:p>
    <w:p w:rsidR="005A39D6" w:rsidRDefault="005A39D6" w:rsidP="003F6FF4">
      <w:pPr>
        <w:spacing w:after="180"/>
        <w:rPr>
          <w:rFonts w:ascii="Arial" w:hAnsi="Arial" w:cs="Arial"/>
        </w:rPr>
      </w:pPr>
      <w:r w:rsidRPr="00156C44">
        <w:rPr>
          <w:rFonts w:ascii="Arial" w:hAnsi="Arial" w:cs="Arial"/>
          <w:b/>
        </w:rPr>
        <w:t xml:space="preserve">Figure </w:t>
      </w:r>
      <w:r>
        <w:rPr>
          <w:rFonts w:ascii="Arial" w:hAnsi="Arial" w:cs="Arial"/>
          <w:b/>
        </w:rPr>
        <w:t>S</w:t>
      </w:r>
      <w:r w:rsidR="003F6FF4">
        <w:rPr>
          <w:rFonts w:ascii="Arial" w:hAnsi="Arial" w:cs="Arial"/>
          <w:b/>
        </w:rPr>
        <w:t>5</w:t>
      </w:r>
      <w:r w:rsidRPr="00156C44">
        <w:rPr>
          <w:rFonts w:ascii="Arial" w:hAnsi="Arial" w:cs="Arial"/>
          <w:b/>
        </w:rPr>
        <w:t xml:space="preserve">. </w:t>
      </w:r>
      <w:r w:rsidRPr="00755018">
        <w:rPr>
          <w:rFonts w:ascii="Arial" w:hAnsi="Arial" w:cs="Arial"/>
        </w:rPr>
        <w:t xml:space="preserve">Studies in </w:t>
      </w:r>
      <w:r>
        <w:rPr>
          <w:rFonts w:ascii="Arial" w:hAnsi="Arial" w:cs="Arial"/>
        </w:rPr>
        <w:t xml:space="preserve">primary embryonic </w:t>
      </w:r>
      <w:r w:rsidRPr="00755018">
        <w:rPr>
          <w:rFonts w:ascii="Arial" w:hAnsi="Arial" w:cs="Arial"/>
        </w:rPr>
        <w:t>cu</w:t>
      </w:r>
      <w:r>
        <w:rPr>
          <w:rFonts w:ascii="Arial" w:hAnsi="Arial" w:cs="Arial"/>
        </w:rPr>
        <w:t>ltured neurons.</w:t>
      </w:r>
    </w:p>
    <w:p w:rsidR="005A39D6" w:rsidRDefault="005A39D6" w:rsidP="003F6FF4">
      <w:pPr>
        <w:spacing w:after="180"/>
        <w:rPr>
          <w:rFonts w:ascii="Arial" w:hAnsi="Arial" w:cs="Arial"/>
        </w:rPr>
      </w:pPr>
      <w:r w:rsidRPr="00BD65BE">
        <w:rPr>
          <w:rFonts w:ascii="Arial" w:hAnsi="Arial"/>
          <w:b/>
        </w:rPr>
        <w:t>Figure S</w:t>
      </w:r>
      <w:r w:rsidR="003F6FF4">
        <w:rPr>
          <w:rFonts w:ascii="Arial" w:hAnsi="Arial"/>
          <w:b/>
        </w:rPr>
        <w:t>6</w:t>
      </w:r>
      <w:r>
        <w:rPr>
          <w:rFonts w:ascii="Arial" w:hAnsi="Arial"/>
          <w:b/>
        </w:rPr>
        <w:t>.</w:t>
      </w:r>
      <w:r w:rsidRPr="00BD65BE">
        <w:rPr>
          <w:rFonts w:ascii="Arial" w:hAnsi="Arial"/>
          <w:b/>
        </w:rPr>
        <w:t xml:space="preserve"> </w:t>
      </w:r>
      <w:r>
        <w:rPr>
          <w:rFonts w:ascii="Arial" w:hAnsi="Arial" w:cs="Arial"/>
        </w:rPr>
        <w:t>Mass spectra of Aß42 degradation by CatD</w:t>
      </w:r>
      <w:r w:rsidRPr="000F79DF">
        <w:rPr>
          <w:rFonts w:ascii="Arial" w:hAnsi="Arial" w:cs="Arial"/>
        </w:rPr>
        <w:t>.</w:t>
      </w:r>
    </w:p>
    <w:p w:rsidR="005A39D6" w:rsidRDefault="005A39D6" w:rsidP="003F6FF4">
      <w:pPr>
        <w:spacing w:after="180"/>
        <w:rPr>
          <w:rFonts w:ascii="Arial" w:hAnsi="Arial" w:cs="Arial"/>
        </w:rPr>
      </w:pPr>
      <w:r w:rsidRPr="00BD65BE">
        <w:rPr>
          <w:rFonts w:ascii="Arial" w:hAnsi="Arial"/>
          <w:b/>
        </w:rPr>
        <w:t>Figure S</w:t>
      </w:r>
      <w:r w:rsidR="003F6FF4">
        <w:rPr>
          <w:rFonts w:ascii="Arial" w:hAnsi="Arial"/>
          <w:b/>
        </w:rPr>
        <w:t>7</w:t>
      </w:r>
      <w:r>
        <w:rPr>
          <w:rFonts w:ascii="Arial" w:hAnsi="Arial"/>
          <w:b/>
        </w:rPr>
        <w:t>.</w:t>
      </w:r>
      <w:r w:rsidRPr="00BD65BE">
        <w:rPr>
          <w:rFonts w:ascii="Arial" w:hAnsi="Arial"/>
          <w:b/>
        </w:rPr>
        <w:t xml:space="preserve"> </w:t>
      </w:r>
      <w:r>
        <w:rPr>
          <w:rFonts w:ascii="Arial" w:hAnsi="Arial" w:cs="Arial"/>
        </w:rPr>
        <w:t>Mass spectra of Aß40 degradation by CatD</w:t>
      </w:r>
      <w:r w:rsidRPr="000F79DF">
        <w:rPr>
          <w:rFonts w:ascii="Arial" w:hAnsi="Arial" w:cs="Arial"/>
        </w:rPr>
        <w:t>.</w:t>
      </w:r>
    </w:p>
    <w:p w:rsidR="005A39D6" w:rsidRDefault="005A39D6" w:rsidP="003F6FF4">
      <w:pPr>
        <w:spacing w:after="180"/>
        <w:rPr>
          <w:rFonts w:ascii="Arial" w:hAnsi="Arial" w:cs="Arial"/>
        </w:rPr>
      </w:pPr>
      <w:r w:rsidRPr="00BD65BE">
        <w:rPr>
          <w:rFonts w:ascii="Arial" w:hAnsi="Arial"/>
          <w:b/>
        </w:rPr>
        <w:t>Figure S</w:t>
      </w:r>
      <w:r w:rsidR="003F6FF4">
        <w:rPr>
          <w:rFonts w:ascii="Arial" w:hAnsi="Arial"/>
          <w:b/>
        </w:rPr>
        <w:t>8</w:t>
      </w:r>
      <w:r w:rsidRPr="00BD65BE">
        <w:rPr>
          <w:rFonts w:ascii="Arial" w:hAnsi="Arial"/>
          <w:b/>
        </w:rPr>
        <w:t xml:space="preserve">. </w:t>
      </w:r>
      <w:r>
        <w:rPr>
          <w:rFonts w:ascii="Arial" w:hAnsi="Arial" w:cs="Arial"/>
        </w:rPr>
        <w:t>Activity of CatD against aggregated Aß species.</w:t>
      </w:r>
    </w:p>
    <w:p w:rsidR="005A39D6" w:rsidRDefault="005A39D6" w:rsidP="003F6FF4">
      <w:pPr>
        <w:spacing w:after="180"/>
        <w:rPr>
          <w:rFonts w:ascii="Arial" w:hAnsi="Arial"/>
          <w:b/>
        </w:rPr>
      </w:pPr>
      <w:r w:rsidRPr="006679C1">
        <w:rPr>
          <w:rFonts w:ascii="Arial" w:hAnsi="Arial" w:cs="Arial"/>
          <w:b/>
        </w:rPr>
        <w:t>Figure S</w:t>
      </w:r>
      <w:r w:rsidR="003F6FF4">
        <w:rPr>
          <w:rFonts w:ascii="Arial" w:hAnsi="Arial" w:cs="Arial"/>
          <w:b/>
        </w:rPr>
        <w:t>9</w:t>
      </w:r>
      <w:r w:rsidRPr="006679C1">
        <w:rPr>
          <w:rFonts w:ascii="Arial" w:hAnsi="Arial" w:cs="Arial"/>
          <w:b/>
        </w:rPr>
        <w:t xml:space="preserve">. </w:t>
      </w:r>
      <w:r w:rsidRPr="006679C1">
        <w:rPr>
          <w:rFonts w:ascii="Arial" w:hAnsi="Arial" w:cs="Arial"/>
        </w:rPr>
        <w:t xml:space="preserve">Evidence for a statistically significant genetic association between a functional polymorphism in </w:t>
      </w:r>
      <w:r w:rsidRPr="006679C1">
        <w:rPr>
          <w:rFonts w:ascii="Arial" w:hAnsi="Arial" w:cs="Arial"/>
          <w:i/>
        </w:rPr>
        <w:t>C</w:t>
      </w:r>
      <w:r>
        <w:rPr>
          <w:rFonts w:ascii="Arial" w:hAnsi="Arial" w:cs="Arial"/>
          <w:i/>
        </w:rPr>
        <w:t>TSD</w:t>
      </w:r>
      <w:r w:rsidRPr="006679C1">
        <w:rPr>
          <w:rFonts w:ascii="Arial" w:hAnsi="Arial" w:cs="Arial"/>
        </w:rPr>
        <w:t xml:space="preserve"> and risk for late-onset AD (LOAD).</w:t>
      </w:r>
      <w:r>
        <w:rPr>
          <w:rFonts w:ascii="Arial" w:hAnsi="Arial"/>
          <w:b/>
          <w:sz w:val="32"/>
        </w:rPr>
        <w:br w:type="page"/>
      </w:r>
      <w:r>
        <w:rPr>
          <w:rFonts w:ascii="Arial" w:hAnsi="Arial"/>
          <w:b/>
        </w:rPr>
        <w:lastRenderedPageBreak/>
        <w:t xml:space="preserve">Table S1.   </w:t>
      </w:r>
      <w:r w:rsidRPr="009A7C07">
        <w:rPr>
          <w:rFonts w:ascii="Arial" w:hAnsi="Arial"/>
        </w:rPr>
        <w:t xml:space="preserve">Determination of </w:t>
      </w:r>
      <w:r>
        <w:rPr>
          <w:rFonts w:ascii="Arial" w:hAnsi="Arial"/>
        </w:rPr>
        <w:t xml:space="preserve">CatD-mediated </w:t>
      </w:r>
      <w:r w:rsidRPr="009A7C07">
        <w:rPr>
          <w:rFonts w:ascii="Arial" w:hAnsi="Arial"/>
        </w:rPr>
        <w:t>cleavage sites within Aß42 and Aß40 via mass spectrometry.</w:t>
      </w:r>
    </w:p>
    <w:p w:rsidR="005A39D6" w:rsidRDefault="005A39D6" w:rsidP="005A39D6">
      <w:pPr>
        <w:jc w:val="center"/>
        <w:rPr>
          <w:rFonts w:ascii="Arial" w:hAnsi="Arial"/>
          <w:b/>
          <w:sz w:val="22"/>
        </w:rPr>
      </w:pPr>
      <w:r>
        <w:rPr>
          <w:rFonts w:ascii="Arial" w:hAnsi="Arial"/>
          <w:b/>
          <w:noProof/>
        </w:rPr>
        <w:drawing>
          <wp:inline distT="0" distB="0" distL="0" distR="0" wp14:anchorId="0ECC85FE" wp14:editId="573D0D08">
            <wp:extent cx="7676515" cy="3626383"/>
            <wp:effectExtent l="6033" t="0" r="317" b="318"/>
            <wp:docPr id="2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7"/>
                    <a:stretch>
                      <a:fillRect/>
                    </a:stretch>
                  </pic:blipFill>
                  <pic:spPr bwMode="auto">
                    <a:xfrm rot="5400000">
                      <a:off x="0" y="0"/>
                      <a:ext cx="7676515" cy="3626383"/>
                    </a:xfrm>
                    <a:prstGeom prst="rect">
                      <a:avLst/>
                    </a:prstGeom>
                    <a:noFill/>
                    <a:ln>
                      <a:noFill/>
                    </a:ln>
                  </pic:spPr>
                </pic:pic>
              </a:graphicData>
            </a:graphic>
          </wp:inline>
        </w:drawing>
      </w:r>
      <w:r>
        <w:rPr>
          <w:rFonts w:ascii="Arial" w:hAnsi="Arial"/>
          <w:b/>
          <w:sz w:val="22"/>
        </w:rPr>
        <w:br w:type="page"/>
      </w:r>
    </w:p>
    <w:p w:rsidR="005A39D6" w:rsidRPr="00BA52FF" w:rsidRDefault="005A39D6" w:rsidP="005A39D6">
      <w:pPr>
        <w:rPr>
          <w:rFonts w:ascii="Arial" w:hAnsi="Arial"/>
          <w:b/>
        </w:rPr>
      </w:pPr>
      <w:r w:rsidRPr="009D249D">
        <w:rPr>
          <w:rFonts w:ascii="Arial" w:hAnsi="Arial"/>
          <w:b/>
        </w:rPr>
        <w:lastRenderedPageBreak/>
        <w:t>Table S</w:t>
      </w:r>
      <w:r>
        <w:rPr>
          <w:rFonts w:ascii="Arial" w:hAnsi="Arial"/>
          <w:b/>
        </w:rPr>
        <w:t xml:space="preserve">2.  </w:t>
      </w:r>
      <w:r w:rsidRPr="00BA52FF">
        <w:rPr>
          <w:rFonts w:ascii="Arial" w:hAnsi="Arial"/>
          <w:b/>
        </w:rPr>
        <w:t xml:space="preserve">Kinetics of Aß42 vs. Aß40 degradation by CatD at pH 4.0 quantified by several independent methods. </w:t>
      </w:r>
    </w:p>
    <w:p w:rsidR="005A39D6" w:rsidRPr="000A6731" w:rsidRDefault="005A39D6" w:rsidP="005A39D6">
      <w:pPr>
        <w:rPr>
          <w:rFonts w:ascii="Arial" w:hAnsi="Arial"/>
          <w:b/>
        </w:rPr>
      </w:pPr>
    </w:p>
    <w:p w:rsidR="005A39D6" w:rsidRDefault="005A39D6" w:rsidP="005A39D6">
      <w:pPr>
        <w:rPr>
          <w:rFonts w:ascii="Arial" w:hAnsi="Arial"/>
          <w:b/>
          <w:sz w:val="22"/>
        </w:rPr>
      </w:pPr>
    </w:p>
    <w:p w:rsidR="005A39D6" w:rsidRDefault="005A39D6" w:rsidP="005A39D6"/>
    <w:p w:rsidR="005A39D6" w:rsidRDefault="005A39D6" w:rsidP="005A39D6"/>
    <w:tbl>
      <w:tblPr>
        <w:tblpPr w:leftFromText="180" w:rightFromText="180" w:vertAnchor="page" w:horzAnchor="margin" w:tblpY="29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1800"/>
        <w:gridCol w:w="1890"/>
        <w:gridCol w:w="1620"/>
        <w:gridCol w:w="1710"/>
      </w:tblGrid>
      <w:tr w:rsidR="005A39D6" w:rsidRPr="00D879C0" w:rsidTr="00C73C94">
        <w:tc>
          <w:tcPr>
            <w:tcW w:w="2178" w:type="dxa"/>
            <w:vAlign w:val="bottom"/>
          </w:tcPr>
          <w:p w:rsidR="005A39D6" w:rsidRPr="00D879C0" w:rsidRDefault="005A39D6" w:rsidP="00C73C94">
            <w:pPr>
              <w:rPr>
                <w:rFonts w:ascii="Arial" w:hAnsi="Arial" w:cs="Arial"/>
                <w:b/>
              </w:rPr>
            </w:pPr>
            <w:r w:rsidRPr="00D879C0">
              <w:rPr>
                <w:rFonts w:ascii="Arial" w:hAnsi="Arial" w:cs="Arial"/>
                <w:b/>
              </w:rPr>
              <w:t>Aß42 catabolism</w:t>
            </w:r>
          </w:p>
        </w:tc>
        <w:tc>
          <w:tcPr>
            <w:tcW w:w="1800" w:type="dxa"/>
            <w:vAlign w:val="bottom"/>
          </w:tcPr>
          <w:p w:rsidR="005A39D6" w:rsidRPr="00D879C0" w:rsidRDefault="005A39D6" w:rsidP="00C73C94">
            <w:pPr>
              <w:jc w:val="center"/>
              <w:rPr>
                <w:rFonts w:ascii="Arial" w:hAnsi="Arial" w:cs="Arial"/>
                <w:b/>
              </w:rPr>
            </w:pPr>
            <w:r w:rsidRPr="00D879C0">
              <w:rPr>
                <w:rFonts w:ascii="Arial" w:hAnsi="Arial" w:cs="Arial"/>
                <w:b/>
              </w:rPr>
              <w:t>ELISA</w:t>
            </w:r>
          </w:p>
        </w:tc>
        <w:tc>
          <w:tcPr>
            <w:tcW w:w="1890" w:type="dxa"/>
            <w:vAlign w:val="bottom"/>
          </w:tcPr>
          <w:p w:rsidR="005A39D6" w:rsidRPr="00D879C0" w:rsidRDefault="005A39D6" w:rsidP="00C73C94">
            <w:pPr>
              <w:jc w:val="center"/>
              <w:rPr>
                <w:rFonts w:ascii="Arial" w:hAnsi="Arial" w:cs="Arial"/>
                <w:b/>
              </w:rPr>
            </w:pPr>
            <w:r w:rsidRPr="00D879C0">
              <w:rPr>
                <w:rFonts w:ascii="Arial" w:hAnsi="Arial" w:cs="Arial"/>
                <w:b/>
                <w:vertAlign w:val="superscript"/>
              </w:rPr>
              <w:t>125</w:t>
            </w:r>
            <w:r w:rsidRPr="00D879C0">
              <w:rPr>
                <w:rFonts w:ascii="Arial" w:hAnsi="Arial" w:cs="Arial"/>
                <w:b/>
              </w:rPr>
              <w:t>I-Aß42</w:t>
            </w:r>
          </w:p>
        </w:tc>
        <w:tc>
          <w:tcPr>
            <w:tcW w:w="1620" w:type="dxa"/>
            <w:vAlign w:val="bottom"/>
          </w:tcPr>
          <w:p w:rsidR="005A39D6" w:rsidRPr="00D879C0" w:rsidRDefault="005A39D6" w:rsidP="00C73C94">
            <w:pPr>
              <w:jc w:val="center"/>
              <w:rPr>
                <w:rFonts w:ascii="Arial" w:hAnsi="Arial" w:cs="Arial"/>
                <w:b/>
              </w:rPr>
            </w:pPr>
            <w:r w:rsidRPr="00D879C0">
              <w:rPr>
                <w:rFonts w:ascii="Arial" w:hAnsi="Arial" w:cs="Arial"/>
                <w:b/>
              </w:rPr>
              <w:t>silent substrate</w:t>
            </w:r>
          </w:p>
        </w:tc>
        <w:tc>
          <w:tcPr>
            <w:tcW w:w="1710" w:type="dxa"/>
          </w:tcPr>
          <w:p w:rsidR="005A39D6" w:rsidRPr="00D879C0" w:rsidRDefault="005A39D6" w:rsidP="00C73C94">
            <w:pPr>
              <w:jc w:val="center"/>
              <w:rPr>
                <w:rFonts w:ascii="Arial" w:hAnsi="Arial" w:cs="Arial"/>
                <w:b/>
              </w:rPr>
            </w:pPr>
          </w:p>
          <w:p w:rsidR="005A39D6" w:rsidRPr="00D879C0" w:rsidRDefault="005A39D6" w:rsidP="00C73C94">
            <w:pPr>
              <w:jc w:val="center"/>
              <w:rPr>
                <w:rFonts w:ascii="Arial" w:hAnsi="Arial" w:cs="Arial"/>
                <w:b/>
              </w:rPr>
            </w:pPr>
            <w:r w:rsidRPr="00D879C0">
              <w:rPr>
                <w:rFonts w:ascii="Arial" w:hAnsi="Arial" w:cs="Arial"/>
                <w:b/>
              </w:rPr>
              <w:t>HTRF</w:t>
            </w:r>
          </w:p>
        </w:tc>
      </w:tr>
      <w:tr w:rsidR="005A39D6" w:rsidRPr="00D879C0" w:rsidTr="00C73C94">
        <w:tc>
          <w:tcPr>
            <w:tcW w:w="2178" w:type="dxa"/>
          </w:tcPr>
          <w:p w:rsidR="005A39D6" w:rsidRPr="00D879C0" w:rsidRDefault="005A39D6" w:rsidP="00C73C94">
            <w:pPr>
              <w:spacing w:before="120" w:after="120"/>
              <w:rPr>
                <w:rFonts w:ascii="Arial" w:hAnsi="Arial" w:cs="Arial"/>
                <w:b/>
              </w:rPr>
            </w:pPr>
            <w:r w:rsidRPr="00D879C0">
              <w:rPr>
                <w:rFonts w:ascii="Arial" w:hAnsi="Arial" w:cs="Arial"/>
                <w:b/>
              </w:rPr>
              <w:t>K</w:t>
            </w:r>
            <w:r w:rsidRPr="00D879C0">
              <w:rPr>
                <w:rFonts w:ascii="Arial" w:hAnsi="Arial" w:cs="Arial"/>
                <w:b/>
                <w:vertAlign w:val="subscript"/>
              </w:rPr>
              <w:t>M</w:t>
            </w:r>
            <w:r w:rsidRPr="00D879C0">
              <w:rPr>
                <w:rFonts w:ascii="Arial" w:hAnsi="Arial" w:cs="Arial"/>
                <w:b/>
              </w:rPr>
              <w:t xml:space="preserve"> (n</w:t>
            </w:r>
            <w:r w:rsidRPr="00E97D78">
              <w:rPr>
                <w:rFonts w:ascii="Arial" w:hAnsi="Arial" w:cs="Arial"/>
                <w:b/>
              </w:rPr>
              <w:t>M</w:t>
            </w:r>
            <w:r w:rsidRPr="00D879C0">
              <w:rPr>
                <w:rFonts w:ascii="Arial" w:hAnsi="Arial" w:cs="Arial"/>
                <w:b/>
              </w:rPr>
              <w:t>)</w:t>
            </w:r>
          </w:p>
        </w:tc>
        <w:tc>
          <w:tcPr>
            <w:tcW w:w="1800" w:type="dxa"/>
          </w:tcPr>
          <w:p w:rsidR="005A39D6" w:rsidRPr="00D879C0" w:rsidRDefault="005A39D6" w:rsidP="00C73C94">
            <w:pPr>
              <w:spacing w:before="120" w:after="120"/>
              <w:jc w:val="center"/>
              <w:rPr>
                <w:rFonts w:ascii="Arial" w:hAnsi="Arial" w:cs="Arial"/>
              </w:rPr>
            </w:pPr>
            <w:r w:rsidRPr="00D879C0">
              <w:rPr>
                <w:rFonts w:ascii="Arial" w:hAnsi="Arial" w:cs="Arial"/>
              </w:rPr>
              <w:t>27.7 ± 6.0</w:t>
            </w:r>
          </w:p>
        </w:tc>
        <w:tc>
          <w:tcPr>
            <w:tcW w:w="1890" w:type="dxa"/>
          </w:tcPr>
          <w:p w:rsidR="005A39D6" w:rsidRPr="00D879C0" w:rsidRDefault="005A39D6" w:rsidP="00C73C94">
            <w:pPr>
              <w:spacing w:before="120" w:after="120"/>
              <w:jc w:val="center"/>
              <w:rPr>
                <w:rFonts w:ascii="Arial" w:hAnsi="Arial" w:cs="Arial"/>
              </w:rPr>
            </w:pPr>
            <w:r w:rsidRPr="00D879C0">
              <w:rPr>
                <w:rFonts w:ascii="Arial" w:hAnsi="Arial" w:cs="Arial"/>
              </w:rPr>
              <w:t>7.34 ± 1.64</w:t>
            </w:r>
          </w:p>
        </w:tc>
        <w:tc>
          <w:tcPr>
            <w:tcW w:w="1620" w:type="dxa"/>
          </w:tcPr>
          <w:p w:rsidR="005A39D6" w:rsidRPr="00D879C0" w:rsidRDefault="005A39D6" w:rsidP="00C73C94">
            <w:pPr>
              <w:spacing w:before="120" w:after="120"/>
              <w:jc w:val="center"/>
              <w:rPr>
                <w:rFonts w:ascii="Arial" w:hAnsi="Arial" w:cs="Arial"/>
              </w:rPr>
            </w:pPr>
            <w:r w:rsidRPr="00D879C0">
              <w:rPr>
                <w:rFonts w:ascii="Arial" w:hAnsi="Arial" w:cs="Arial"/>
              </w:rPr>
              <w:t>3.17 ± 0.62</w:t>
            </w:r>
          </w:p>
        </w:tc>
        <w:tc>
          <w:tcPr>
            <w:tcW w:w="1710" w:type="dxa"/>
          </w:tcPr>
          <w:p w:rsidR="005A39D6" w:rsidRPr="00D879C0" w:rsidRDefault="005A39D6" w:rsidP="00C73C94">
            <w:pPr>
              <w:spacing w:before="120" w:after="120"/>
              <w:jc w:val="center"/>
              <w:rPr>
                <w:rFonts w:ascii="Arial" w:hAnsi="Arial" w:cs="Arial"/>
              </w:rPr>
            </w:pPr>
            <w:r w:rsidRPr="00D879C0">
              <w:rPr>
                <w:rFonts w:ascii="Arial" w:hAnsi="Arial" w:cs="Arial"/>
              </w:rPr>
              <w:t>24.1 ± 4.6</w:t>
            </w:r>
          </w:p>
        </w:tc>
      </w:tr>
      <w:tr w:rsidR="005A39D6" w:rsidRPr="00D879C0" w:rsidTr="00C73C94">
        <w:tc>
          <w:tcPr>
            <w:tcW w:w="2178" w:type="dxa"/>
          </w:tcPr>
          <w:p w:rsidR="005A39D6" w:rsidRPr="00D879C0" w:rsidRDefault="005A39D6" w:rsidP="00C73C94">
            <w:pPr>
              <w:spacing w:before="120" w:after="120"/>
              <w:rPr>
                <w:rFonts w:ascii="Arial" w:hAnsi="Arial" w:cs="Arial"/>
                <w:b/>
              </w:rPr>
            </w:pPr>
            <w:r w:rsidRPr="00D879C0">
              <w:rPr>
                <w:rFonts w:ascii="Arial" w:hAnsi="Arial" w:cs="Arial"/>
                <w:b/>
                <w:i/>
              </w:rPr>
              <w:t>k</w:t>
            </w:r>
            <w:r w:rsidRPr="00D879C0">
              <w:rPr>
                <w:rFonts w:ascii="Arial" w:hAnsi="Arial" w:cs="Arial"/>
                <w:b/>
                <w:vertAlign w:val="subscript"/>
              </w:rPr>
              <w:t>cat</w:t>
            </w:r>
            <w:r w:rsidRPr="00D879C0">
              <w:rPr>
                <w:rFonts w:ascii="Arial" w:hAnsi="Arial" w:cs="Arial"/>
                <w:b/>
              </w:rPr>
              <w:t xml:space="preserve"> (min</w:t>
            </w:r>
            <w:r w:rsidRPr="00D879C0">
              <w:rPr>
                <w:rFonts w:ascii="Arial" w:hAnsi="Arial" w:cs="Arial"/>
                <w:b/>
                <w:vertAlign w:val="superscript"/>
              </w:rPr>
              <w:t>-1</w:t>
            </w:r>
            <w:r w:rsidRPr="00D879C0">
              <w:rPr>
                <w:rFonts w:ascii="Arial" w:hAnsi="Arial" w:cs="Arial"/>
                <w:b/>
              </w:rPr>
              <w:t>)</w:t>
            </w:r>
          </w:p>
        </w:tc>
        <w:tc>
          <w:tcPr>
            <w:tcW w:w="1800" w:type="dxa"/>
          </w:tcPr>
          <w:p w:rsidR="005A39D6" w:rsidRPr="00D879C0" w:rsidRDefault="005A39D6" w:rsidP="00C73C94">
            <w:pPr>
              <w:spacing w:before="120" w:after="120"/>
              <w:jc w:val="center"/>
              <w:rPr>
                <w:rFonts w:ascii="Arial" w:hAnsi="Arial" w:cs="Arial"/>
              </w:rPr>
            </w:pPr>
            <w:r w:rsidRPr="00D879C0">
              <w:rPr>
                <w:rFonts w:ascii="Arial" w:hAnsi="Arial" w:cs="Arial"/>
              </w:rPr>
              <w:t>0.219 ± 0.011</w:t>
            </w:r>
          </w:p>
        </w:tc>
        <w:tc>
          <w:tcPr>
            <w:tcW w:w="1890" w:type="dxa"/>
          </w:tcPr>
          <w:p w:rsidR="005A39D6" w:rsidRPr="00D879C0" w:rsidRDefault="005A39D6" w:rsidP="00C73C94">
            <w:pPr>
              <w:spacing w:before="120" w:after="120"/>
              <w:jc w:val="center"/>
              <w:rPr>
                <w:rFonts w:ascii="Arial" w:hAnsi="Arial" w:cs="Arial"/>
              </w:rPr>
            </w:pPr>
            <w:r w:rsidRPr="00D879C0">
              <w:rPr>
                <w:rFonts w:ascii="Arial" w:hAnsi="Arial" w:cs="Arial"/>
              </w:rPr>
              <w:t>0.401 ± 0.087</w:t>
            </w:r>
          </w:p>
        </w:tc>
        <w:tc>
          <w:tcPr>
            <w:tcW w:w="1620" w:type="dxa"/>
          </w:tcPr>
          <w:p w:rsidR="005A39D6" w:rsidRPr="00D879C0" w:rsidRDefault="005A39D6" w:rsidP="00C73C94">
            <w:pPr>
              <w:spacing w:before="120" w:after="120"/>
              <w:jc w:val="center"/>
              <w:rPr>
                <w:rFonts w:ascii="Arial" w:hAnsi="Arial" w:cs="Arial"/>
              </w:rPr>
            </w:pPr>
            <w:r w:rsidRPr="00D879C0">
              <w:rPr>
                <w:rFonts w:ascii="Arial" w:hAnsi="Arial" w:cs="Arial"/>
              </w:rPr>
              <w:t>0.55 ± 0.097</w:t>
            </w:r>
          </w:p>
        </w:tc>
        <w:tc>
          <w:tcPr>
            <w:tcW w:w="1710" w:type="dxa"/>
          </w:tcPr>
          <w:p w:rsidR="005A39D6" w:rsidRPr="00D879C0" w:rsidRDefault="005A39D6" w:rsidP="00C73C94">
            <w:pPr>
              <w:spacing w:before="120" w:after="120"/>
              <w:jc w:val="center"/>
              <w:rPr>
                <w:rFonts w:ascii="Arial" w:hAnsi="Arial" w:cs="Arial"/>
              </w:rPr>
            </w:pPr>
            <w:r w:rsidRPr="00D879C0">
              <w:rPr>
                <w:rFonts w:ascii="Arial" w:hAnsi="Arial" w:cs="Arial"/>
              </w:rPr>
              <w:t>1.13 ± 0.10</w:t>
            </w:r>
          </w:p>
        </w:tc>
      </w:tr>
      <w:tr w:rsidR="005A39D6" w:rsidRPr="00D879C0" w:rsidTr="00C73C94">
        <w:tc>
          <w:tcPr>
            <w:tcW w:w="2178" w:type="dxa"/>
          </w:tcPr>
          <w:p w:rsidR="005A39D6" w:rsidRPr="00D879C0" w:rsidRDefault="005A39D6" w:rsidP="00C73C94">
            <w:pPr>
              <w:spacing w:before="120" w:after="120"/>
              <w:rPr>
                <w:rFonts w:ascii="Arial" w:hAnsi="Arial" w:cs="Arial"/>
                <w:b/>
                <w:vertAlign w:val="subscript"/>
              </w:rPr>
            </w:pPr>
            <w:r w:rsidRPr="00D879C0">
              <w:rPr>
                <w:rFonts w:ascii="Arial" w:hAnsi="Arial" w:cs="Arial"/>
                <w:b/>
                <w:i/>
              </w:rPr>
              <w:t>k</w:t>
            </w:r>
            <w:r w:rsidRPr="00D879C0">
              <w:rPr>
                <w:rFonts w:ascii="Arial" w:hAnsi="Arial" w:cs="Arial"/>
                <w:b/>
                <w:vertAlign w:val="subscript"/>
              </w:rPr>
              <w:t>cat</w:t>
            </w:r>
            <w:r w:rsidRPr="00D879C0">
              <w:rPr>
                <w:rFonts w:ascii="Arial" w:hAnsi="Arial" w:cs="Arial"/>
                <w:b/>
              </w:rPr>
              <w:t>/K</w:t>
            </w:r>
            <w:r w:rsidRPr="00D879C0">
              <w:rPr>
                <w:rFonts w:ascii="Arial" w:hAnsi="Arial" w:cs="Arial"/>
                <w:b/>
                <w:vertAlign w:val="subscript"/>
              </w:rPr>
              <w:t>M</w:t>
            </w:r>
            <w:r w:rsidRPr="00D879C0">
              <w:rPr>
                <w:rFonts w:ascii="Arial" w:hAnsi="Arial" w:cs="Arial"/>
                <w:b/>
              </w:rPr>
              <w:t xml:space="preserve"> (</w:t>
            </w:r>
            <w:r w:rsidRPr="00E97D78">
              <w:rPr>
                <w:rFonts w:ascii="Arial" w:hAnsi="Arial" w:cs="Arial"/>
                <w:b/>
              </w:rPr>
              <w:t>M</w:t>
            </w:r>
            <w:r w:rsidRPr="00D879C0">
              <w:rPr>
                <w:rFonts w:ascii="Arial" w:hAnsi="Arial" w:cs="Arial"/>
                <w:b/>
                <w:vertAlign w:val="superscript"/>
              </w:rPr>
              <w:t>-1</w:t>
            </w:r>
            <w:r w:rsidRPr="00D879C0">
              <w:rPr>
                <w:rFonts w:ascii="Arial" w:hAnsi="Arial" w:cs="Arial"/>
                <w:b/>
              </w:rPr>
              <w:t xml:space="preserve"> min</w:t>
            </w:r>
            <w:r w:rsidRPr="00D879C0">
              <w:rPr>
                <w:rFonts w:ascii="Arial" w:hAnsi="Arial" w:cs="Arial"/>
                <w:b/>
                <w:vertAlign w:val="superscript"/>
              </w:rPr>
              <w:t>-1</w:t>
            </w:r>
            <w:r w:rsidRPr="00D879C0">
              <w:rPr>
                <w:rFonts w:ascii="Arial" w:hAnsi="Arial" w:cs="Arial"/>
                <w:b/>
              </w:rPr>
              <w:t>)</w:t>
            </w:r>
          </w:p>
        </w:tc>
        <w:tc>
          <w:tcPr>
            <w:tcW w:w="1800" w:type="dxa"/>
            <w:vAlign w:val="center"/>
          </w:tcPr>
          <w:p w:rsidR="005A39D6" w:rsidRPr="00D879C0" w:rsidRDefault="005A39D6" w:rsidP="00C73C94">
            <w:pPr>
              <w:jc w:val="center"/>
              <w:rPr>
                <w:rFonts w:ascii="Arial" w:hAnsi="Arial" w:cs="Arial"/>
              </w:rPr>
            </w:pPr>
            <w:r w:rsidRPr="00D879C0">
              <w:rPr>
                <w:rFonts w:ascii="Arial" w:hAnsi="Arial" w:cs="Arial"/>
              </w:rPr>
              <w:t>1.38</w:t>
            </w:r>
            <w:r>
              <w:rPr>
                <w:rFonts w:ascii="Arial" w:hAnsi="Arial" w:cs="Arial"/>
              </w:rPr>
              <w:t xml:space="preserve"> x 10</w:t>
            </w:r>
            <w:r w:rsidRPr="00D879C0">
              <w:rPr>
                <w:rFonts w:ascii="Arial" w:hAnsi="Arial" w:cs="Arial"/>
                <w:vertAlign w:val="superscript"/>
              </w:rPr>
              <w:t>7</w:t>
            </w:r>
          </w:p>
        </w:tc>
        <w:tc>
          <w:tcPr>
            <w:tcW w:w="1890" w:type="dxa"/>
            <w:vAlign w:val="center"/>
          </w:tcPr>
          <w:p w:rsidR="005A39D6" w:rsidRPr="00D879C0" w:rsidRDefault="005A39D6" w:rsidP="00C73C94">
            <w:pPr>
              <w:jc w:val="center"/>
              <w:rPr>
                <w:rFonts w:ascii="Arial" w:hAnsi="Arial" w:cs="Arial"/>
              </w:rPr>
            </w:pPr>
            <w:r w:rsidRPr="00D879C0">
              <w:rPr>
                <w:rFonts w:ascii="Arial" w:hAnsi="Arial" w:cs="Arial"/>
              </w:rPr>
              <w:t>1.24</w:t>
            </w:r>
            <w:r>
              <w:rPr>
                <w:rFonts w:ascii="Arial" w:hAnsi="Arial" w:cs="Arial"/>
              </w:rPr>
              <w:t xml:space="preserve"> x 10</w:t>
            </w:r>
            <w:r w:rsidRPr="00D879C0">
              <w:rPr>
                <w:rFonts w:ascii="Arial" w:hAnsi="Arial" w:cs="Arial"/>
                <w:vertAlign w:val="superscript"/>
              </w:rPr>
              <w:t>7</w:t>
            </w:r>
          </w:p>
        </w:tc>
        <w:tc>
          <w:tcPr>
            <w:tcW w:w="1620" w:type="dxa"/>
            <w:vAlign w:val="center"/>
          </w:tcPr>
          <w:p w:rsidR="005A39D6" w:rsidRPr="00D879C0" w:rsidRDefault="005A39D6" w:rsidP="00C73C94">
            <w:pPr>
              <w:jc w:val="center"/>
              <w:rPr>
                <w:rFonts w:ascii="Arial" w:hAnsi="Arial" w:cs="Arial"/>
              </w:rPr>
            </w:pPr>
            <w:r w:rsidRPr="00D879C0">
              <w:rPr>
                <w:rFonts w:ascii="Arial" w:hAnsi="Arial" w:cs="Arial"/>
              </w:rPr>
              <w:t>3.18</w:t>
            </w:r>
            <w:r>
              <w:rPr>
                <w:rFonts w:ascii="Arial" w:hAnsi="Arial" w:cs="Arial"/>
              </w:rPr>
              <w:t xml:space="preserve"> x 10</w:t>
            </w:r>
            <w:r w:rsidRPr="00D879C0">
              <w:rPr>
                <w:rFonts w:ascii="Arial" w:hAnsi="Arial" w:cs="Arial"/>
                <w:vertAlign w:val="superscript"/>
              </w:rPr>
              <w:t>7</w:t>
            </w:r>
          </w:p>
        </w:tc>
        <w:tc>
          <w:tcPr>
            <w:tcW w:w="1710" w:type="dxa"/>
            <w:vAlign w:val="center"/>
          </w:tcPr>
          <w:p w:rsidR="005A39D6" w:rsidRPr="00D879C0" w:rsidRDefault="005A39D6" w:rsidP="00C73C94">
            <w:pPr>
              <w:jc w:val="center"/>
              <w:rPr>
                <w:rFonts w:ascii="Arial" w:hAnsi="Arial" w:cs="Arial"/>
              </w:rPr>
            </w:pPr>
            <w:r w:rsidRPr="00D879C0">
              <w:rPr>
                <w:rFonts w:ascii="Arial" w:hAnsi="Arial" w:cs="Arial"/>
              </w:rPr>
              <w:t>6.34</w:t>
            </w:r>
            <w:r>
              <w:rPr>
                <w:rFonts w:ascii="Arial" w:hAnsi="Arial" w:cs="Arial"/>
              </w:rPr>
              <w:t xml:space="preserve"> x 10</w:t>
            </w:r>
            <w:r w:rsidRPr="00D879C0">
              <w:rPr>
                <w:rFonts w:ascii="Arial" w:hAnsi="Arial" w:cs="Arial"/>
                <w:vertAlign w:val="superscript"/>
              </w:rPr>
              <w:t>7</w:t>
            </w:r>
          </w:p>
        </w:tc>
      </w:tr>
    </w:tbl>
    <w:p w:rsidR="005A39D6" w:rsidRPr="00100A6B" w:rsidRDefault="005A39D6" w:rsidP="005A39D6">
      <w:pPr>
        <w:rPr>
          <w:vanish/>
        </w:rPr>
      </w:pPr>
    </w:p>
    <w:p w:rsidR="005A39D6" w:rsidRDefault="005A39D6" w:rsidP="005A39D6"/>
    <w:p w:rsidR="005A39D6" w:rsidRDefault="005A39D6" w:rsidP="005A39D6"/>
    <w:tbl>
      <w:tblPr>
        <w:tblpPr w:leftFromText="180" w:rightFromText="180" w:vertAnchor="text" w:horzAnchor="margin" w:tblpY="-70"/>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1800"/>
        <w:gridCol w:w="1800"/>
        <w:gridCol w:w="1710"/>
        <w:gridCol w:w="1710"/>
      </w:tblGrid>
      <w:tr w:rsidR="005A39D6" w:rsidRPr="00D879C0" w:rsidTr="00C73C94">
        <w:tc>
          <w:tcPr>
            <w:tcW w:w="2178" w:type="dxa"/>
            <w:vAlign w:val="bottom"/>
          </w:tcPr>
          <w:p w:rsidR="005A39D6" w:rsidRPr="00D879C0" w:rsidRDefault="005A39D6" w:rsidP="00C73C94">
            <w:pPr>
              <w:rPr>
                <w:rFonts w:ascii="Arial" w:hAnsi="Arial" w:cs="Arial"/>
                <w:b/>
              </w:rPr>
            </w:pPr>
            <w:r>
              <w:rPr>
                <w:rFonts w:ascii="Arial" w:hAnsi="Arial" w:cs="Arial"/>
                <w:b/>
              </w:rPr>
              <w:softHyphen/>
            </w:r>
            <w:r w:rsidRPr="00D879C0">
              <w:rPr>
                <w:rFonts w:ascii="Arial" w:hAnsi="Arial" w:cs="Arial"/>
                <w:b/>
              </w:rPr>
              <w:t>Aß40</w:t>
            </w:r>
          </w:p>
          <w:p w:rsidR="005A39D6" w:rsidRPr="00D879C0" w:rsidRDefault="005A39D6" w:rsidP="00C73C94">
            <w:pPr>
              <w:rPr>
                <w:rFonts w:ascii="Arial" w:hAnsi="Arial" w:cs="Arial"/>
                <w:b/>
              </w:rPr>
            </w:pPr>
            <w:r w:rsidRPr="00D879C0">
              <w:rPr>
                <w:rFonts w:ascii="Arial" w:hAnsi="Arial" w:cs="Arial"/>
                <w:b/>
              </w:rPr>
              <w:t>catabolism</w:t>
            </w:r>
          </w:p>
        </w:tc>
        <w:tc>
          <w:tcPr>
            <w:tcW w:w="1800" w:type="dxa"/>
            <w:vAlign w:val="bottom"/>
          </w:tcPr>
          <w:p w:rsidR="005A39D6" w:rsidRPr="00D879C0" w:rsidRDefault="005A39D6" w:rsidP="00C73C94">
            <w:pPr>
              <w:jc w:val="center"/>
              <w:rPr>
                <w:rFonts w:ascii="Arial" w:hAnsi="Arial" w:cs="Arial"/>
                <w:b/>
              </w:rPr>
            </w:pPr>
            <w:r w:rsidRPr="00D879C0">
              <w:rPr>
                <w:rFonts w:ascii="Arial" w:hAnsi="Arial" w:cs="Arial"/>
                <w:b/>
              </w:rPr>
              <w:t>ELISA</w:t>
            </w:r>
          </w:p>
        </w:tc>
        <w:tc>
          <w:tcPr>
            <w:tcW w:w="1800" w:type="dxa"/>
            <w:vAlign w:val="bottom"/>
          </w:tcPr>
          <w:p w:rsidR="005A39D6" w:rsidRPr="00D879C0" w:rsidRDefault="005A39D6" w:rsidP="00C73C94">
            <w:pPr>
              <w:jc w:val="center"/>
              <w:rPr>
                <w:rFonts w:ascii="Arial" w:hAnsi="Arial" w:cs="Arial"/>
                <w:b/>
              </w:rPr>
            </w:pPr>
            <w:r w:rsidRPr="00D879C0">
              <w:rPr>
                <w:rFonts w:ascii="Arial" w:hAnsi="Arial" w:cs="Arial"/>
                <w:b/>
                <w:vertAlign w:val="superscript"/>
              </w:rPr>
              <w:t>125</w:t>
            </w:r>
            <w:r w:rsidRPr="00D879C0">
              <w:rPr>
                <w:rFonts w:ascii="Arial" w:hAnsi="Arial" w:cs="Arial"/>
                <w:b/>
              </w:rPr>
              <w:t>I-Aß40</w:t>
            </w:r>
          </w:p>
        </w:tc>
        <w:tc>
          <w:tcPr>
            <w:tcW w:w="1710" w:type="dxa"/>
            <w:vAlign w:val="bottom"/>
          </w:tcPr>
          <w:p w:rsidR="005A39D6" w:rsidRPr="00D879C0" w:rsidRDefault="005A39D6" w:rsidP="00C73C94">
            <w:pPr>
              <w:jc w:val="center"/>
              <w:rPr>
                <w:rFonts w:ascii="Arial" w:hAnsi="Arial" w:cs="Arial"/>
                <w:b/>
              </w:rPr>
            </w:pPr>
            <w:r w:rsidRPr="00D879C0">
              <w:rPr>
                <w:rFonts w:ascii="Arial" w:hAnsi="Arial" w:cs="Arial"/>
                <w:b/>
              </w:rPr>
              <w:t>silent substrate</w:t>
            </w:r>
          </w:p>
        </w:tc>
        <w:tc>
          <w:tcPr>
            <w:tcW w:w="1710" w:type="dxa"/>
          </w:tcPr>
          <w:p w:rsidR="005A39D6" w:rsidRPr="00D879C0" w:rsidRDefault="005A39D6" w:rsidP="00C73C94">
            <w:pPr>
              <w:jc w:val="center"/>
              <w:rPr>
                <w:rFonts w:ascii="Arial" w:hAnsi="Arial" w:cs="Arial"/>
                <w:b/>
              </w:rPr>
            </w:pPr>
          </w:p>
          <w:p w:rsidR="005A39D6" w:rsidRPr="00D879C0" w:rsidRDefault="005A39D6" w:rsidP="00C73C94">
            <w:pPr>
              <w:jc w:val="center"/>
              <w:rPr>
                <w:rFonts w:ascii="Arial" w:hAnsi="Arial" w:cs="Arial"/>
                <w:b/>
              </w:rPr>
            </w:pPr>
            <w:r w:rsidRPr="00D879C0">
              <w:rPr>
                <w:rFonts w:ascii="Arial" w:hAnsi="Arial" w:cs="Arial"/>
                <w:b/>
              </w:rPr>
              <w:t>HTRF</w:t>
            </w:r>
          </w:p>
        </w:tc>
      </w:tr>
      <w:tr w:rsidR="005A39D6" w:rsidRPr="00D879C0" w:rsidTr="00C73C94">
        <w:tc>
          <w:tcPr>
            <w:tcW w:w="2178" w:type="dxa"/>
          </w:tcPr>
          <w:p w:rsidR="005A39D6" w:rsidRPr="00D879C0" w:rsidRDefault="005A39D6" w:rsidP="00C73C94">
            <w:pPr>
              <w:spacing w:before="120" w:after="120"/>
              <w:rPr>
                <w:rFonts w:ascii="Arial" w:hAnsi="Arial" w:cs="Arial"/>
                <w:b/>
              </w:rPr>
            </w:pPr>
            <w:r w:rsidRPr="00D879C0">
              <w:rPr>
                <w:rFonts w:ascii="Arial" w:hAnsi="Arial" w:cs="Arial"/>
                <w:b/>
              </w:rPr>
              <w:t>K</w:t>
            </w:r>
            <w:r w:rsidRPr="00D879C0">
              <w:rPr>
                <w:rFonts w:ascii="Arial" w:hAnsi="Arial" w:cs="Arial"/>
                <w:b/>
                <w:vertAlign w:val="subscript"/>
              </w:rPr>
              <w:t>M</w:t>
            </w:r>
            <w:r w:rsidRPr="00D879C0">
              <w:rPr>
                <w:rFonts w:ascii="Arial" w:hAnsi="Arial" w:cs="Arial"/>
                <w:b/>
              </w:rPr>
              <w:t xml:space="preserve"> (nM)</w:t>
            </w:r>
          </w:p>
        </w:tc>
        <w:tc>
          <w:tcPr>
            <w:tcW w:w="1800" w:type="dxa"/>
          </w:tcPr>
          <w:p w:rsidR="005A39D6" w:rsidRPr="00D879C0" w:rsidRDefault="005A39D6" w:rsidP="00C73C94">
            <w:pPr>
              <w:spacing w:before="120" w:after="120"/>
              <w:jc w:val="center"/>
              <w:rPr>
                <w:rFonts w:ascii="Arial" w:hAnsi="Arial" w:cs="Arial"/>
              </w:rPr>
            </w:pPr>
            <w:r w:rsidRPr="00D879C0">
              <w:rPr>
                <w:rFonts w:ascii="Arial" w:hAnsi="Arial" w:cs="Arial"/>
              </w:rPr>
              <w:t>1510 ± 260</w:t>
            </w:r>
          </w:p>
        </w:tc>
        <w:tc>
          <w:tcPr>
            <w:tcW w:w="1800" w:type="dxa"/>
          </w:tcPr>
          <w:p w:rsidR="005A39D6" w:rsidRPr="00D879C0" w:rsidRDefault="005A39D6" w:rsidP="00C73C94">
            <w:pPr>
              <w:spacing w:before="120" w:after="120"/>
              <w:jc w:val="center"/>
              <w:rPr>
                <w:rFonts w:ascii="Arial" w:hAnsi="Arial" w:cs="Arial"/>
              </w:rPr>
            </w:pPr>
            <w:r w:rsidRPr="00D879C0">
              <w:rPr>
                <w:rFonts w:ascii="Arial" w:hAnsi="Arial" w:cs="Arial"/>
              </w:rPr>
              <w:t>1240 ± 180</w:t>
            </w:r>
          </w:p>
        </w:tc>
        <w:tc>
          <w:tcPr>
            <w:tcW w:w="1710" w:type="dxa"/>
          </w:tcPr>
          <w:p w:rsidR="005A39D6" w:rsidRPr="00D879C0" w:rsidRDefault="005A39D6" w:rsidP="00C73C94">
            <w:pPr>
              <w:spacing w:before="120" w:after="120"/>
              <w:jc w:val="center"/>
              <w:rPr>
                <w:rFonts w:ascii="Arial" w:hAnsi="Arial" w:cs="Arial"/>
              </w:rPr>
            </w:pPr>
            <w:r w:rsidRPr="00D879C0">
              <w:rPr>
                <w:rFonts w:ascii="Arial" w:hAnsi="Arial" w:cs="Arial"/>
              </w:rPr>
              <w:t>1880 ± 330</w:t>
            </w:r>
          </w:p>
        </w:tc>
        <w:tc>
          <w:tcPr>
            <w:tcW w:w="1710" w:type="dxa"/>
          </w:tcPr>
          <w:p w:rsidR="005A39D6" w:rsidRPr="00D879C0" w:rsidRDefault="005A39D6" w:rsidP="00C73C94">
            <w:pPr>
              <w:spacing w:before="120" w:after="120"/>
              <w:jc w:val="center"/>
              <w:rPr>
                <w:rFonts w:ascii="Arial" w:hAnsi="Arial" w:cs="Arial"/>
              </w:rPr>
            </w:pPr>
            <w:r w:rsidRPr="00D879C0">
              <w:rPr>
                <w:rFonts w:ascii="Arial" w:hAnsi="Arial" w:cs="Arial"/>
              </w:rPr>
              <w:t>1490 ± 230</w:t>
            </w:r>
          </w:p>
        </w:tc>
      </w:tr>
      <w:tr w:rsidR="005A39D6" w:rsidRPr="00D879C0" w:rsidTr="00C73C94">
        <w:tc>
          <w:tcPr>
            <w:tcW w:w="2178" w:type="dxa"/>
          </w:tcPr>
          <w:p w:rsidR="005A39D6" w:rsidRPr="00D879C0" w:rsidRDefault="005A39D6" w:rsidP="00C73C94">
            <w:pPr>
              <w:spacing w:before="120" w:after="120"/>
              <w:rPr>
                <w:rFonts w:ascii="Arial" w:hAnsi="Arial" w:cs="Arial"/>
                <w:b/>
              </w:rPr>
            </w:pPr>
            <w:r w:rsidRPr="00D879C0">
              <w:rPr>
                <w:rFonts w:ascii="Arial" w:hAnsi="Arial" w:cs="Arial"/>
                <w:b/>
                <w:i/>
              </w:rPr>
              <w:t>k</w:t>
            </w:r>
            <w:r w:rsidRPr="00D879C0">
              <w:rPr>
                <w:rFonts w:ascii="Arial" w:hAnsi="Arial" w:cs="Arial"/>
                <w:b/>
                <w:vertAlign w:val="subscript"/>
              </w:rPr>
              <w:t>cat</w:t>
            </w:r>
            <w:r w:rsidRPr="00D879C0">
              <w:rPr>
                <w:rFonts w:ascii="Arial" w:hAnsi="Arial" w:cs="Arial"/>
                <w:b/>
              </w:rPr>
              <w:t xml:space="preserve"> (min</w:t>
            </w:r>
            <w:r w:rsidRPr="00D879C0">
              <w:rPr>
                <w:rFonts w:ascii="Arial" w:hAnsi="Arial" w:cs="Arial"/>
                <w:b/>
                <w:vertAlign w:val="superscript"/>
              </w:rPr>
              <w:t>-1</w:t>
            </w:r>
            <w:r w:rsidRPr="00D879C0">
              <w:rPr>
                <w:rFonts w:ascii="Arial" w:hAnsi="Arial" w:cs="Arial"/>
                <w:b/>
              </w:rPr>
              <w:t>)</w:t>
            </w:r>
          </w:p>
        </w:tc>
        <w:tc>
          <w:tcPr>
            <w:tcW w:w="1800" w:type="dxa"/>
          </w:tcPr>
          <w:p w:rsidR="005A39D6" w:rsidRPr="00D879C0" w:rsidRDefault="005A39D6" w:rsidP="00C73C94">
            <w:pPr>
              <w:spacing w:before="120" w:after="120"/>
              <w:jc w:val="center"/>
              <w:rPr>
                <w:rFonts w:ascii="Arial" w:hAnsi="Arial" w:cs="Arial"/>
              </w:rPr>
            </w:pPr>
            <w:r w:rsidRPr="00D879C0">
              <w:rPr>
                <w:rFonts w:ascii="Arial" w:hAnsi="Arial" w:cs="Arial"/>
              </w:rPr>
              <w:t>20.8 ± 1.1</w:t>
            </w:r>
          </w:p>
        </w:tc>
        <w:tc>
          <w:tcPr>
            <w:tcW w:w="1800" w:type="dxa"/>
          </w:tcPr>
          <w:p w:rsidR="005A39D6" w:rsidRPr="00D879C0" w:rsidRDefault="005A39D6" w:rsidP="00C73C94">
            <w:pPr>
              <w:spacing w:before="120" w:after="120"/>
              <w:jc w:val="center"/>
              <w:rPr>
                <w:rFonts w:ascii="Arial" w:hAnsi="Arial" w:cs="Arial"/>
              </w:rPr>
            </w:pPr>
            <w:r w:rsidRPr="00D879C0">
              <w:rPr>
                <w:rFonts w:ascii="Arial" w:hAnsi="Arial" w:cs="Arial"/>
              </w:rPr>
              <w:t>15.4 ± 3.6</w:t>
            </w:r>
          </w:p>
        </w:tc>
        <w:tc>
          <w:tcPr>
            <w:tcW w:w="1710" w:type="dxa"/>
          </w:tcPr>
          <w:p w:rsidR="005A39D6" w:rsidRPr="00D879C0" w:rsidRDefault="005A39D6" w:rsidP="00C73C94">
            <w:pPr>
              <w:spacing w:before="120" w:after="120"/>
              <w:jc w:val="center"/>
              <w:rPr>
                <w:rFonts w:ascii="Arial" w:hAnsi="Arial" w:cs="Arial"/>
              </w:rPr>
            </w:pPr>
            <w:r w:rsidRPr="00D879C0">
              <w:rPr>
                <w:rFonts w:ascii="Arial" w:hAnsi="Arial" w:cs="Arial"/>
              </w:rPr>
              <w:t>59.8 ± 7.9</w:t>
            </w:r>
          </w:p>
        </w:tc>
        <w:tc>
          <w:tcPr>
            <w:tcW w:w="1710" w:type="dxa"/>
          </w:tcPr>
          <w:p w:rsidR="005A39D6" w:rsidRPr="00D879C0" w:rsidRDefault="005A39D6" w:rsidP="00C73C94">
            <w:pPr>
              <w:spacing w:before="120" w:after="120"/>
              <w:jc w:val="center"/>
              <w:rPr>
                <w:rFonts w:ascii="Arial" w:hAnsi="Arial" w:cs="Arial"/>
              </w:rPr>
            </w:pPr>
            <w:r w:rsidRPr="00D879C0">
              <w:rPr>
                <w:rFonts w:ascii="Arial" w:hAnsi="Arial" w:cs="Arial"/>
              </w:rPr>
              <w:t>94.8 ± 13</w:t>
            </w:r>
          </w:p>
        </w:tc>
      </w:tr>
      <w:tr w:rsidR="005A39D6" w:rsidRPr="00D879C0" w:rsidTr="00C73C94">
        <w:tc>
          <w:tcPr>
            <w:tcW w:w="2178" w:type="dxa"/>
          </w:tcPr>
          <w:p w:rsidR="005A39D6" w:rsidRPr="00D879C0" w:rsidRDefault="005A39D6" w:rsidP="00C73C94">
            <w:pPr>
              <w:spacing w:before="120" w:after="120"/>
              <w:rPr>
                <w:rFonts w:ascii="Arial" w:hAnsi="Arial" w:cs="Arial"/>
                <w:b/>
                <w:i/>
              </w:rPr>
            </w:pPr>
            <w:r w:rsidRPr="00D879C0">
              <w:rPr>
                <w:rFonts w:ascii="Arial" w:hAnsi="Arial" w:cs="Arial"/>
                <w:b/>
                <w:i/>
              </w:rPr>
              <w:t>k</w:t>
            </w:r>
            <w:r w:rsidRPr="00D879C0">
              <w:rPr>
                <w:rFonts w:ascii="Arial" w:hAnsi="Arial" w:cs="Arial"/>
                <w:b/>
                <w:vertAlign w:val="subscript"/>
              </w:rPr>
              <w:t>cat</w:t>
            </w:r>
            <w:r w:rsidRPr="00D879C0">
              <w:rPr>
                <w:rFonts w:ascii="Arial" w:hAnsi="Arial" w:cs="Arial"/>
                <w:b/>
              </w:rPr>
              <w:t>/K</w:t>
            </w:r>
            <w:r w:rsidRPr="00D879C0">
              <w:rPr>
                <w:rFonts w:ascii="Arial" w:hAnsi="Arial" w:cs="Arial"/>
                <w:b/>
                <w:vertAlign w:val="subscript"/>
              </w:rPr>
              <w:t>M</w:t>
            </w:r>
            <w:r w:rsidRPr="00D879C0">
              <w:rPr>
                <w:rFonts w:ascii="Arial" w:hAnsi="Arial" w:cs="Arial"/>
                <w:b/>
              </w:rPr>
              <w:t xml:space="preserve"> (</w:t>
            </w:r>
            <w:r w:rsidRPr="00E97D78">
              <w:rPr>
                <w:rFonts w:ascii="Arial" w:hAnsi="Arial" w:cs="Arial"/>
                <w:b/>
              </w:rPr>
              <w:t>M</w:t>
            </w:r>
            <w:r w:rsidRPr="00D879C0">
              <w:rPr>
                <w:rFonts w:ascii="Arial" w:hAnsi="Arial" w:cs="Arial"/>
                <w:b/>
                <w:vertAlign w:val="superscript"/>
              </w:rPr>
              <w:t>-1</w:t>
            </w:r>
            <w:r w:rsidRPr="00D879C0">
              <w:rPr>
                <w:rFonts w:ascii="Arial" w:hAnsi="Arial" w:cs="Arial"/>
                <w:b/>
              </w:rPr>
              <w:t xml:space="preserve"> min</w:t>
            </w:r>
            <w:r w:rsidRPr="00D879C0">
              <w:rPr>
                <w:rFonts w:ascii="Arial" w:hAnsi="Arial" w:cs="Arial"/>
                <w:b/>
                <w:vertAlign w:val="superscript"/>
              </w:rPr>
              <w:t>-1</w:t>
            </w:r>
            <w:r w:rsidRPr="00D879C0">
              <w:rPr>
                <w:rFonts w:ascii="Arial" w:hAnsi="Arial" w:cs="Arial"/>
                <w:b/>
              </w:rPr>
              <w:t>)</w:t>
            </w:r>
          </w:p>
        </w:tc>
        <w:tc>
          <w:tcPr>
            <w:tcW w:w="1800" w:type="dxa"/>
            <w:vAlign w:val="center"/>
          </w:tcPr>
          <w:p w:rsidR="005A39D6" w:rsidRPr="00D879C0" w:rsidRDefault="005A39D6" w:rsidP="00C73C94">
            <w:pPr>
              <w:jc w:val="center"/>
              <w:rPr>
                <w:rFonts w:ascii="Arial" w:hAnsi="Arial" w:cs="Arial"/>
              </w:rPr>
            </w:pPr>
            <w:r>
              <w:rPr>
                <w:rFonts w:ascii="Arial" w:hAnsi="Arial" w:cs="Arial"/>
              </w:rPr>
              <w:t>0.79 x 10</w:t>
            </w:r>
            <w:r>
              <w:rPr>
                <w:rFonts w:ascii="Arial" w:hAnsi="Arial" w:cs="Arial"/>
                <w:vertAlign w:val="superscript"/>
              </w:rPr>
              <w:t>7</w:t>
            </w:r>
          </w:p>
        </w:tc>
        <w:tc>
          <w:tcPr>
            <w:tcW w:w="1800" w:type="dxa"/>
            <w:vAlign w:val="center"/>
          </w:tcPr>
          <w:p w:rsidR="005A39D6" w:rsidRPr="00D879C0" w:rsidRDefault="005A39D6" w:rsidP="00C73C94">
            <w:pPr>
              <w:jc w:val="center"/>
              <w:rPr>
                <w:rFonts w:ascii="Arial" w:hAnsi="Arial" w:cs="Arial"/>
              </w:rPr>
            </w:pPr>
            <w:r w:rsidRPr="00D879C0">
              <w:rPr>
                <w:rFonts w:ascii="Arial" w:hAnsi="Arial" w:cs="Arial"/>
              </w:rPr>
              <w:t>5.46</w:t>
            </w:r>
            <w:r>
              <w:rPr>
                <w:rFonts w:ascii="Arial" w:hAnsi="Arial" w:cs="Arial"/>
              </w:rPr>
              <w:t xml:space="preserve"> x 10</w:t>
            </w:r>
            <w:r w:rsidRPr="00D879C0">
              <w:rPr>
                <w:rFonts w:ascii="Arial" w:hAnsi="Arial" w:cs="Arial"/>
                <w:vertAlign w:val="superscript"/>
              </w:rPr>
              <w:t>7</w:t>
            </w:r>
          </w:p>
        </w:tc>
        <w:tc>
          <w:tcPr>
            <w:tcW w:w="1710" w:type="dxa"/>
            <w:vAlign w:val="center"/>
          </w:tcPr>
          <w:p w:rsidR="005A39D6" w:rsidRPr="00D879C0" w:rsidRDefault="005A39D6" w:rsidP="00C73C94">
            <w:pPr>
              <w:jc w:val="center"/>
              <w:rPr>
                <w:rFonts w:ascii="Arial" w:hAnsi="Arial" w:cs="Arial"/>
              </w:rPr>
            </w:pPr>
            <w:r w:rsidRPr="00D879C0">
              <w:rPr>
                <w:rFonts w:ascii="Arial" w:hAnsi="Arial" w:cs="Arial"/>
              </w:rPr>
              <w:t>1.74</w:t>
            </w:r>
            <w:r>
              <w:rPr>
                <w:rFonts w:ascii="Arial" w:hAnsi="Arial" w:cs="Arial"/>
              </w:rPr>
              <w:t xml:space="preserve"> x 10</w:t>
            </w:r>
            <w:r w:rsidRPr="00D879C0">
              <w:rPr>
                <w:rFonts w:ascii="Arial" w:hAnsi="Arial" w:cs="Arial"/>
                <w:vertAlign w:val="superscript"/>
              </w:rPr>
              <w:t>7</w:t>
            </w:r>
          </w:p>
        </w:tc>
        <w:tc>
          <w:tcPr>
            <w:tcW w:w="1710" w:type="dxa"/>
            <w:vAlign w:val="center"/>
          </w:tcPr>
          <w:p w:rsidR="005A39D6" w:rsidRPr="00D879C0" w:rsidRDefault="005A39D6" w:rsidP="00C73C94">
            <w:pPr>
              <w:jc w:val="center"/>
              <w:rPr>
                <w:rFonts w:ascii="Arial" w:hAnsi="Arial" w:cs="Arial"/>
              </w:rPr>
            </w:pPr>
            <w:r w:rsidRPr="00D879C0">
              <w:rPr>
                <w:rFonts w:ascii="Arial" w:hAnsi="Arial" w:cs="Arial"/>
              </w:rPr>
              <w:t>4.58</w:t>
            </w:r>
            <w:r>
              <w:rPr>
                <w:rFonts w:ascii="Arial" w:hAnsi="Arial" w:cs="Arial"/>
              </w:rPr>
              <w:t xml:space="preserve"> x 10</w:t>
            </w:r>
            <w:r w:rsidRPr="00D879C0">
              <w:rPr>
                <w:rFonts w:ascii="Arial" w:hAnsi="Arial" w:cs="Arial"/>
                <w:vertAlign w:val="superscript"/>
              </w:rPr>
              <w:t>7</w:t>
            </w:r>
          </w:p>
        </w:tc>
      </w:tr>
    </w:tbl>
    <w:p w:rsidR="005A39D6" w:rsidRDefault="005A39D6" w:rsidP="005A39D6"/>
    <w:p w:rsidR="005A39D6" w:rsidRDefault="005A39D6" w:rsidP="005A39D6">
      <w:pPr>
        <w:rPr>
          <w:rFonts w:ascii="Arial" w:hAnsi="Arial" w:cs="Arial"/>
          <w:b/>
        </w:rPr>
      </w:pPr>
      <w:r>
        <w:rPr>
          <w:rFonts w:ascii="Arial" w:hAnsi="Arial" w:cs="Arial"/>
          <w:b/>
        </w:rPr>
        <w:br w:type="page"/>
      </w:r>
    </w:p>
    <w:p w:rsidR="005A39D6" w:rsidRPr="00FB55C8" w:rsidRDefault="005A39D6" w:rsidP="005A39D6">
      <w:pPr>
        <w:rPr>
          <w:rFonts w:ascii="Arial" w:hAnsi="Arial"/>
          <w:b/>
        </w:rPr>
      </w:pPr>
      <w:r w:rsidRPr="00FB55C8">
        <w:rPr>
          <w:rFonts w:ascii="Arial" w:hAnsi="Arial"/>
          <w:b/>
        </w:rPr>
        <w:lastRenderedPageBreak/>
        <w:t>Figure S1</w:t>
      </w:r>
    </w:p>
    <w:p w:rsidR="005A39D6" w:rsidRPr="004B0DFC" w:rsidRDefault="005A39D6" w:rsidP="005A39D6">
      <w:pPr>
        <w:rPr>
          <w:rFonts w:ascii="Arial" w:hAnsi="Arial"/>
          <w:b/>
          <w:sz w:val="22"/>
        </w:rPr>
      </w:pPr>
    </w:p>
    <w:p w:rsidR="005A39D6" w:rsidRPr="004B0DFC" w:rsidRDefault="005A39D6" w:rsidP="005A39D6">
      <w:pPr>
        <w:rPr>
          <w:rFonts w:ascii="Arial" w:hAnsi="Arial"/>
          <w:b/>
          <w:sz w:val="22"/>
        </w:rPr>
      </w:pPr>
    </w:p>
    <w:p w:rsidR="005A39D6" w:rsidRPr="004B0DFC" w:rsidRDefault="005A39D6" w:rsidP="005A39D6">
      <w:pPr>
        <w:rPr>
          <w:rFonts w:ascii="Arial" w:hAnsi="Arial"/>
          <w:b/>
          <w:sz w:val="22"/>
        </w:rPr>
      </w:pPr>
    </w:p>
    <w:p w:rsidR="005A39D6" w:rsidRPr="004B0DFC" w:rsidRDefault="005A39D6" w:rsidP="005A39D6">
      <w:pPr>
        <w:rPr>
          <w:rFonts w:ascii="Arial" w:hAnsi="Arial"/>
          <w:b/>
          <w:sz w:val="22"/>
        </w:rPr>
      </w:pPr>
    </w:p>
    <w:p w:rsidR="005A39D6" w:rsidRPr="004B0DFC" w:rsidRDefault="005A39D6" w:rsidP="005A39D6">
      <w:pPr>
        <w:rPr>
          <w:rFonts w:ascii="Arial" w:hAnsi="Arial"/>
          <w:b/>
          <w:sz w:val="22"/>
        </w:rPr>
      </w:pPr>
    </w:p>
    <w:p w:rsidR="005A39D6" w:rsidRPr="004B0DFC" w:rsidRDefault="005A39D6" w:rsidP="005A39D6">
      <w:pPr>
        <w:rPr>
          <w:rFonts w:ascii="Arial" w:hAnsi="Arial"/>
          <w:b/>
          <w:sz w:val="22"/>
        </w:rPr>
      </w:pPr>
    </w:p>
    <w:p w:rsidR="005A39D6" w:rsidRPr="004B0DFC" w:rsidRDefault="005A39D6" w:rsidP="005A39D6">
      <w:pPr>
        <w:jc w:val="center"/>
        <w:rPr>
          <w:rFonts w:ascii="Arial" w:hAnsi="Arial"/>
          <w:sz w:val="22"/>
        </w:rPr>
      </w:pPr>
      <w:r>
        <w:rPr>
          <w:rFonts w:ascii="Arial" w:hAnsi="Arial"/>
          <w:noProof/>
          <w:sz w:val="22"/>
        </w:rPr>
        <w:drawing>
          <wp:inline distT="0" distB="0" distL="0" distR="0" wp14:anchorId="5C29C8BE" wp14:editId="4A06FCE3">
            <wp:extent cx="2043430" cy="2268855"/>
            <wp:effectExtent l="0" t="0" r="0" b="0"/>
            <wp:docPr id="25" name="Picture 1" descr="Supp-Fig-WB-IDE-NEP-AP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upp-Fig-WB-IDE-NEP-APP"/>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430" cy="2268855"/>
                    </a:xfrm>
                    <a:prstGeom prst="rect">
                      <a:avLst/>
                    </a:prstGeom>
                    <a:noFill/>
                    <a:ln>
                      <a:noFill/>
                    </a:ln>
                  </pic:spPr>
                </pic:pic>
              </a:graphicData>
            </a:graphic>
          </wp:inline>
        </w:drawing>
      </w:r>
    </w:p>
    <w:p w:rsidR="005A39D6" w:rsidRPr="004B0DFC" w:rsidRDefault="005A39D6" w:rsidP="005A39D6">
      <w:pPr>
        <w:rPr>
          <w:rFonts w:ascii="Arial" w:hAnsi="Arial"/>
          <w:sz w:val="22"/>
        </w:rPr>
      </w:pPr>
    </w:p>
    <w:p w:rsidR="005A39D6" w:rsidRPr="004B0DFC" w:rsidRDefault="005A39D6" w:rsidP="005A39D6">
      <w:pPr>
        <w:rPr>
          <w:rFonts w:ascii="Arial" w:hAnsi="Arial"/>
          <w:sz w:val="22"/>
        </w:rPr>
      </w:pPr>
    </w:p>
    <w:p w:rsidR="005A39D6" w:rsidRPr="004B0DFC" w:rsidRDefault="005A39D6" w:rsidP="005A39D6">
      <w:pPr>
        <w:rPr>
          <w:rFonts w:ascii="Arial" w:hAnsi="Arial"/>
          <w:sz w:val="22"/>
        </w:rPr>
      </w:pPr>
    </w:p>
    <w:p w:rsidR="005A39D6" w:rsidRPr="00156C44" w:rsidRDefault="005A39D6" w:rsidP="005A39D6">
      <w:pPr>
        <w:spacing w:line="360" w:lineRule="auto"/>
        <w:rPr>
          <w:rFonts w:ascii="Arial" w:hAnsi="Arial" w:cs="Arial"/>
          <w:b/>
        </w:rPr>
      </w:pPr>
    </w:p>
    <w:p w:rsidR="005A39D6" w:rsidRPr="00156C44" w:rsidRDefault="005A39D6" w:rsidP="005A39D6">
      <w:pPr>
        <w:spacing w:line="360" w:lineRule="auto"/>
        <w:rPr>
          <w:rFonts w:ascii="Arial" w:hAnsi="Arial" w:cs="Arial"/>
          <w:b/>
        </w:rPr>
      </w:pPr>
    </w:p>
    <w:p w:rsidR="005A39D6" w:rsidRPr="00156C44" w:rsidRDefault="005A39D6" w:rsidP="005A39D6">
      <w:pPr>
        <w:spacing w:line="360" w:lineRule="auto"/>
        <w:rPr>
          <w:rFonts w:ascii="Arial" w:hAnsi="Arial" w:cs="Arial"/>
          <w:b/>
        </w:rPr>
      </w:pPr>
    </w:p>
    <w:p w:rsidR="005A39D6" w:rsidRPr="00156C44" w:rsidRDefault="005A39D6" w:rsidP="005A39D6">
      <w:pPr>
        <w:spacing w:line="360" w:lineRule="auto"/>
        <w:rPr>
          <w:rFonts w:ascii="Arial" w:hAnsi="Arial" w:cs="Arial"/>
          <w:b/>
        </w:rPr>
      </w:pPr>
    </w:p>
    <w:p w:rsidR="005A39D6" w:rsidRPr="00156C44" w:rsidRDefault="005A39D6" w:rsidP="005A39D6">
      <w:pPr>
        <w:rPr>
          <w:rFonts w:ascii="Arial" w:hAnsi="Arial" w:cs="Arial"/>
          <w:b/>
        </w:rPr>
      </w:pPr>
    </w:p>
    <w:p w:rsidR="005A39D6" w:rsidRPr="000F79DF" w:rsidRDefault="005A39D6" w:rsidP="005A39D6">
      <w:pPr>
        <w:rPr>
          <w:rFonts w:ascii="Arial" w:hAnsi="Arial" w:cs="Arial"/>
        </w:rPr>
      </w:pPr>
      <w:r w:rsidRPr="00156C44">
        <w:rPr>
          <w:rFonts w:ascii="Arial" w:hAnsi="Arial" w:cs="Arial"/>
          <w:b/>
        </w:rPr>
        <w:t xml:space="preserve">Figure S1.  </w:t>
      </w:r>
      <w:r w:rsidRPr="00BA52FF">
        <w:rPr>
          <w:rFonts w:ascii="Arial" w:hAnsi="Arial" w:cs="Arial"/>
          <w:b/>
        </w:rPr>
        <w:t>The mechanism by which CatD regulates Aß levels does not involve effects on APP, Aß production or known Aß-degrading proteases.</w:t>
      </w:r>
      <w:r w:rsidRPr="00156C44">
        <w:rPr>
          <w:rFonts w:ascii="Arial" w:hAnsi="Arial" w:cs="Arial"/>
          <w:b/>
        </w:rPr>
        <w:t xml:space="preserve"> </w:t>
      </w:r>
      <w:r w:rsidRPr="000F79DF">
        <w:rPr>
          <w:rFonts w:ascii="Arial" w:hAnsi="Arial" w:cs="Arial"/>
        </w:rPr>
        <w:t>Figure shows relative levels of CatD, the amyloid precursor protein (APP), C-terminal fragments of the latter (CTFs) that include the immediate precursors to Aß, insulin-degrading enzyme (IDE), neprilysin (NEP)  and, as a loading control, GAPDH.</w:t>
      </w:r>
    </w:p>
    <w:p w:rsidR="005A39D6" w:rsidRDefault="005A39D6" w:rsidP="005A39D6">
      <w:pPr>
        <w:rPr>
          <w:rFonts w:ascii="Arial" w:hAnsi="Arial"/>
          <w:b/>
          <w:sz w:val="22"/>
        </w:rPr>
      </w:pPr>
      <w:r w:rsidRPr="00A91B1B">
        <w:rPr>
          <w:rFonts w:ascii="Arial" w:hAnsi="Arial"/>
          <w:sz w:val="22"/>
        </w:rPr>
        <w:br w:type="page"/>
      </w:r>
      <w:r w:rsidRPr="00E97D78">
        <w:rPr>
          <w:rFonts w:ascii="Arial" w:hAnsi="Arial"/>
          <w:b/>
        </w:rPr>
        <w:lastRenderedPageBreak/>
        <w:t>Figure S2</w:t>
      </w:r>
    </w:p>
    <w:p w:rsidR="005A39D6" w:rsidRDefault="005A39D6" w:rsidP="005A39D6">
      <w:pPr>
        <w:rPr>
          <w:rFonts w:ascii="Arial" w:hAnsi="Arial"/>
          <w:b/>
          <w:sz w:val="22"/>
        </w:rPr>
      </w:pPr>
    </w:p>
    <w:p w:rsidR="005A39D6" w:rsidRPr="004B0DFC" w:rsidRDefault="005A39D6" w:rsidP="005A39D6">
      <w:pPr>
        <w:jc w:val="center"/>
        <w:rPr>
          <w:rFonts w:ascii="Arial" w:hAnsi="Arial"/>
          <w:b/>
          <w:sz w:val="22"/>
        </w:rPr>
      </w:pPr>
      <w:r>
        <w:rPr>
          <w:rFonts w:ascii="Arial" w:hAnsi="Arial"/>
          <w:b/>
          <w:noProof/>
          <w:sz w:val="22"/>
        </w:rPr>
        <w:drawing>
          <wp:inline distT="0" distB="0" distL="0" distR="0" wp14:anchorId="09205E78" wp14:editId="39D4D871">
            <wp:extent cx="4107040" cy="5249545"/>
            <wp:effectExtent l="0" t="0" r="0" b="0"/>
            <wp:docPr id="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stretch>
                      <a:fillRect/>
                    </a:stretch>
                  </pic:blipFill>
                  <pic:spPr bwMode="auto">
                    <a:xfrm>
                      <a:off x="0" y="0"/>
                      <a:ext cx="4107040" cy="5249545"/>
                    </a:xfrm>
                    <a:prstGeom prst="rect">
                      <a:avLst/>
                    </a:prstGeom>
                    <a:noFill/>
                    <a:ln>
                      <a:noFill/>
                    </a:ln>
                  </pic:spPr>
                </pic:pic>
              </a:graphicData>
            </a:graphic>
          </wp:inline>
        </w:drawing>
      </w:r>
    </w:p>
    <w:p w:rsidR="005A39D6" w:rsidRPr="00A91B1B" w:rsidRDefault="005A39D6" w:rsidP="005A39D6">
      <w:pPr>
        <w:rPr>
          <w:rFonts w:ascii="Arial" w:hAnsi="Arial"/>
          <w:sz w:val="22"/>
        </w:rPr>
      </w:pPr>
    </w:p>
    <w:p w:rsidR="009621A9" w:rsidRDefault="005A39D6" w:rsidP="005A39D6">
      <w:pPr>
        <w:rPr>
          <w:rFonts w:ascii="Arial" w:hAnsi="Arial"/>
          <w:b/>
        </w:rPr>
      </w:pPr>
      <w:r w:rsidRPr="00156C44">
        <w:rPr>
          <w:rFonts w:ascii="Arial" w:hAnsi="Arial" w:cs="Arial"/>
          <w:b/>
        </w:rPr>
        <w:t>Figure S</w:t>
      </w:r>
      <w:r>
        <w:rPr>
          <w:rFonts w:ascii="Arial" w:hAnsi="Arial" w:cs="Arial"/>
          <w:b/>
        </w:rPr>
        <w:t>2</w:t>
      </w:r>
      <w:r w:rsidRPr="00156C44">
        <w:rPr>
          <w:rFonts w:ascii="Arial" w:hAnsi="Arial" w:cs="Arial"/>
          <w:b/>
        </w:rPr>
        <w:t xml:space="preserve">. </w:t>
      </w:r>
      <w:r w:rsidR="002931A5" w:rsidRPr="00150A16">
        <w:rPr>
          <w:rFonts w:ascii="Arial" w:hAnsi="Arial" w:cs="Arial"/>
          <w:b/>
        </w:rPr>
        <w:t>Soluble Aß42 and Aß40 levels in CatD-KO, -HET and -WT brains</w:t>
      </w:r>
      <w:r w:rsidRPr="002931A5">
        <w:rPr>
          <w:rFonts w:ascii="Arial" w:hAnsi="Arial"/>
          <w:b/>
        </w:rPr>
        <w:t>.</w:t>
      </w:r>
      <w:r>
        <w:rPr>
          <w:rFonts w:ascii="Arial" w:hAnsi="Arial"/>
        </w:rPr>
        <w:t xml:space="preserve"> </w:t>
      </w:r>
      <w:r w:rsidRPr="00037B14">
        <w:rPr>
          <w:rFonts w:ascii="Arial" w:hAnsi="Arial" w:cs="Arial"/>
          <w:b/>
          <w:i/>
        </w:rPr>
        <w:t>A</w:t>
      </w:r>
      <w:r w:rsidRPr="00037B14">
        <w:rPr>
          <w:rFonts w:ascii="Arial" w:hAnsi="Arial" w:cs="Arial"/>
        </w:rPr>
        <w:t>,</w:t>
      </w:r>
      <w:r w:rsidRPr="00037B14">
        <w:rPr>
          <w:rFonts w:ascii="Arial" w:hAnsi="Arial" w:cs="Arial"/>
          <w:b/>
          <w:i/>
        </w:rPr>
        <w:t>B</w:t>
      </w:r>
      <w:r>
        <w:rPr>
          <w:rFonts w:ascii="Arial" w:hAnsi="Arial" w:cs="Arial"/>
        </w:rPr>
        <w:t xml:space="preserve">, </w:t>
      </w:r>
      <w:r w:rsidRPr="00037B14">
        <w:rPr>
          <w:rFonts w:ascii="Arial" w:hAnsi="Arial" w:cs="Arial"/>
        </w:rPr>
        <w:t xml:space="preserve">Levels of </w:t>
      </w:r>
      <w:r>
        <w:rPr>
          <w:rFonts w:ascii="Arial" w:hAnsi="Arial" w:cs="Arial"/>
        </w:rPr>
        <w:t xml:space="preserve">soluble, </w:t>
      </w:r>
      <w:r w:rsidRPr="00037B14">
        <w:rPr>
          <w:rFonts w:ascii="Arial" w:hAnsi="Arial" w:cs="Arial"/>
        </w:rPr>
        <w:t>endogenous brain Aß42 (</w:t>
      </w:r>
      <w:r w:rsidRPr="00037B14">
        <w:rPr>
          <w:rFonts w:ascii="Arial" w:hAnsi="Arial" w:cs="Arial"/>
          <w:b/>
          <w:i/>
        </w:rPr>
        <w:t>A</w:t>
      </w:r>
      <w:r>
        <w:rPr>
          <w:rFonts w:ascii="Arial" w:hAnsi="Arial" w:cs="Arial"/>
        </w:rPr>
        <w:t xml:space="preserve">) </w:t>
      </w:r>
      <w:r w:rsidRPr="00037B14">
        <w:rPr>
          <w:rFonts w:ascii="Arial" w:hAnsi="Arial" w:cs="Arial"/>
        </w:rPr>
        <w:t>and Aß40 (</w:t>
      </w:r>
      <w:r w:rsidRPr="00037B14">
        <w:rPr>
          <w:rFonts w:ascii="Arial" w:hAnsi="Arial" w:cs="Arial"/>
          <w:b/>
          <w:i/>
        </w:rPr>
        <w:t>B</w:t>
      </w:r>
      <w:r w:rsidRPr="00037B14">
        <w:rPr>
          <w:rFonts w:ascii="Arial" w:hAnsi="Arial" w:cs="Arial"/>
        </w:rPr>
        <w:t xml:space="preserve">) in </w:t>
      </w:r>
      <w:r w:rsidR="002931A5">
        <w:rPr>
          <w:rFonts w:ascii="Arial" w:hAnsi="Arial" w:cs="Arial"/>
        </w:rPr>
        <w:t>CatD-</w:t>
      </w:r>
      <w:r>
        <w:rPr>
          <w:rFonts w:ascii="Arial" w:hAnsi="Arial" w:cs="Arial"/>
        </w:rPr>
        <w:t>KO</w:t>
      </w:r>
      <w:r w:rsidR="002931A5">
        <w:rPr>
          <w:rFonts w:ascii="Arial" w:hAnsi="Arial" w:cs="Arial"/>
        </w:rPr>
        <w:t>, -HET</w:t>
      </w:r>
      <w:r>
        <w:rPr>
          <w:rFonts w:ascii="Arial" w:hAnsi="Arial" w:cs="Arial"/>
        </w:rPr>
        <w:t xml:space="preserve"> and </w:t>
      </w:r>
      <w:r w:rsidR="002931A5">
        <w:rPr>
          <w:rFonts w:ascii="Arial" w:hAnsi="Arial" w:cs="Arial"/>
        </w:rPr>
        <w:noBreakHyphen/>
      </w:r>
      <w:r>
        <w:rPr>
          <w:rFonts w:ascii="Arial" w:hAnsi="Arial" w:cs="Arial"/>
        </w:rPr>
        <w:t xml:space="preserve">WT mice as a function of age. Data are mean ± SEM for 4-6 replicates per group.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1; </w:t>
      </w:r>
      <w:r>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01. </w:t>
      </w:r>
      <w:r w:rsidRPr="00037B14">
        <w:rPr>
          <w:rFonts w:ascii="Arial" w:hAnsi="Arial" w:cs="Arial"/>
          <w:b/>
          <w:i/>
        </w:rPr>
        <w:t>C</w:t>
      </w:r>
      <w:r>
        <w:rPr>
          <w:rFonts w:ascii="Arial" w:hAnsi="Arial" w:cs="Arial"/>
        </w:rPr>
        <w:t>,</w:t>
      </w:r>
      <w:r w:rsidRPr="00F862E2">
        <w:rPr>
          <w:rFonts w:ascii="Arial" w:hAnsi="Arial" w:cs="Arial"/>
          <w:b/>
          <w:i/>
        </w:rPr>
        <w:t>D</w:t>
      </w:r>
      <w:r>
        <w:rPr>
          <w:rFonts w:ascii="Arial" w:hAnsi="Arial" w:cs="Arial"/>
        </w:rPr>
        <w:t>, Soluble Aß42/40 ratios (</w:t>
      </w:r>
      <w:r w:rsidRPr="00F862E2">
        <w:rPr>
          <w:rFonts w:ascii="Arial" w:hAnsi="Arial" w:cs="Arial"/>
          <w:b/>
          <w:i/>
        </w:rPr>
        <w:t>C</w:t>
      </w:r>
      <w:r>
        <w:rPr>
          <w:rFonts w:ascii="Arial" w:hAnsi="Arial" w:cs="Arial"/>
        </w:rPr>
        <w:t xml:space="preserve">) are significantly decreased in </w:t>
      </w:r>
      <w:r w:rsidR="002931A5">
        <w:rPr>
          <w:rFonts w:ascii="Arial" w:hAnsi="Arial" w:cs="Arial"/>
        </w:rPr>
        <w:t>CatD-</w:t>
      </w:r>
      <w:r>
        <w:rPr>
          <w:rFonts w:ascii="Arial" w:hAnsi="Arial" w:cs="Arial"/>
        </w:rPr>
        <w:t>KO mice relative to WT controls, whereas total (combined soluble and insoluble Aß) Aß42/40 ratios are increased</w:t>
      </w:r>
      <w:r w:rsidR="002931A5">
        <w:rPr>
          <w:rFonts w:ascii="Arial" w:hAnsi="Arial" w:cs="Arial"/>
        </w:rPr>
        <w:t xml:space="preserve"> (</w:t>
      </w:r>
      <w:r w:rsidR="002931A5" w:rsidRPr="00F862E2">
        <w:rPr>
          <w:rFonts w:ascii="Arial" w:hAnsi="Arial" w:cs="Arial"/>
          <w:b/>
        </w:rPr>
        <w:t>D</w:t>
      </w:r>
      <w:r w:rsidR="002931A5">
        <w:rPr>
          <w:rFonts w:ascii="Arial" w:hAnsi="Arial" w:cs="Arial"/>
        </w:rPr>
        <w:t>).  Note that both soluble and total Aß42/40 ratios are not significantly changed in NEP-KO, IDE-KO or NEP/IDE-DKO mice relative to their line-specific WT controls</w:t>
      </w:r>
      <w:r>
        <w:rPr>
          <w:rFonts w:ascii="Arial" w:hAnsi="Arial" w:cs="Arial"/>
        </w:rPr>
        <w:t>. Data are mean ± SEM for 28-30 replicates per group</w:t>
      </w:r>
      <w:r w:rsidR="002931A5">
        <w:rPr>
          <w:rFonts w:ascii="Arial" w:hAnsi="Arial" w:cs="Arial"/>
        </w:rPr>
        <w:t xml:space="preserve"> for CatD-KO and -WT mice and </w:t>
      </w:r>
      <w:r w:rsidR="007F1893">
        <w:rPr>
          <w:rFonts w:ascii="Arial" w:hAnsi="Arial" w:cs="Arial"/>
        </w:rPr>
        <w:t>5</w:t>
      </w:r>
      <w:r w:rsidR="002931A5">
        <w:rPr>
          <w:rFonts w:ascii="Arial" w:hAnsi="Arial" w:cs="Arial"/>
        </w:rPr>
        <w:t>-11 replicates per group for the other genotypes</w:t>
      </w:r>
      <w:r>
        <w:rPr>
          <w:rFonts w:ascii="Arial" w:hAnsi="Arial" w:cs="Arial"/>
        </w:rPr>
        <w:t xml:space="preserve">.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001.  </w:t>
      </w:r>
      <w:r>
        <w:rPr>
          <w:rFonts w:ascii="Arial" w:hAnsi="Arial" w:cs="Arial"/>
          <w:b/>
          <w:i/>
        </w:rPr>
        <w:t>E</w:t>
      </w:r>
      <w:r w:rsidRPr="00037B14">
        <w:rPr>
          <w:rFonts w:ascii="Arial" w:hAnsi="Arial" w:cs="Arial"/>
        </w:rPr>
        <w:t>,</w:t>
      </w:r>
      <w:r>
        <w:rPr>
          <w:rFonts w:ascii="Arial" w:hAnsi="Arial" w:cs="Arial"/>
          <w:b/>
          <w:i/>
        </w:rPr>
        <w:t>F</w:t>
      </w:r>
      <w:r>
        <w:rPr>
          <w:rFonts w:ascii="Arial" w:hAnsi="Arial" w:cs="Arial"/>
        </w:rPr>
        <w:t xml:space="preserve">, </w:t>
      </w:r>
      <w:r w:rsidRPr="00037B14">
        <w:rPr>
          <w:rFonts w:ascii="Arial" w:hAnsi="Arial" w:cs="Arial"/>
        </w:rPr>
        <w:t xml:space="preserve">Levels of </w:t>
      </w:r>
      <w:r>
        <w:rPr>
          <w:rFonts w:ascii="Arial" w:hAnsi="Arial" w:cs="Arial"/>
        </w:rPr>
        <w:t xml:space="preserve">soluble, </w:t>
      </w:r>
      <w:r w:rsidRPr="00037B14">
        <w:rPr>
          <w:rFonts w:ascii="Arial" w:hAnsi="Arial" w:cs="Arial"/>
        </w:rPr>
        <w:t>endogenous brain Aß42 (</w:t>
      </w:r>
      <w:r>
        <w:rPr>
          <w:rFonts w:ascii="Arial" w:hAnsi="Arial" w:cs="Arial"/>
          <w:b/>
          <w:i/>
        </w:rPr>
        <w:t>E</w:t>
      </w:r>
      <w:r>
        <w:rPr>
          <w:rFonts w:ascii="Arial" w:hAnsi="Arial" w:cs="Arial"/>
        </w:rPr>
        <w:t xml:space="preserve">) </w:t>
      </w:r>
      <w:r w:rsidRPr="00037B14">
        <w:rPr>
          <w:rFonts w:ascii="Arial" w:hAnsi="Arial" w:cs="Arial"/>
        </w:rPr>
        <w:t>and Aß40 (</w:t>
      </w:r>
      <w:r>
        <w:rPr>
          <w:rFonts w:ascii="Arial" w:hAnsi="Arial" w:cs="Arial"/>
          <w:b/>
          <w:i/>
        </w:rPr>
        <w:t>F</w:t>
      </w:r>
      <w:r w:rsidRPr="00037B14">
        <w:rPr>
          <w:rFonts w:ascii="Arial" w:hAnsi="Arial" w:cs="Arial"/>
        </w:rPr>
        <w:t xml:space="preserve">) </w:t>
      </w:r>
      <w:r>
        <w:rPr>
          <w:rFonts w:ascii="Arial" w:hAnsi="Arial" w:cs="Arial"/>
        </w:rPr>
        <w:t>in 15</w:t>
      </w:r>
      <w:r>
        <w:rPr>
          <w:rFonts w:ascii="Arial" w:hAnsi="Arial" w:cs="Arial"/>
        </w:rPr>
        <w:noBreakHyphen/>
        <w:t xml:space="preserve"> and 26-d-old CatD-KO mice as compared to 26-d-old NEP-KO IDE-KO and NEP/IDE-DKO mice and their respective controls.  Data are mean ± SEM for 4-6 replicates per group.  *</w:t>
      </w:r>
      <w:r>
        <w:rPr>
          <w:rFonts w:ascii="Arial" w:hAnsi="Arial" w:cs="Arial"/>
          <w:i/>
        </w:rPr>
        <w:t>p</w:t>
      </w:r>
      <w:r>
        <w:rPr>
          <w:rFonts w:ascii="Arial" w:hAnsi="Arial" w:cs="Arial"/>
        </w:rPr>
        <w:t xml:space="preserve">&lt;0.05;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1; </w:t>
      </w:r>
      <w:r>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01;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001.  </w:t>
      </w:r>
      <w:r>
        <w:rPr>
          <w:rFonts w:ascii="Arial" w:hAnsi="Arial" w:cs="Arial"/>
        </w:rPr>
        <w:br w:type="page"/>
      </w:r>
      <w:r w:rsidR="009621A9">
        <w:rPr>
          <w:rFonts w:ascii="Arial" w:hAnsi="Arial"/>
          <w:b/>
        </w:rPr>
        <w:lastRenderedPageBreak/>
        <w:t>Figure S3</w:t>
      </w:r>
    </w:p>
    <w:p w:rsidR="009621A9" w:rsidRDefault="009621A9" w:rsidP="005A39D6">
      <w:pPr>
        <w:rPr>
          <w:rFonts w:ascii="Arial" w:hAnsi="Arial"/>
          <w:b/>
        </w:rPr>
      </w:pPr>
    </w:p>
    <w:p w:rsidR="009621A9" w:rsidRDefault="009621A9" w:rsidP="005A39D6">
      <w:pPr>
        <w:rPr>
          <w:rFonts w:ascii="Arial" w:hAnsi="Arial"/>
          <w:b/>
        </w:rPr>
      </w:pPr>
    </w:p>
    <w:p w:rsidR="009621A9" w:rsidRDefault="009621A9" w:rsidP="005A39D6">
      <w:pPr>
        <w:rPr>
          <w:rFonts w:ascii="Arial" w:hAnsi="Arial"/>
          <w:b/>
        </w:rPr>
      </w:pPr>
    </w:p>
    <w:p w:rsidR="00674672" w:rsidRDefault="00674672" w:rsidP="005A39D6">
      <w:pPr>
        <w:rPr>
          <w:rFonts w:ascii="Arial" w:hAnsi="Arial"/>
          <w:b/>
        </w:rPr>
      </w:pPr>
    </w:p>
    <w:p w:rsidR="00674672" w:rsidRDefault="00674672" w:rsidP="005A39D6">
      <w:pPr>
        <w:rPr>
          <w:rFonts w:ascii="Arial" w:hAnsi="Arial"/>
          <w:b/>
        </w:rPr>
      </w:pPr>
    </w:p>
    <w:p w:rsidR="009621A9" w:rsidRDefault="009621A9" w:rsidP="005A39D6">
      <w:pPr>
        <w:rPr>
          <w:rFonts w:ascii="Arial" w:hAnsi="Arial"/>
          <w:b/>
        </w:rPr>
      </w:pPr>
    </w:p>
    <w:p w:rsidR="009621A9" w:rsidRPr="001E6E27" w:rsidRDefault="009621A9" w:rsidP="009621A9">
      <w:pPr>
        <w:jc w:val="center"/>
        <w:rPr>
          <w:rFonts w:ascii="Arial" w:hAnsi="Arial"/>
          <w:b/>
          <w:vertAlign w:val="subscript"/>
        </w:rPr>
      </w:pPr>
      <w:r>
        <w:rPr>
          <w:rFonts w:ascii="Arial" w:hAnsi="Arial"/>
          <w:b/>
          <w:noProof/>
        </w:rPr>
        <w:drawing>
          <wp:inline distT="0" distB="0" distL="0" distR="0">
            <wp:extent cx="506988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 Aß data flat.tif"/>
                    <pic:cNvPicPr/>
                  </pic:nvPicPr>
                  <pic:blipFill>
                    <a:blip r:embed="rId10"/>
                    <a:stretch>
                      <a:fillRect/>
                    </a:stretch>
                  </pic:blipFill>
                  <pic:spPr>
                    <a:xfrm>
                      <a:off x="0" y="0"/>
                      <a:ext cx="5103565" cy="2991545"/>
                    </a:xfrm>
                    <a:prstGeom prst="rect">
                      <a:avLst/>
                    </a:prstGeom>
                  </pic:spPr>
                </pic:pic>
              </a:graphicData>
            </a:graphic>
          </wp:inline>
        </w:drawing>
      </w:r>
    </w:p>
    <w:p w:rsidR="009621A9" w:rsidRDefault="009621A9" w:rsidP="005A39D6">
      <w:pPr>
        <w:rPr>
          <w:rFonts w:ascii="Arial" w:hAnsi="Arial"/>
          <w:b/>
        </w:rPr>
      </w:pPr>
    </w:p>
    <w:p w:rsidR="009621A9" w:rsidRDefault="009621A9" w:rsidP="005A39D6">
      <w:pPr>
        <w:rPr>
          <w:rFonts w:ascii="Arial" w:hAnsi="Arial"/>
          <w:b/>
        </w:rPr>
      </w:pPr>
    </w:p>
    <w:p w:rsidR="00674672" w:rsidRDefault="00674672">
      <w:pPr>
        <w:rPr>
          <w:rFonts w:ascii="Arial" w:hAnsi="Arial"/>
          <w:b/>
        </w:rPr>
      </w:pPr>
    </w:p>
    <w:p w:rsidR="00674672" w:rsidRDefault="00674672">
      <w:pPr>
        <w:rPr>
          <w:rFonts w:ascii="Arial" w:hAnsi="Arial"/>
          <w:b/>
        </w:rPr>
      </w:pPr>
    </w:p>
    <w:p w:rsidR="00674672" w:rsidRDefault="00674672" w:rsidP="00674672">
      <w:pPr>
        <w:rPr>
          <w:rFonts w:ascii="Arial" w:hAnsi="Arial" w:cs="Arial"/>
          <w:b/>
        </w:rPr>
      </w:pPr>
    </w:p>
    <w:p w:rsidR="00674672" w:rsidRDefault="00674672" w:rsidP="00674672">
      <w:pPr>
        <w:rPr>
          <w:rFonts w:ascii="Arial" w:hAnsi="Arial" w:cs="Arial"/>
          <w:b/>
        </w:rPr>
      </w:pPr>
    </w:p>
    <w:p w:rsidR="00674672" w:rsidRDefault="00674672" w:rsidP="00674672">
      <w:pPr>
        <w:rPr>
          <w:rFonts w:ascii="Arial" w:hAnsi="Arial" w:cs="Arial"/>
          <w:b/>
        </w:rPr>
      </w:pPr>
    </w:p>
    <w:p w:rsidR="00674672" w:rsidRDefault="00674672" w:rsidP="00674672">
      <w:pPr>
        <w:rPr>
          <w:rFonts w:ascii="Arial" w:hAnsi="Arial" w:cs="Arial"/>
          <w:b/>
        </w:rPr>
      </w:pPr>
    </w:p>
    <w:p w:rsidR="009621A9" w:rsidRDefault="00674672" w:rsidP="00674672">
      <w:pPr>
        <w:rPr>
          <w:rFonts w:ascii="Arial" w:hAnsi="Arial"/>
          <w:b/>
        </w:rPr>
      </w:pPr>
      <w:r w:rsidRPr="00156C44">
        <w:rPr>
          <w:rFonts w:ascii="Arial" w:hAnsi="Arial" w:cs="Arial"/>
          <w:b/>
        </w:rPr>
        <w:t>Figure S</w:t>
      </w:r>
      <w:r>
        <w:rPr>
          <w:rFonts w:ascii="Arial" w:hAnsi="Arial" w:cs="Arial"/>
          <w:b/>
        </w:rPr>
        <w:t>3</w:t>
      </w:r>
      <w:r w:rsidRPr="00156C44">
        <w:rPr>
          <w:rFonts w:ascii="Arial" w:hAnsi="Arial" w:cs="Arial"/>
          <w:b/>
        </w:rPr>
        <w:t xml:space="preserve">. </w:t>
      </w:r>
      <w:r w:rsidR="000039DD">
        <w:rPr>
          <w:rFonts w:ascii="Arial" w:hAnsi="Arial"/>
          <w:b/>
        </w:rPr>
        <w:t>Cerebral Aß levels are unchanged in a</w:t>
      </w:r>
      <w:r w:rsidR="00EB6086">
        <w:rPr>
          <w:rFonts w:ascii="Arial" w:hAnsi="Arial"/>
          <w:b/>
        </w:rPr>
        <w:t>nother</w:t>
      </w:r>
      <w:r w:rsidR="000039DD">
        <w:rPr>
          <w:rFonts w:ascii="Arial" w:hAnsi="Arial"/>
          <w:b/>
        </w:rPr>
        <w:t xml:space="preserve"> mouse model </w:t>
      </w:r>
      <w:r w:rsidR="00EB6086">
        <w:rPr>
          <w:rFonts w:ascii="Arial" w:hAnsi="Arial"/>
          <w:b/>
        </w:rPr>
        <w:t xml:space="preserve">featuring </w:t>
      </w:r>
      <w:r w:rsidR="000039DD">
        <w:rPr>
          <w:rFonts w:ascii="Arial" w:hAnsi="Arial"/>
          <w:b/>
        </w:rPr>
        <w:t>profound lysosomal dysfunction</w:t>
      </w:r>
      <w:r w:rsidR="00EB6086">
        <w:rPr>
          <w:rFonts w:ascii="Arial" w:hAnsi="Arial"/>
          <w:b/>
        </w:rPr>
        <w:t xml:space="preserve"> and premature lethality</w:t>
      </w:r>
      <w:r w:rsidR="000039DD">
        <w:rPr>
          <w:rFonts w:ascii="Arial" w:hAnsi="Arial"/>
          <w:b/>
        </w:rPr>
        <w:t>.</w:t>
      </w:r>
      <w:r>
        <w:rPr>
          <w:rFonts w:ascii="Arial" w:hAnsi="Arial"/>
        </w:rPr>
        <w:t xml:space="preserve"> </w:t>
      </w:r>
      <w:r w:rsidRPr="00037B14">
        <w:rPr>
          <w:rFonts w:ascii="Arial" w:hAnsi="Arial" w:cs="Arial"/>
          <w:b/>
          <w:i/>
        </w:rPr>
        <w:t>A</w:t>
      </w:r>
      <w:r>
        <w:rPr>
          <w:rFonts w:ascii="Arial" w:hAnsi="Arial" w:cs="Arial"/>
        </w:rPr>
        <w:t>,</w:t>
      </w:r>
      <w:r w:rsidR="001E6E27">
        <w:rPr>
          <w:rFonts w:ascii="Arial" w:hAnsi="Arial" w:cs="Arial"/>
          <w:b/>
          <w:i/>
        </w:rPr>
        <w:t>D,</w:t>
      </w:r>
      <w:r>
        <w:rPr>
          <w:rFonts w:ascii="Arial" w:hAnsi="Arial" w:cs="Arial"/>
        </w:rPr>
        <w:t xml:space="preserve"> </w:t>
      </w:r>
      <w:r w:rsidR="001E6E27">
        <w:rPr>
          <w:rFonts w:ascii="Arial" w:hAnsi="Arial" w:cs="Arial"/>
        </w:rPr>
        <w:t>L</w:t>
      </w:r>
      <w:r w:rsidRPr="00037B14">
        <w:rPr>
          <w:rFonts w:ascii="Arial" w:hAnsi="Arial" w:cs="Arial"/>
        </w:rPr>
        <w:t xml:space="preserve">evels of </w:t>
      </w:r>
      <w:r w:rsidR="001E6E27">
        <w:rPr>
          <w:rFonts w:ascii="Arial" w:hAnsi="Arial" w:cs="Arial"/>
        </w:rPr>
        <w:t xml:space="preserve">endogenous </w:t>
      </w:r>
      <w:r w:rsidR="000039DD">
        <w:rPr>
          <w:rFonts w:ascii="Arial" w:hAnsi="Arial" w:cs="Arial"/>
        </w:rPr>
        <w:t>in</w:t>
      </w:r>
      <w:r>
        <w:rPr>
          <w:rFonts w:ascii="Arial" w:hAnsi="Arial" w:cs="Arial"/>
        </w:rPr>
        <w:t>soluble</w:t>
      </w:r>
      <w:r w:rsidRPr="00037B14">
        <w:rPr>
          <w:rFonts w:ascii="Arial" w:hAnsi="Arial" w:cs="Arial"/>
        </w:rPr>
        <w:t xml:space="preserve"> Aß42 (</w:t>
      </w:r>
      <w:r w:rsidRPr="00037B14">
        <w:rPr>
          <w:rFonts w:ascii="Arial" w:hAnsi="Arial" w:cs="Arial"/>
          <w:b/>
          <w:i/>
        </w:rPr>
        <w:t>A</w:t>
      </w:r>
      <w:r>
        <w:rPr>
          <w:rFonts w:ascii="Arial" w:hAnsi="Arial" w:cs="Arial"/>
        </w:rPr>
        <w:t>)</w:t>
      </w:r>
      <w:r w:rsidR="001E6E27">
        <w:rPr>
          <w:rFonts w:ascii="Arial" w:hAnsi="Arial" w:cs="Arial"/>
        </w:rPr>
        <w:t xml:space="preserve"> and  </w:t>
      </w:r>
      <w:r w:rsidRPr="00037B14">
        <w:rPr>
          <w:rFonts w:ascii="Arial" w:hAnsi="Arial" w:cs="Arial"/>
        </w:rPr>
        <w:t>Aß40 (</w:t>
      </w:r>
      <w:r w:rsidRPr="00037B14">
        <w:rPr>
          <w:rFonts w:ascii="Arial" w:hAnsi="Arial" w:cs="Arial"/>
          <w:b/>
          <w:i/>
        </w:rPr>
        <w:t>B</w:t>
      </w:r>
      <w:r w:rsidRPr="00037B14">
        <w:rPr>
          <w:rFonts w:ascii="Arial" w:hAnsi="Arial" w:cs="Arial"/>
        </w:rPr>
        <w:t xml:space="preserve">) </w:t>
      </w:r>
      <w:r w:rsidR="005F4FE2">
        <w:rPr>
          <w:rFonts w:ascii="Arial" w:hAnsi="Arial" w:cs="Arial"/>
        </w:rPr>
        <w:t>as well as</w:t>
      </w:r>
      <w:r w:rsidR="001E6E27">
        <w:rPr>
          <w:rFonts w:ascii="Arial" w:hAnsi="Arial" w:cs="Arial"/>
        </w:rPr>
        <w:t xml:space="preserve"> soluble </w:t>
      </w:r>
      <w:r w:rsidR="001E6E27" w:rsidRPr="00037B14">
        <w:rPr>
          <w:rFonts w:ascii="Arial" w:hAnsi="Arial" w:cs="Arial"/>
        </w:rPr>
        <w:t>Aß42 (</w:t>
      </w:r>
      <w:r w:rsidR="001E6E27">
        <w:rPr>
          <w:rFonts w:ascii="Arial" w:hAnsi="Arial" w:cs="Arial"/>
          <w:b/>
          <w:i/>
        </w:rPr>
        <w:t>C</w:t>
      </w:r>
      <w:r w:rsidR="001E6E27">
        <w:rPr>
          <w:rFonts w:ascii="Arial" w:hAnsi="Arial" w:cs="Arial"/>
        </w:rPr>
        <w:t xml:space="preserve">) </w:t>
      </w:r>
      <w:r w:rsidR="001E6E27" w:rsidRPr="00037B14">
        <w:rPr>
          <w:rFonts w:ascii="Arial" w:hAnsi="Arial" w:cs="Arial"/>
        </w:rPr>
        <w:t>and Aß40 (</w:t>
      </w:r>
      <w:r w:rsidR="001E6E27">
        <w:rPr>
          <w:rFonts w:ascii="Arial" w:hAnsi="Arial" w:cs="Arial"/>
          <w:b/>
          <w:i/>
        </w:rPr>
        <w:t>D</w:t>
      </w:r>
      <w:r w:rsidR="001E6E27" w:rsidRPr="00037B14">
        <w:rPr>
          <w:rFonts w:ascii="Arial" w:hAnsi="Arial" w:cs="Arial"/>
        </w:rPr>
        <w:t xml:space="preserve">) in </w:t>
      </w:r>
      <w:r w:rsidR="00EB6086">
        <w:rPr>
          <w:rFonts w:ascii="Arial" w:hAnsi="Arial" w:cs="Arial"/>
        </w:rPr>
        <w:t xml:space="preserve">CatD-KO </w:t>
      </w:r>
      <w:r w:rsidR="001E6E27">
        <w:rPr>
          <w:rFonts w:ascii="Arial" w:hAnsi="Arial" w:cs="Arial"/>
        </w:rPr>
        <w:t>and GALC</w:t>
      </w:r>
      <w:r w:rsidR="00EB6086" w:rsidRPr="00EB6086">
        <w:rPr>
          <w:rFonts w:ascii="Arial" w:hAnsi="Arial" w:cs="Arial"/>
          <w:vertAlign w:val="superscript"/>
        </w:rPr>
        <w:t>twi/twi</w:t>
      </w:r>
      <w:r w:rsidR="001E6E27">
        <w:rPr>
          <w:rFonts w:ascii="Arial" w:hAnsi="Arial" w:cs="Arial"/>
        </w:rPr>
        <w:t xml:space="preserve"> </w:t>
      </w:r>
      <w:r w:rsidR="00EB6086">
        <w:rPr>
          <w:rFonts w:ascii="Arial" w:hAnsi="Arial" w:cs="Arial"/>
        </w:rPr>
        <w:t>(</w:t>
      </w:r>
      <w:r w:rsidR="00EB6086" w:rsidRPr="00EB6086">
        <w:rPr>
          <w:rFonts w:ascii="Arial" w:hAnsi="Arial" w:cs="Arial"/>
          <w:i/>
        </w:rPr>
        <w:t>Twitcher</w:t>
      </w:r>
      <w:r w:rsidR="00EB6086">
        <w:rPr>
          <w:rFonts w:ascii="Arial" w:hAnsi="Arial" w:cs="Arial"/>
        </w:rPr>
        <w:t xml:space="preserve"> mouse) </w:t>
      </w:r>
      <w:r w:rsidR="001E6E27">
        <w:rPr>
          <w:rFonts w:ascii="Arial" w:hAnsi="Arial" w:cs="Arial"/>
        </w:rPr>
        <w:t xml:space="preserve">brains relative to </w:t>
      </w:r>
      <w:r w:rsidR="003F6FF4">
        <w:rPr>
          <w:rFonts w:ascii="Arial" w:hAnsi="Arial" w:cs="Arial"/>
        </w:rPr>
        <w:t xml:space="preserve">strain-specific </w:t>
      </w:r>
      <w:r w:rsidR="001E6E27">
        <w:rPr>
          <w:rFonts w:ascii="Arial" w:hAnsi="Arial" w:cs="Arial"/>
        </w:rPr>
        <w:t xml:space="preserve">WT littermate controls at different ages. Note that </w:t>
      </w:r>
      <w:r w:rsidR="003F6FF4">
        <w:rPr>
          <w:rFonts w:ascii="Arial" w:hAnsi="Arial" w:cs="Arial"/>
        </w:rPr>
        <w:t>GALC</w:t>
      </w:r>
      <w:r w:rsidR="003F6FF4" w:rsidRPr="00EB6086">
        <w:rPr>
          <w:rFonts w:ascii="Arial" w:hAnsi="Arial" w:cs="Arial"/>
          <w:vertAlign w:val="superscript"/>
        </w:rPr>
        <w:t>twi/twi</w:t>
      </w:r>
      <w:r w:rsidR="001E6E27">
        <w:rPr>
          <w:rFonts w:ascii="Arial" w:hAnsi="Arial" w:cs="Arial"/>
        </w:rPr>
        <w:t xml:space="preserve"> mice at </w:t>
      </w:r>
      <w:r w:rsidR="003F6FF4">
        <w:rPr>
          <w:rFonts w:ascii="Arial" w:hAnsi="Arial" w:cs="Arial"/>
        </w:rPr>
        <w:t>8</w:t>
      </w:r>
      <w:r w:rsidR="001E6E27">
        <w:rPr>
          <w:rFonts w:ascii="Arial" w:hAnsi="Arial" w:cs="Arial"/>
        </w:rPr>
        <w:t xml:space="preserve">0 d of age are at a similar state of moribundity as CatD-KO mice at 26 d of age.  </w:t>
      </w:r>
      <w:r>
        <w:rPr>
          <w:rFonts w:ascii="Arial" w:hAnsi="Arial" w:cs="Arial"/>
        </w:rPr>
        <w:t>Data are mean ± SEM for 6 replicates per group.  *</w:t>
      </w:r>
      <w:r>
        <w:rPr>
          <w:rFonts w:ascii="Arial" w:hAnsi="Arial" w:cs="Arial"/>
          <w:i/>
        </w:rPr>
        <w:t>p</w:t>
      </w:r>
      <w:r>
        <w:rPr>
          <w:rFonts w:ascii="Arial" w:hAnsi="Arial" w:cs="Arial"/>
        </w:rPr>
        <w:t xml:space="preserve">&lt;0.05;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1; </w:t>
      </w:r>
      <w:r>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01;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001.  </w:t>
      </w:r>
      <w:r w:rsidR="009621A9">
        <w:rPr>
          <w:rFonts w:ascii="Arial" w:hAnsi="Arial"/>
          <w:b/>
        </w:rPr>
        <w:br w:type="page"/>
      </w:r>
    </w:p>
    <w:p w:rsidR="005A39D6" w:rsidRDefault="005A39D6" w:rsidP="005A39D6">
      <w:pPr>
        <w:rPr>
          <w:rFonts w:ascii="Arial" w:hAnsi="Arial"/>
          <w:b/>
        </w:rPr>
      </w:pPr>
      <w:r>
        <w:rPr>
          <w:rFonts w:ascii="Arial" w:hAnsi="Arial"/>
          <w:b/>
        </w:rPr>
        <w:lastRenderedPageBreak/>
        <w:t xml:space="preserve">Figure </w:t>
      </w:r>
      <w:r w:rsidR="009621A9">
        <w:rPr>
          <w:rFonts w:ascii="Arial" w:hAnsi="Arial"/>
          <w:b/>
        </w:rPr>
        <w:t>S4</w:t>
      </w:r>
    </w:p>
    <w:p w:rsidR="005A39D6" w:rsidRDefault="005A39D6" w:rsidP="005A39D6">
      <w:pPr>
        <w:rPr>
          <w:rFonts w:ascii="Arial" w:hAnsi="Arial"/>
          <w:b/>
        </w:rPr>
      </w:pPr>
    </w:p>
    <w:p w:rsidR="005A39D6" w:rsidRPr="002B5C66" w:rsidRDefault="005A39D6" w:rsidP="005A39D6">
      <w:pPr>
        <w:jc w:val="center"/>
        <w:rPr>
          <w:rFonts w:ascii="Arial" w:hAnsi="Arial"/>
          <w:b/>
        </w:rPr>
      </w:pPr>
      <w:r>
        <w:rPr>
          <w:rFonts w:ascii="Arial" w:hAnsi="Arial"/>
          <w:b/>
          <w:noProof/>
        </w:rPr>
        <w:drawing>
          <wp:inline distT="0" distB="0" distL="0" distR="0" wp14:anchorId="35803F64" wp14:editId="140CBF17">
            <wp:extent cx="5982970" cy="3442970"/>
            <wp:effectExtent l="0" t="0" r="0" b="0"/>
            <wp:docPr id="2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2970" cy="3442970"/>
                    </a:xfrm>
                    <a:prstGeom prst="rect">
                      <a:avLst/>
                    </a:prstGeom>
                    <a:noFill/>
                    <a:ln>
                      <a:noFill/>
                    </a:ln>
                  </pic:spPr>
                </pic:pic>
              </a:graphicData>
            </a:graphic>
          </wp:inline>
        </w:drawing>
      </w:r>
    </w:p>
    <w:p w:rsidR="005A39D6" w:rsidRDefault="005A39D6" w:rsidP="005A39D6">
      <w:pPr>
        <w:rPr>
          <w:rFonts w:ascii="Arial" w:hAnsi="Arial"/>
          <w:b/>
          <w:sz w:val="32"/>
        </w:rPr>
      </w:pPr>
    </w:p>
    <w:p w:rsidR="005A39D6" w:rsidRDefault="005A39D6" w:rsidP="005A39D6">
      <w:pPr>
        <w:rPr>
          <w:rFonts w:ascii="Arial" w:hAnsi="Arial"/>
          <w:b/>
        </w:rPr>
      </w:pPr>
    </w:p>
    <w:p w:rsidR="005A39D6" w:rsidRDefault="005A39D6" w:rsidP="005A39D6">
      <w:pPr>
        <w:rPr>
          <w:rFonts w:ascii="Arial" w:hAnsi="Arial"/>
          <w:b/>
        </w:rPr>
      </w:pPr>
    </w:p>
    <w:p w:rsidR="005A39D6" w:rsidRDefault="005A39D6" w:rsidP="005A39D6">
      <w:pPr>
        <w:pStyle w:val="Heading3"/>
        <w:spacing w:before="360"/>
        <w:rPr>
          <w:sz w:val="24"/>
        </w:rPr>
      </w:pPr>
    </w:p>
    <w:p w:rsidR="005A39D6" w:rsidRDefault="005A39D6" w:rsidP="005A39D6">
      <w:pPr>
        <w:pStyle w:val="Heading3"/>
        <w:spacing w:before="360"/>
        <w:rPr>
          <w:sz w:val="24"/>
        </w:rPr>
      </w:pPr>
    </w:p>
    <w:p w:rsidR="005A39D6" w:rsidRDefault="005A39D6" w:rsidP="005A39D6">
      <w:pPr>
        <w:pStyle w:val="Heading3"/>
        <w:spacing w:before="360"/>
      </w:pPr>
      <w:r w:rsidRPr="007E71DB">
        <w:rPr>
          <w:sz w:val="24"/>
        </w:rPr>
        <w:t xml:space="preserve">Figure </w:t>
      </w:r>
      <w:r>
        <w:rPr>
          <w:sz w:val="24"/>
        </w:rPr>
        <w:t>S</w:t>
      </w:r>
      <w:r w:rsidR="009621A9">
        <w:rPr>
          <w:sz w:val="24"/>
        </w:rPr>
        <w:t>4</w:t>
      </w:r>
      <w:r w:rsidRPr="007E71DB">
        <w:rPr>
          <w:sz w:val="24"/>
        </w:rPr>
        <w:t xml:space="preserve">.  Immunohistochemical analysis shows selective accumulation of Aß42 in lysosomes and other intracellular compartments </w:t>
      </w:r>
      <w:r>
        <w:rPr>
          <w:sz w:val="24"/>
        </w:rPr>
        <w:t xml:space="preserve">of CatD-KO mice </w:t>
      </w:r>
      <w:r w:rsidRPr="007E71DB">
        <w:rPr>
          <w:sz w:val="24"/>
        </w:rPr>
        <w:t>by 3 weeks of age.</w:t>
      </w:r>
      <w:r w:rsidRPr="007E71DB">
        <w:rPr>
          <w:b w:val="0"/>
          <w:sz w:val="24"/>
        </w:rPr>
        <w:t xml:space="preserve">  </w:t>
      </w:r>
      <w:r w:rsidRPr="007E71DB">
        <w:rPr>
          <w:i/>
          <w:sz w:val="24"/>
        </w:rPr>
        <w:t>A</w:t>
      </w:r>
      <w:r w:rsidRPr="007E71DB">
        <w:rPr>
          <w:b w:val="0"/>
          <w:sz w:val="24"/>
        </w:rPr>
        <w:t>-</w:t>
      </w:r>
      <w:r w:rsidRPr="007E71DB">
        <w:rPr>
          <w:i/>
          <w:sz w:val="24"/>
        </w:rPr>
        <w:t>F</w:t>
      </w:r>
      <w:r w:rsidRPr="007E71DB">
        <w:rPr>
          <w:b w:val="0"/>
          <w:sz w:val="24"/>
        </w:rPr>
        <w:t>, Intracellular accumulation of Aß42 detected in brains of CatD-KO (</w:t>
      </w:r>
      <w:r w:rsidRPr="007E71DB">
        <w:rPr>
          <w:i/>
          <w:sz w:val="24"/>
        </w:rPr>
        <w:t>A</w:t>
      </w:r>
      <w:r w:rsidRPr="007E71DB">
        <w:rPr>
          <w:b w:val="0"/>
          <w:sz w:val="24"/>
        </w:rPr>
        <w:t xml:space="preserve">, </w:t>
      </w:r>
      <w:r w:rsidRPr="007E71DB">
        <w:rPr>
          <w:i/>
          <w:sz w:val="24"/>
        </w:rPr>
        <w:t>C</w:t>
      </w:r>
      <w:r w:rsidRPr="007E71DB">
        <w:rPr>
          <w:b w:val="0"/>
          <w:sz w:val="24"/>
        </w:rPr>
        <w:t xml:space="preserve">, </w:t>
      </w:r>
      <w:r w:rsidRPr="007E71DB">
        <w:rPr>
          <w:i/>
          <w:sz w:val="24"/>
        </w:rPr>
        <w:t>E</w:t>
      </w:r>
      <w:r w:rsidRPr="007E71DB">
        <w:rPr>
          <w:b w:val="0"/>
          <w:sz w:val="24"/>
        </w:rPr>
        <w:t>) but not WT (</w:t>
      </w:r>
      <w:r w:rsidRPr="007E71DB">
        <w:rPr>
          <w:i/>
          <w:sz w:val="24"/>
        </w:rPr>
        <w:t>B</w:t>
      </w:r>
      <w:r w:rsidRPr="007E71DB">
        <w:rPr>
          <w:b w:val="0"/>
          <w:sz w:val="24"/>
        </w:rPr>
        <w:t xml:space="preserve">, </w:t>
      </w:r>
      <w:r w:rsidRPr="007E71DB">
        <w:rPr>
          <w:i/>
          <w:sz w:val="24"/>
        </w:rPr>
        <w:t>D</w:t>
      </w:r>
      <w:r w:rsidRPr="007E71DB">
        <w:rPr>
          <w:b w:val="0"/>
          <w:sz w:val="24"/>
        </w:rPr>
        <w:t xml:space="preserve">, </w:t>
      </w:r>
      <w:r w:rsidRPr="007E71DB">
        <w:rPr>
          <w:i/>
          <w:sz w:val="24"/>
        </w:rPr>
        <w:t>F</w:t>
      </w:r>
      <w:r w:rsidRPr="007E71DB">
        <w:rPr>
          <w:b w:val="0"/>
          <w:sz w:val="24"/>
        </w:rPr>
        <w:t>) mice using well-characterized end-specific antibodies from Wako (</w:t>
      </w:r>
      <w:r w:rsidRPr="007E71DB">
        <w:rPr>
          <w:i/>
          <w:sz w:val="24"/>
        </w:rPr>
        <w:t>A</w:t>
      </w:r>
      <w:r w:rsidRPr="007E71DB">
        <w:rPr>
          <w:b w:val="0"/>
          <w:sz w:val="24"/>
        </w:rPr>
        <w:t>-</w:t>
      </w:r>
      <w:r w:rsidRPr="007E71DB">
        <w:rPr>
          <w:i/>
          <w:sz w:val="24"/>
        </w:rPr>
        <w:t>D</w:t>
      </w:r>
      <w:r w:rsidRPr="007E71DB">
        <w:rPr>
          <w:b w:val="0"/>
          <w:sz w:val="24"/>
        </w:rPr>
        <w:t>) and Mayo Clinic (</w:t>
      </w:r>
      <w:r w:rsidRPr="007E71DB">
        <w:rPr>
          <w:i/>
          <w:sz w:val="24"/>
        </w:rPr>
        <w:t>E</w:t>
      </w:r>
      <w:r w:rsidRPr="007E71DB">
        <w:rPr>
          <w:b w:val="0"/>
          <w:sz w:val="24"/>
        </w:rPr>
        <w:t>,</w:t>
      </w:r>
      <w:r w:rsidRPr="007E71DB">
        <w:rPr>
          <w:i/>
          <w:sz w:val="24"/>
        </w:rPr>
        <w:t>F</w:t>
      </w:r>
      <w:r w:rsidRPr="007E71DB">
        <w:rPr>
          <w:b w:val="0"/>
          <w:sz w:val="24"/>
        </w:rPr>
        <w:t xml:space="preserve">).  </w:t>
      </w:r>
      <w:r w:rsidRPr="007E71DB">
        <w:rPr>
          <w:i/>
          <w:sz w:val="24"/>
        </w:rPr>
        <w:t>G</w:t>
      </w:r>
      <w:r w:rsidRPr="007E71DB">
        <w:rPr>
          <w:b w:val="0"/>
          <w:sz w:val="24"/>
        </w:rPr>
        <w:t>,</w:t>
      </w:r>
      <w:r w:rsidRPr="007E71DB">
        <w:rPr>
          <w:i/>
          <w:sz w:val="24"/>
        </w:rPr>
        <w:t>H</w:t>
      </w:r>
      <w:r>
        <w:rPr>
          <w:b w:val="0"/>
          <w:sz w:val="24"/>
        </w:rPr>
        <w:t xml:space="preserve">, </w:t>
      </w:r>
      <w:r w:rsidRPr="007E71DB">
        <w:rPr>
          <w:b w:val="0"/>
          <w:sz w:val="24"/>
        </w:rPr>
        <w:t xml:space="preserve"> Colocalization of Aß42 (</w:t>
      </w:r>
      <w:r w:rsidRPr="007E71DB">
        <w:rPr>
          <w:b w:val="0"/>
          <w:i/>
          <w:sz w:val="24"/>
        </w:rPr>
        <w:t>red</w:t>
      </w:r>
      <w:r w:rsidRPr="007E71DB">
        <w:rPr>
          <w:b w:val="0"/>
          <w:sz w:val="24"/>
        </w:rPr>
        <w:t>) and the lysosomal marker Lamp2 (</w:t>
      </w:r>
      <w:r w:rsidRPr="007E71DB">
        <w:rPr>
          <w:b w:val="0"/>
          <w:i/>
          <w:sz w:val="24"/>
        </w:rPr>
        <w:t>green</w:t>
      </w:r>
      <w:r w:rsidRPr="007E71DB">
        <w:rPr>
          <w:b w:val="0"/>
          <w:sz w:val="24"/>
        </w:rPr>
        <w:t xml:space="preserve">) in cortical layers III – V of CatD-KO brain.  </w:t>
      </w:r>
      <w:r w:rsidRPr="007E71DB">
        <w:rPr>
          <w:i/>
          <w:sz w:val="24"/>
        </w:rPr>
        <w:t>H</w:t>
      </w:r>
      <w:r w:rsidRPr="007E71DB">
        <w:rPr>
          <w:b w:val="0"/>
          <w:sz w:val="24"/>
        </w:rPr>
        <w:t>, Higher resolution image showing that the overlap between Aß42 and Lamp2 in some cells (</w:t>
      </w:r>
      <w:r w:rsidRPr="00A164F3">
        <w:rPr>
          <w:b w:val="0"/>
          <w:i/>
          <w:sz w:val="24"/>
        </w:rPr>
        <w:t>arrows</w:t>
      </w:r>
      <w:r w:rsidRPr="007E71DB">
        <w:rPr>
          <w:b w:val="0"/>
          <w:sz w:val="24"/>
        </w:rPr>
        <w:t>);  notably, a subset of cells show no deposition of Aß42 (</w:t>
      </w:r>
      <w:r w:rsidRPr="007E71DB">
        <w:rPr>
          <w:b w:val="0"/>
          <w:i/>
          <w:sz w:val="24"/>
        </w:rPr>
        <w:t>arrowhead</w:t>
      </w:r>
      <w:r w:rsidRPr="007E71DB">
        <w:rPr>
          <w:b w:val="0"/>
          <w:sz w:val="24"/>
        </w:rPr>
        <w:t xml:space="preserve">).  </w:t>
      </w:r>
      <w:r w:rsidRPr="007E71DB">
        <w:rPr>
          <w:i/>
          <w:sz w:val="24"/>
        </w:rPr>
        <w:t>I</w:t>
      </w:r>
      <w:r w:rsidRPr="007E71DB">
        <w:rPr>
          <w:b w:val="0"/>
          <w:sz w:val="24"/>
        </w:rPr>
        <w:noBreakHyphen/>
      </w:r>
      <w:r w:rsidRPr="007E71DB">
        <w:rPr>
          <w:i/>
          <w:sz w:val="24"/>
        </w:rPr>
        <w:t>L</w:t>
      </w:r>
      <w:r w:rsidRPr="007E71DB">
        <w:rPr>
          <w:b w:val="0"/>
          <w:sz w:val="24"/>
        </w:rPr>
        <w:t>, Hippocampal CA1 pyramidal layer in a 3-week-old CatD-KO mouse stained with hematoxylin and eosin (</w:t>
      </w:r>
      <w:r w:rsidRPr="007E71DB">
        <w:rPr>
          <w:i/>
          <w:sz w:val="24"/>
        </w:rPr>
        <w:t>I</w:t>
      </w:r>
      <w:r w:rsidRPr="007E71DB">
        <w:rPr>
          <w:b w:val="0"/>
          <w:sz w:val="24"/>
        </w:rPr>
        <w:t>), thioflavin S (</w:t>
      </w:r>
      <w:r w:rsidRPr="007E71DB">
        <w:rPr>
          <w:i/>
          <w:sz w:val="24"/>
        </w:rPr>
        <w:t>J</w:t>
      </w:r>
      <w:r w:rsidRPr="007E71DB">
        <w:rPr>
          <w:b w:val="0"/>
          <w:sz w:val="24"/>
        </w:rPr>
        <w:t>), and Gallyas silver stain (</w:t>
      </w:r>
      <w:r w:rsidRPr="007E71DB">
        <w:rPr>
          <w:i/>
          <w:sz w:val="24"/>
        </w:rPr>
        <w:t>K</w:t>
      </w:r>
      <w:r w:rsidRPr="007E71DB">
        <w:rPr>
          <w:b w:val="0"/>
          <w:sz w:val="24"/>
        </w:rPr>
        <w:t>,</w:t>
      </w:r>
      <w:r w:rsidRPr="007E71DB">
        <w:rPr>
          <w:i/>
          <w:sz w:val="24"/>
        </w:rPr>
        <w:t>L</w:t>
      </w:r>
      <w:r w:rsidRPr="007E71DB">
        <w:rPr>
          <w:b w:val="0"/>
          <w:sz w:val="24"/>
        </w:rPr>
        <w:t xml:space="preserve">).   Note </w:t>
      </w:r>
      <w:r>
        <w:rPr>
          <w:b w:val="0"/>
          <w:sz w:val="24"/>
        </w:rPr>
        <w:t xml:space="preserve">the </w:t>
      </w:r>
      <w:r w:rsidRPr="007E71DB">
        <w:rPr>
          <w:b w:val="0"/>
          <w:sz w:val="24"/>
        </w:rPr>
        <w:t>presence of pyknotic cells with condensed nuclei (</w:t>
      </w:r>
      <w:r w:rsidRPr="007E71DB">
        <w:rPr>
          <w:i/>
          <w:sz w:val="24"/>
        </w:rPr>
        <w:t>I</w:t>
      </w:r>
      <w:r w:rsidRPr="007E71DB">
        <w:rPr>
          <w:b w:val="0"/>
          <w:sz w:val="24"/>
        </w:rPr>
        <w:t>) and the accumulation of thioflavin- (</w:t>
      </w:r>
      <w:r w:rsidRPr="007E71DB">
        <w:rPr>
          <w:i/>
          <w:sz w:val="24"/>
        </w:rPr>
        <w:t>J</w:t>
      </w:r>
      <w:r w:rsidRPr="007E71DB">
        <w:rPr>
          <w:b w:val="0"/>
          <w:sz w:val="24"/>
        </w:rPr>
        <w:t>) and Gallyus- (</w:t>
      </w:r>
      <w:r w:rsidRPr="007E71DB">
        <w:rPr>
          <w:i/>
          <w:sz w:val="24"/>
        </w:rPr>
        <w:t>K</w:t>
      </w:r>
      <w:r w:rsidRPr="007E71DB">
        <w:rPr>
          <w:b w:val="0"/>
          <w:sz w:val="24"/>
        </w:rPr>
        <w:t>,</w:t>
      </w:r>
      <w:r w:rsidRPr="007E71DB">
        <w:rPr>
          <w:i/>
          <w:sz w:val="24"/>
        </w:rPr>
        <w:t>L</w:t>
      </w:r>
      <w:r w:rsidRPr="007E71DB">
        <w:rPr>
          <w:b w:val="0"/>
          <w:sz w:val="24"/>
        </w:rPr>
        <w:t xml:space="preserve">) positive staining in perinuclear regions of pyramidal </w:t>
      </w:r>
      <w:r>
        <w:rPr>
          <w:b w:val="0"/>
          <w:sz w:val="24"/>
        </w:rPr>
        <w:t>neuron</w:t>
      </w:r>
      <w:r w:rsidRPr="007E71DB">
        <w:rPr>
          <w:b w:val="0"/>
          <w:sz w:val="24"/>
        </w:rPr>
        <w:t xml:space="preserve">s. </w:t>
      </w:r>
    </w:p>
    <w:p w:rsidR="005A39D6" w:rsidRDefault="005A39D6" w:rsidP="005A39D6">
      <w:pPr>
        <w:rPr>
          <w:rFonts w:ascii="Arial" w:hAnsi="Arial"/>
        </w:rPr>
      </w:pPr>
    </w:p>
    <w:p w:rsidR="005A39D6" w:rsidRDefault="005A39D6" w:rsidP="005A39D6">
      <w:pPr>
        <w:rPr>
          <w:rFonts w:ascii="Arial" w:hAnsi="Arial"/>
        </w:rPr>
      </w:pPr>
    </w:p>
    <w:p w:rsidR="005A39D6" w:rsidRDefault="005A39D6" w:rsidP="005A39D6">
      <w:pPr>
        <w:rPr>
          <w:rFonts w:ascii="Arial" w:hAnsi="Arial"/>
        </w:rPr>
      </w:pPr>
    </w:p>
    <w:p w:rsidR="005A39D6" w:rsidRDefault="005A39D6" w:rsidP="005A39D6">
      <w:pPr>
        <w:rPr>
          <w:rFonts w:ascii="Arial" w:hAnsi="Arial"/>
          <w:b/>
        </w:rPr>
      </w:pPr>
      <w:r w:rsidRPr="00FB55C8">
        <w:rPr>
          <w:rFonts w:ascii="Arial" w:hAnsi="Arial"/>
          <w:b/>
        </w:rPr>
        <w:lastRenderedPageBreak/>
        <w:t>Figure S</w:t>
      </w:r>
      <w:r w:rsidR="009621A9">
        <w:rPr>
          <w:rFonts w:ascii="Arial" w:hAnsi="Arial"/>
          <w:b/>
        </w:rPr>
        <w:t>5</w:t>
      </w:r>
    </w:p>
    <w:p w:rsidR="005A39D6" w:rsidRPr="00FB55C8" w:rsidRDefault="005A39D6" w:rsidP="005A39D6">
      <w:pPr>
        <w:rPr>
          <w:rFonts w:ascii="Arial" w:hAnsi="Arial"/>
          <w:b/>
        </w:rPr>
      </w:pPr>
    </w:p>
    <w:p w:rsidR="005A39D6" w:rsidRDefault="005A39D6" w:rsidP="005A39D6">
      <w:pPr>
        <w:rPr>
          <w:rFonts w:ascii="Arial" w:hAnsi="Arial"/>
        </w:rPr>
      </w:pPr>
    </w:p>
    <w:p w:rsidR="005A39D6" w:rsidRDefault="005A39D6" w:rsidP="005A39D6">
      <w:pPr>
        <w:jc w:val="center"/>
        <w:rPr>
          <w:rFonts w:ascii="Arial" w:hAnsi="Arial"/>
        </w:rPr>
      </w:pPr>
      <w:r>
        <w:rPr>
          <w:rFonts w:ascii="Arial" w:hAnsi="Arial" w:cs="Arial"/>
          <w:noProof/>
        </w:rPr>
        <w:drawing>
          <wp:inline distT="0" distB="0" distL="0" distR="0" wp14:anchorId="480B8E13" wp14:editId="7E565BFF">
            <wp:extent cx="2991273" cy="4809066"/>
            <wp:effectExtent l="0" t="0" r="6350" b="4445"/>
            <wp:docPr id="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464" cy="4814197"/>
                    </a:xfrm>
                    <a:prstGeom prst="rect">
                      <a:avLst/>
                    </a:prstGeom>
                    <a:noFill/>
                    <a:ln>
                      <a:noFill/>
                    </a:ln>
                  </pic:spPr>
                </pic:pic>
              </a:graphicData>
            </a:graphic>
          </wp:inline>
        </w:drawing>
      </w:r>
    </w:p>
    <w:p w:rsidR="005A39D6" w:rsidRDefault="005A39D6" w:rsidP="005A39D6">
      <w:pPr>
        <w:rPr>
          <w:rFonts w:ascii="Arial" w:hAnsi="Arial"/>
        </w:rPr>
      </w:pPr>
    </w:p>
    <w:p w:rsidR="005A39D6" w:rsidRDefault="005A39D6" w:rsidP="005A39D6">
      <w:pPr>
        <w:spacing w:line="276" w:lineRule="auto"/>
        <w:rPr>
          <w:rFonts w:ascii="Arial" w:hAnsi="Arial" w:cs="Arial"/>
          <w:b/>
        </w:rPr>
      </w:pPr>
    </w:p>
    <w:p w:rsidR="005A39D6" w:rsidRDefault="005A39D6" w:rsidP="005A39D6">
      <w:pPr>
        <w:spacing w:line="276" w:lineRule="auto"/>
        <w:rPr>
          <w:rFonts w:ascii="Arial" w:hAnsi="Arial"/>
          <w:b/>
        </w:rPr>
      </w:pPr>
      <w:r w:rsidRPr="00156C44">
        <w:rPr>
          <w:rFonts w:ascii="Arial" w:hAnsi="Arial" w:cs="Arial"/>
          <w:b/>
        </w:rPr>
        <w:t xml:space="preserve">Figure </w:t>
      </w:r>
      <w:r>
        <w:rPr>
          <w:rFonts w:ascii="Arial" w:hAnsi="Arial" w:cs="Arial"/>
          <w:b/>
        </w:rPr>
        <w:t>S</w:t>
      </w:r>
      <w:r w:rsidR="009621A9">
        <w:rPr>
          <w:rFonts w:ascii="Arial" w:hAnsi="Arial" w:cs="Arial"/>
          <w:b/>
        </w:rPr>
        <w:t>5</w:t>
      </w:r>
      <w:r w:rsidRPr="00156C44">
        <w:rPr>
          <w:rFonts w:ascii="Arial" w:hAnsi="Arial" w:cs="Arial"/>
          <w:b/>
        </w:rPr>
        <w:t xml:space="preserve">.  </w:t>
      </w:r>
      <w:r w:rsidRPr="00755018">
        <w:rPr>
          <w:rFonts w:ascii="Arial" w:hAnsi="Arial" w:cs="Arial"/>
        </w:rPr>
        <w:t xml:space="preserve">Studies in </w:t>
      </w:r>
      <w:r>
        <w:rPr>
          <w:rFonts w:ascii="Arial" w:hAnsi="Arial" w:cs="Arial"/>
        </w:rPr>
        <w:t xml:space="preserve">primary embryonic </w:t>
      </w:r>
      <w:r w:rsidRPr="00755018">
        <w:rPr>
          <w:rFonts w:ascii="Arial" w:hAnsi="Arial" w:cs="Arial"/>
        </w:rPr>
        <w:t>cu</w:t>
      </w:r>
      <w:r>
        <w:rPr>
          <w:rFonts w:ascii="Arial" w:hAnsi="Arial" w:cs="Arial"/>
        </w:rPr>
        <w:t xml:space="preserve">ltured neurons. </w:t>
      </w:r>
      <w:r w:rsidRPr="00755018">
        <w:rPr>
          <w:rFonts w:ascii="Arial" w:hAnsi="Arial" w:cs="Arial"/>
          <w:b/>
          <w:i/>
        </w:rPr>
        <w:t>A</w:t>
      </w:r>
      <w:r w:rsidRPr="00755018">
        <w:rPr>
          <w:rFonts w:ascii="Arial" w:hAnsi="Arial" w:cs="Arial"/>
        </w:rPr>
        <w:t>,</w:t>
      </w:r>
      <w:r w:rsidRPr="00755018">
        <w:rPr>
          <w:rFonts w:ascii="Arial" w:hAnsi="Arial" w:cs="Arial"/>
          <w:b/>
          <w:i/>
        </w:rPr>
        <w:t>B</w:t>
      </w:r>
      <w:r>
        <w:rPr>
          <w:rFonts w:ascii="Arial" w:hAnsi="Arial" w:cs="Arial"/>
        </w:rPr>
        <w:t>, Aß42 (</w:t>
      </w:r>
      <w:r>
        <w:rPr>
          <w:rFonts w:ascii="Arial" w:hAnsi="Arial" w:cs="Arial"/>
          <w:b/>
          <w:i/>
        </w:rPr>
        <w:t>A</w:t>
      </w:r>
      <w:r>
        <w:rPr>
          <w:rFonts w:ascii="Arial" w:hAnsi="Arial" w:cs="Arial"/>
        </w:rPr>
        <w:t>) and Aß40 (</w:t>
      </w:r>
      <w:r>
        <w:rPr>
          <w:rFonts w:ascii="Arial" w:hAnsi="Arial" w:cs="Arial"/>
          <w:b/>
          <w:i/>
        </w:rPr>
        <w:t>B</w:t>
      </w:r>
      <w:r>
        <w:rPr>
          <w:rFonts w:ascii="Arial" w:hAnsi="Arial" w:cs="Arial"/>
        </w:rPr>
        <w:t>) levels in the conditioned medium of cultured neurons from CatD knockout (KO) mice and wildtype (WT) controls. Note that KO neurons secrete significantly more Aß42 than WT controls (</w:t>
      </w:r>
      <w:r>
        <w:rPr>
          <w:rFonts w:ascii="Arial" w:hAnsi="Arial" w:cs="Arial"/>
          <w:b/>
          <w:i/>
        </w:rPr>
        <w:t>A</w:t>
      </w:r>
      <w:r w:rsidRPr="00755018">
        <w:rPr>
          <w:rFonts w:ascii="Arial" w:hAnsi="Arial" w:cs="Arial"/>
        </w:rPr>
        <w:t>)</w:t>
      </w:r>
      <w:r>
        <w:rPr>
          <w:rFonts w:ascii="Arial" w:hAnsi="Arial" w:cs="Arial"/>
        </w:rPr>
        <w:t xml:space="preserve"> and, although a trend towards higher Aß40 levels is evident, it does not achieve statistical significance.  Data are mean ± SEM for 4 replicates.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1.  </w:t>
      </w:r>
      <w:r w:rsidRPr="00CD0250">
        <w:rPr>
          <w:rFonts w:ascii="Arial" w:hAnsi="Arial" w:cs="Arial"/>
          <w:b/>
          <w:i/>
        </w:rPr>
        <w:t>C</w:t>
      </w:r>
      <w:r>
        <w:rPr>
          <w:rFonts w:ascii="Arial" w:hAnsi="Arial" w:cs="Arial"/>
        </w:rPr>
        <w:t>, Representative images of exogenously applied, fluorescently tagged Aß42 (</w:t>
      </w:r>
      <w:r w:rsidRPr="009C0445">
        <w:rPr>
          <w:rFonts w:ascii="Arial" w:hAnsi="Arial" w:cs="Arial"/>
          <w:i/>
        </w:rPr>
        <w:t>green</w:t>
      </w:r>
      <w:r>
        <w:rPr>
          <w:rFonts w:ascii="Arial" w:hAnsi="Arial" w:cs="Arial"/>
        </w:rPr>
        <w:t>) or Aß40 (</w:t>
      </w:r>
      <w:r w:rsidRPr="009C0445">
        <w:rPr>
          <w:rFonts w:ascii="Arial" w:hAnsi="Arial" w:cs="Arial"/>
          <w:i/>
        </w:rPr>
        <w:t>red</w:t>
      </w:r>
      <w:r>
        <w:rPr>
          <w:rFonts w:ascii="Arial" w:hAnsi="Arial" w:cs="Arial"/>
        </w:rPr>
        <w:t xml:space="preserve">) remaining in WT and KO cultured neurons after loading and subsequent 2-h incubation (see </w:t>
      </w:r>
      <w:r w:rsidRPr="00631827">
        <w:rPr>
          <w:rFonts w:ascii="Arial" w:hAnsi="Arial" w:cs="Arial"/>
          <w:i/>
        </w:rPr>
        <w:t>Supplemental</w:t>
      </w:r>
      <w:r>
        <w:rPr>
          <w:rFonts w:ascii="Arial" w:hAnsi="Arial" w:cs="Arial"/>
        </w:rPr>
        <w:t xml:space="preserve"> </w:t>
      </w:r>
      <w:r>
        <w:rPr>
          <w:rFonts w:ascii="Arial" w:hAnsi="Arial" w:cs="Arial"/>
          <w:i/>
        </w:rPr>
        <w:t>Method</w:t>
      </w:r>
      <w:r w:rsidRPr="00CD0250">
        <w:rPr>
          <w:rFonts w:ascii="Arial" w:hAnsi="Arial" w:cs="Arial"/>
          <w:i/>
        </w:rPr>
        <w:t>s</w:t>
      </w:r>
      <w:r>
        <w:rPr>
          <w:rFonts w:ascii="Arial" w:hAnsi="Arial" w:cs="Arial"/>
        </w:rPr>
        <w:t xml:space="preserve"> for details).  </w:t>
      </w:r>
      <w:r w:rsidRPr="00CD0250">
        <w:rPr>
          <w:rFonts w:ascii="Arial" w:hAnsi="Arial" w:cs="Arial"/>
          <w:b/>
          <w:i/>
        </w:rPr>
        <w:t>D</w:t>
      </w:r>
      <w:r>
        <w:rPr>
          <w:rFonts w:ascii="Arial" w:hAnsi="Arial" w:cs="Arial"/>
        </w:rPr>
        <w:t>,</w:t>
      </w:r>
      <w:r w:rsidRPr="00CD0250">
        <w:rPr>
          <w:rFonts w:ascii="Arial" w:hAnsi="Arial" w:cs="Arial"/>
          <w:b/>
          <w:i/>
        </w:rPr>
        <w:t>E</w:t>
      </w:r>
      <w:r>
        <w:rPr>
          <w:rFonts w:ascii="Arial" w:hAnsi="Arial" w:cs="Arial"/>
        </w:rPr>
        <w:t>, Percent Aß42 (</w:t>
      </w:r>
      <w:r w:rsidRPr="000A6731">
        <w:rPr>
          <w:rFonts w:ascii="Arial" w:hAnsi="Arial" w:cs="Arial"/>
          <w:b/>
          <w:i/>
        </w:rPr>
        <w:t>D</w:t>
      </w:r>
      <w:r>
        <w:rPr>
          <w:rFonts w:ascii="Arial" w:hAnsi="Arial" w:cs="Arial"/>
        </w:rPr>
        <w:t>) and Aß40 (</w:t>
      </w:r>
      <w:r w:rsidRPr="000A6731">
        <w:rPr>
          <w:rFonts w:ascii="Arial" w:hAnsi="Arial" w:cs="Arial"/>
          <w:b/>
          <w:i/>
        </w:rPr>
        <w:t>E</w:t>
      </w:r>
      <w:r>
        <w:rPr>
          <w:rFonts w:ascii="Arial" w:hAnsi="Arial" w:cs="Arial"/>
        </w:rPr>
        <w:t xml:space="preserve">) remaining after 2-h incubation, relative to freshly loaded neurons immediately after washing. Data are mean ± SEM for 6 replicates.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001;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1.</w:t>
      </w:r>
      <w:r w:rsidRPr="009A7C07">
        <w:rPr>
          <w:rFonts w:ascii="Arial" w:hAnsi="Arial"/>
        </w:rPr>
        <w:t xml:space="preserve"> </w:t>
      </w:r>
    </w:p>
    <w:p w:rsidR="005A39D6" w:rsidRDefault="005A39D6" w:rsidP="005A39D6">
      <w:pPr>
        <w:rPr>
          <w:rFonts w:ascii="Arial" w:hAnsi="Arial" w:cs="Arial"/>
          <w:b/>
        </w:rPr>
      </w:pPr>
      <w:r>
        <w:rPr>
          <w:rFonts w:ascii="Arial" w:hAnsi="Arial" w:cs="Arial"/>
          <w:b/>
        </w:rPr>
        <w:br w:type="page"/>
      </w:r>
    </w:p>
    <w:p w:rsidR="005A39D6" w:rsidRPr="00F667BC" w:rsidRDefault="005A39D6" w:rsidP="005A39D6">
      <w:pPr>
        <w:rPr>
          <w:rFonts w:ascii="Arial" w:hAnsi="Arial"/>
          <w:b/>
        </w:rPr>
      </w:pPr>
      <w:r w:rsidRPr="00601390">
        <w:rPr>
          <w:rFonts w:ascii="Arial" w:hAnsi="Arial" w:cs="Arial"/>
          <w:b/>
        </w:rPr>
        <w:lastRenderedPageBreak/>
        <w:t>Figure S</w:t>
      </w:r>
      <w:r w:rsidR="009621A9">
        <w:rPr>
          <w:rFonts w:ascii="Arial" w:hAnsi="Arial" w:cs="Arial"/>
          <w:b/>
        </w:rPr>
        <w:t>6</w:t>
      </w:r>
    </w:p>
    <w:p w:rsidR="005A39D6" w:rsidRDefault="005A39D6" w:rsidP="005A39D6"/>
    <w:p w:rsidR="005A39D6" w:rsidRPr="00601390" w:rsidRDefault="005A39D6" w:rsidP="005A39D6">
      <w:pPr>
        <w:rPr>
          <w:rFonts w:ascii="Arial" w:hAnsi="Arial" w:cs="Arial"/>
          <w:sz w:val="32"/>
          <w:szCs w:val="32"/>
        </w:rPr>
      </w:pPr>
      <w:r>
        <w:rPr>
          <w:noProof/>
        </w:rPr>
        <w:drawing>
          <wp:anchor distT="0" distB="0" distL="114300" distR="114300" simplePos="0" relativeHeight="251660288" behindDoc="0" locked="0" layoutInCell="1" allowOverlap="1" wp14:anchorId="52143175" wp14:editId="6BBA3E07">
            <wp:simplePos x="0" y="0"/>
            <wp:positionH relativeFrom="column">
              <wp:posOffset>200025</wp:posOffset>
            </wp:positionH>
            <wp:positionV relativeFrom="paragraph">
              <wp:posOffset>196850</wp:posOffset>
            </wp:positionV>
            <wp:extent cx="5704205" cy="1316355"/>
            <wp:effectExtent l="0" t="0" r="0" b="0"/>
            <wp:wrapNone/>
            <wp:docPr id="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4205" cy="1316355"/>
                    </a:xfrm>
                    <a:prstGeom prst="rect">
                      <a:avLst/>
                    </a:prstGeom>
                    <a:noFill/>
                  </pic:spPr>
                </pic:pic>
              </a:graphicData>
            </a:graphic>
            <wp14:sizeRelH relativeFrom="margin">
              <wp14:pctWidth>0</wp14:pctWidth>
            </wp14:sizeRelH>
            <wp14:sizeRelV relativeFrom="margin">
              <wp14:pctHeight>0</wp14:pctHeight>
            </wp14:sizeRelV>
          </wp:anchor>
        </w:drawing>
      </w:r>
      <w:r w:rsidRPr="00601390">
        <w:rPr>
          <w:rFonts w:ascii="Arial" w:hAnsi="Arial" w:cs="Arial"/>
          <w:sz w:val="32"/>
          <w:szCs w:val="32"/>
        </w:rPr>
        <w:t>A</w:t>
      </w:r>
    </w:p>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Pr>
        <w:rPr>
          <w:rFonts w:ascii="Arial" w:hAnsi="Arial" w:cs="Arial"/>
          <w:sz w:val="32"/>
          <w:szCs w:val="32"/>
        </w:rPr>
      </w:pPr>
      <w:r>
        <w:rPr>
          <w:noProof/>
        </w:rPr>
        <w:drawing>
          <wp:anchor distT="0" distB="0" distL="114300" distR="114300" simplePos="0" relativeHeight="251659264" behindDoc="0" locked="0" layoutInCell="1" allowOverlap="1" wp14:anchorId="62EA7B4A" wp14:editId="5888C3B0">
            <wp:simplePos x="0" y="0"/>
            <wp:positionH relativeFrom="column">
              <wp:posOffset>200025</wp:posOffset>
            </wp:positionH>
            <wp:positionV relativeFrom="paragraph">
              <wp:posOffset>213995</wp:posOffset>
            </wp:positionV>
            <wp:extent cx="5703570" cy="1336675"/>
            <wp:effectExtent l="0" t="0" r="0" b="0"/>
            <wp:wrapNone/>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3570" cy="13366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B</w:t>
      </w: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Pr="00601390" w:rsidRDefault="005A39D6" w:rsidP="005A39D6">
      <w:pPr>
        <w:rPr>
          <w:rFonts w:ascii="Arial" w:hAnsi="Arial" w:cs="Arial"/>
          <w:sz w:val="32"/>
          <w:szCs w:val="32"/>
        </w:rPr>
      </w:pPr>
      <w:r>
        <w:rPr>
          <w:noProof/>
        </w:rPr>
        <w:drawing>
          <wp:anchor distT="0" distB="0" distL="114300" distR="114300" simplePos="0" relativeHeight="251661312" behindDoc="0" locked="0" layoutInCell="1" allowOverlap="1" wp14:anchorId="11C80FCE" wp14:editId="431315A5">
            <wp:simplePos x="0" y="0"/>
            <wp:positionH relativeFrom="column">
              <wp:posOffset>200025</wp:posOffset>
            </wp:positionH>
            <wp:positionV relativeFrom="paragraph">
              <wp:posOffset>166370</wp:posOffset>
            </wp:positionV>
            <wp:extent cx="5703570" cy="1349375"/>
            <wp:effectExtent l="0" t="0" r="0" b="0"/>
            <wp:wrapNone/>
            <wp:docPr id="3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3570" cy="13493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C</w:t>
      </w:r>
    </w:p>
    <w:p w:rsidR="005A39D6" w:rsidRDefault="005A39D6" w:rsidP="005A39D6"/>
    <w:p w:rsidR="005A39D6" w:rsidRDefault="005A39D6" w:rsidP="005A39D6"/>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Pr="00AE0044" w:rsidRDefault="005A39D6" w:rsidP="005A39D6">
      <w:pPr>
        <w:rPr>
          <w:rFonts w:ascii="Arial" w:hAnsi="Arial" w:cs="Arial"/>
        </w:rPr>
      </w:pPr>
      <w:r w:rsidRPr="00112470">
        <w:rPr>
          <w:rFonts w:ascii="Arial" w:hAnsi="Arial" w:cs="Arial"/>
          <w:b/>
        </w:rPr>
        <w:t>Figure S</w:t>
      </w:r>
      <w:r w:rsidR="009621A9">
        <w:rPr>
          <w:rFonts w:ascii="Arial" w:hAnsi="Arial" w:cs="Arial"/>
          <w:b/>
        </w:rPr>
        <w:t>6</w:t>
      </w:r>
      <w:r w:rsidRPr="00112470">
        <w:rPr>
          <w:rFonts w:ascii="Arial" w:hAnsi="Arial" w:cs="Arial"/>
          <w:b/>
        </w:rPr>
        <w:t>.</w:t>
      </w:r>
      <w:r w:rsidRPr="00112470">
        <w:rPr>
          <w:rFonts w:ascii="Arial" w:hAnsi="Arial" w:cs="Arial"/>
          <w:b/>
          <w:sz w:val="32"/>
        </w:rPr>
        <w:t xml:space="preserve">  </w:t>
      </w:r>
      <w:r w:rsidRPr="00BA52FF">
        <w:rPr>
          <w:rFonts w:ascii="Arial" w:hAnsi="Arial" w:cs="Arial"/>
          <w:b/>
        </w:rPr>
        <w:t>Mass spectra of Aß42 degradation by CatD.</w:t>
      </w:r>
      <w:r>
        <w:rPr>
          <w:rFonts w:ascii="Arial" w:hAnsi="Arial" w:cs="Arial"/>
          <w:b/>
        </w:rPr>
        <w:t xml:space="preserve">  </w:t>
      </w:r>
      <w:r w:rsidRPr="00AE0044">
        <w:rPr>
          <w:rFonts w:ascii="Arial" w:hAnsi="Arial" w:cs="Arial"/>
          <w:b/>
          <w:i/>
        </w:rPr>
        <w:t>A</w:t>
      </w:r>
      <w:r w:rsidRPr="00AE0044">
        <w:rPr>
          <w:rFonts w:ascii="Arial" w:hAnsi="Arial" w:cs="Arial"/>
          <w:i/>
        </w:rPr>
        <w:t>-</w:t>
      </w:r>
      <w:r w:rsidRPr="00AE0044">
        <w:rPr>
          <w:rFonts w:ascii="Arial" w:hAnsi="Arial" w:cs="Arial"/>
          <w:b/>
          <w:i/>
        </w:rPr>
        <w:t>C</w:t>
      </w:r>
      <w:r w:rsidRPr="00AE0044">
        <w:rPr>
          <w:rFonts w:ascii="Arial" w:hAnsi="Arial" w:cs="Arial"/>
        </w:rPr>
        <w:t>,</w:t>
      </w:r>
      <w:r>
        <w:rPr>
          <w:rFonts w:ascii="Arial" w:hAnsi="Arial" w:cs="Arial"/>
          <w:b/>
        </w:rPr>
        <w:t xml:space="preserve"> </w:t>
      </w:r>
      <w:r w:rsidRPr="00202AD6">
        <w:rPr>
          <w:rFonts w:ascii="Arial" w:hAnsi="Arial" w:cs="Arial"/>
        </w:rPr>
        <w:t xml:space="preserve">SELDI spectra </w:t>
      </w:r>
      <w:r>
        <w:rPr>
          <w:rFonts w:ascii="Arial" w:hAnsi="Arial" w:cs="Arial"/>
        </w:rPr>
        <w:t>of biotinylated Aß42 at t=0 (</w:t>
      </w:r>
      <w:r w:rsidRPr="00202AD6">
        <w:rPr>
          <w:rFonts w:ascii="Arial" w:hAnsi="Arial" w:cs="Arial"/>
          <w:b/>
          <w:i/>
        </w:rPr>
        <w:t>A</w:t>
      </w:r>
      <w:r>
        <w:rPr>
          <w:rFonts w:ascii="Arial" w:hAnsi="Arial" w:cs="Arial"/>
        </w:rPr>
        <w:t>) or after incubation with recombinant human CatD for 10 min (</w:t>
      </w:r>
      <w:r w:rsidRPr="00AE0044">
        <w:rPr>
          <w:rFonts w:ascii="Arial" w:hAnsi="Arial" w:cs="Arial"/>
          <w:b/>
          <w:i/>
        </w:rPr>
        <w:t>B</w:t>
      </w:r>
      <w:r>
        <w:rPr>
          <w:rFonts w:ascii="Arial" w:hAnsi="Arial" w:cs="Arial"/>
        </w:rPr>
        <w:t>) or 2 h (</w:t>
      </w:r>
      <w:r w:rsidRPr="00AE0044">
        <w:rPr>
          <w:rFonts w:ascii="Arial" w:hAnsi="Arial" w:cs="Arial"/>
          <w:b/>
          <w:i/>
        </w:rPr>
        <w:t>C</w:t>
      </w:r>
      <w:r>
        <w:rPr>
          <w:rFonts w:ascii="Arial" w:hAnsi="Arial" w:cs="Arial"/>
        </w:rPr>
        <w:t xml:space="preserve">).  Numbers in </w:t>
      </w:r>
      <w:r w:rsidRPr="00AE0044">
        <w:rPr>
          <w:rFonts w:ascii="Arial" w:hAnsi="Arial" w:cs="Arial"/>
          <w:i/>
        </w:rPr>
        <w:t>red</w:t>
      </w:r>
      <w:r>
        <w:rPr>
          <w:rFonts w:ascii="Arial" w:hAnsi="Arial" w:cs="Arial"/>
        </w:rPr>
        <w:t xml:space="preserve"> and </w:t>
      </w:r>
      <w:r w:rsidRPr="00AE0044">
        <w:rPr>
          <w:rFonts w:ascii="Arial" w:hAnsi="Arial" w:cs="Arial"/>
          <w:i/>
        </w:rPr>
        <w:t>green</w:t>
      </w:r>
      <w:r>
        <w:rPr>
          <w:rFonts w:ascii="Arial" w:hAnsi="Arial" w:cs="Arial"/>
        </w:rPr>
        <w:t xml:space="preserve"> reflect m/z values corresponding to charge states [M+H]</w:t>
      </w:r>
      <w:r w:rsidRPr="00AE0044">
        <w:rPr>
          <w:rFonts w:ascii="Arial" w:hAnsi="Arial" w:cs="Arial"/>
          <w:vertAlign w:val="superscript"/>
        </w:rPr>
        <w:t>+</w:t>
      </w:r>
      <w:r>
        <w:rPr>
          <w:rFonts w:ascii="Arial" w:hAnsi="Arial" w:cs="Arial"/>
        </w:rPr>
        <w:t xml:space="preserve"> and [M+2H]</w:t>
      </w:r>
      <w:r w:rsidRPr="00AE0044">
        <w:rPr>
          <w:rFonts w:ascii="Arial" w:hAnsi="Arial" w:cs="Arial"/>
          <w:vertAlign w:val="superscript"/>
        </w:rPr>
        <w:t>2+</w:t>
      </w:r>
      <w:r>
        <w:rPr>
          <w:rFonts w:ascii="Arial" w:hAnsi="Arial" w:cs="Arial"/>
        </w:rPr>
        <w:t xml:space="preserve">, respectively. </w:t>
      </w: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Pr="00601390" w:rsidRDefault="005A39D6" w:rsidP="005A39D6">
      <w:pPr>
        <w:rPr>
          <w:rFonts w:ascii="Arial" w:hAnsi="Arial" w:cs="Arial"/>
          <w:b/>
        </w:rPr>
      </w:pPr>
      <w:r>
        <w:rPr>
          <w:rFonts w:ascii="Arial" w:hAnsi="Arial" w:cs="Arial"/>
          <w:b/>
          <w:sz w:val="32"/>
        </w:rPr>
        <w:br w:type="page"/>
      </w:r>
      <w:r w:rsidRPr="00601390">
        <w:rPr>
          <w:rFonts w:ascii="Arial" w:hAnsi="Arial" w:cs="Arial"/>
          <w:b/>
        </w:rPr>
        <w:lastRenderedPageBreak/>
        <w:t>Figure S</w:t>
      </w:r>
      <w:r w:rsidR="009621A9">
        <w:rPr>
          <w:rFonts w:ascii="Arial" w:hAnsi="Arial" w:cs="Arial"/>
          <w:b/>
        </w:rPr>
        <w:t>7</w:t>
      </w:r>
    </w:p>
    <w:p w:rsidR="005A39D6" w:rsidRDefault="005A39D6" w:rsidP="005A39D6"/>
    <w:p w:rsidR="005A39D6" w:rsidRPr="00601390" w:rsidRDefault="005A39D6" w:rsidP="005A39D6">
      <w:pPr>
        <w:rPr>
          <w:rFonts w:ascii="Arial" w:hAnsi="Arial" w:cs="Arial"/>
          <w:sz w:val="32"/>
          <w:szCs w:val="32"/>
        </w:rPr>
      </w:pPr>
      <w:r>
        <w:rPr>
          <w:noProof/>
        </w:rPr>
        <w:drawing>
          <wp:anchor distT="0" distB="0" distL="114300" distR="114300" simplePos="0" relativeHeight="251662336" behindDoc="0" locked="0" layoutInCell="1" allowOverlap="1" wp14:anchorId="4E32438A" wp14:editId="7955F4D9">
            <wp:simplePos x="0" y="0"/>
            <wp:positionH relativeFrom="column">
              <wp:posOffset>182880</wp:posOffset>
            </wp:positionH>
            <wp:positionV relativeFrom="paragraph">
              <wp:posOffset>234315</wp:posOffset>
            </wp:positionV>
            <wp:extent cx="5695315" cy="1224280"/>
            <wp:effectExtent l="0" t="0" r="0" b="0"/>
            <wp:wrapNone/>
            <wp:docPr id="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315" cy="1224280"/>
                    </a:xfrm>
                    <a:prstGeom prst="rect">
                      <a:avLst/>
                    </a:prstGeom>
                    <a:noFill/>
                  </pic:spPr>
                </pic:pic>
              </a:graphicData>
            </a:graphic>
            <wp14:sizeRelH relativeFrom="margin">
              <wp14:pctWidth>0</wp14:pctWidth>
            </wp14:sizeRelH>
            <wp14:sizeRelV relativeFrom="margin">
              <wp14:pctHeight>0</wp14:pctHeight>
            </wp14:sizeRelV>
          </wp:anchor>
        </w:drawing>
      </w:r>
      <w:r w:rsidRPr="00601390">
        <w:rPr>
          <w:rFonts w:ascii="Arial" w:hAnsi="Arial" w:cs="Arial"/>
          <w:sz w:val="32"/>
          <w:szCs w:val="32"/>
        </w:rPr>
        <w:t>A</w:t>
      </w:r>
    </w:p>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 w:rsidR="005A39D6" w:rsidRDefault="005A39D6" w:rsidP="005A39D6">
      <w:pPr>
        <w:rPr>
          <w:rFonts w:ascii="Arial" w:hAnsi="Arial" w:cs="Arial"/>
          <w:sz w:val="32"/>
          <w:szCs w:val="32"/>
        </w:rPr>
      </w:pPr>
      <w:r>
        <w:rPr>
          <w:noProof/>
        </w:rPr>
        <w:drawing>
          <wp:anchor distT="0" distB="0" distL="114300" distR="114300" simplePos="0" relativeHeight="251663360" behindDoc="0" locked="0" layoutInCell="1" allowOverlap="1" wp14:anchorId="719F225D" wp14:editId="00F63B9B">
            <wp:simplePos x="0" y="0"/>
            <wp:positionH relativeFrom="column">
              <wp:posOffset>130810</wp:posOffset>
            </wp:positionH>
            <wp:positionV relativeFrom="paragraph">
              <wp:posOffset>189865</wp:posOffset>
            </wp:positionV>
            <wp:extent cx="5747385" cy="1217295"/>
            <wp:effectExtent l="0" t="0" r="0" b="0"/>
            <wp:wrapNone/>
            <wp:docPr id="3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7385" cy="12172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B</w:t>
      </w: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Default="005A39D6" w:rsidP="005A39D6">
      <w:pPr>
        <w:rPr>
          <w:rFonts w:ascii="Arial" w:hAnsi="Arial" w:cs="Arial"/>
          <w:sz w:val="32"/>
          <w:szCs w:val="32"/>
        </w:rPr>
      </w:pPr>
    </w:p>
    <w:p w:rsidR="005A39D6" w:rsidRPr="00601390" w:rsidRDefault="005A39D6" w:rsidP="005A39D6">
      <w:pPr>
        <w:rPr>
          <w:rFonts w:ascii="Arial" w:hAnsi="Arial" w:cs="Arial"/>
          <w:sz w:val="32"/>
          <w:szCs w:val="32"/>
        </w:rPr>
      </w:pPr>
      <w:r>
        <w:rPr>
          <w:noProof/>
        </w:rPr>
        <w:drawing>
          <wp:anchor distT="0" distB="0" distL="114300" distR="114300" simplePos="0" relativeHeight="251664384" behindDoc="0" locked="0" layoutInCell="1" allowOverlap="1" wp14:anchorId="0159597E" wp14:editId="5BCAE262">
            <wp:simplePos x="0" y="0"/>
            <wp:positionH relativeFrom="column">
              <wp:posOffset>147955</wp:posOffset>
            </wp:positionH>
            <wp:positionV relativeFrom="paragraph">
              <wp:posOffset>194945</wp:posOffset>
            </wp:positionV>
            <wp:extent cx="5826125" cy="1242695"/>
            <wp:effectExtent l="0" t="0" r="0" b="0"/>
            <wp:wrapNone/>
            <wp:docPr id="3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6125" cy="12426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C</w:t>
      </w:r>
    </w:p>
    <w:p w:rsidR="005A39D6" w:rsidRDefault="005A39D6" w:rsidP="005A39D6"/>
    <w:p w:rsidR="005A39D6" w:rsidRDefault="005A39D6" w:rsidP="005A39D6"/>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r w:rsidRPr="00112470">
        <w:rPr>
          <w:rFonts w:ascii="Arial" w:hAnsi="Arial" w:cs="Arial"/>
          <w:b/>
        </w:rPr>
        <w:t>Figure S</w:t>
      </w:r>
      <w:r w:rsidR="009621A9">
        <w:rPr>
          <w:rFonts w:ascii="Arial" w:hAnsi="Arial" w:cs="Arial"/>
          <w:b/>
        </w:rPr>
        <w:t>7</w:t>
      </w:r>
      <w:r w:rsidRPr="00112470">
        <w:rPr>
          <w:rFonts w:ascii="Arial" w:hAnsi="Arial" w:cs="Arial"/>
          <w:b/>
        </w:rPr>
        <w:t>.</w:t>
      </w:r>
      <w:r w:rsidRPr="00112470">
        <w:rPr>
          <w:rFonts w:ascii="Arial" w:hAnsi="Arial" w:cs="Arial"/>
          <w:b/>
          <w:sz w:val="32"/>
        </w:rPr>
        <w:t xml:space="preserve">  </w:t>
      </w:r>
      <w:r w:rsidRPr="00BA52FF">
        <w:rPr>
          <w:rFonts w:ascii="Arial" w:hAnsi="Arial" w:cs="Arial"/>
          <w:b/>
        </w:rPr>
        <w:t>Mass spectra of Aß40 degradation by CatD.</w:t>
      </w:r>
      <w:r>
        <w:rPr>
          <w:rFonts w:ascii="Arial" w:hAnsi="Arial" w:cs="Arial"/>
          <w:b/>
        </w:rPr>
        <w:t xml:space="preserve">  </w:t>
      </w:r>
      <w:r w:rsidRPr="00AE0044">
        <w:rPr>
          <w:rFonts w:ascii="Arial" w:hAnsi="Arial" w:cs="Arial"/>
          <w:b/>
          <w:i/>
        </w:rPr>
        <w:t>A</w:t>
      </w:r>
      <w:r w:rsidRPr="00AE0044">
        <w:rPr>
          <w:rFonts w:ascii="Arial" w:hAnsi="Arial" w:cs="Arial"/>
          <w:i/>
        </w:rPr>
        <w:t>-</w:t>
      </w:r>
      <w:r w:rsidRPr="00AE0044">
        <w:rPr>
          <w:rFonts w:ascii="Arial" w:hAnsi="Arial" w:cs="Arial"/>
          <w:b/>
          <w:i/>
        </w:rPr>
        <w:t>C</w:t>
      </w:r>
      <w:r w:rsidRPr="00AE0044">
        <w:rPr>
          <w:rFonts w:ascii="Arial" w:hAnsi="Arial" w:cs="Arial"/>
        </w:rPr>
        <w:t>,</w:t>
      </w:r>
      <w:r>
        <w:rPr>
          <w:rFonts w:ascii="Arial" w:hAnsi="Arial" w:cs="Arial"/>
          <w:b/>
        </w:rPr>
        <w:t xml:space="preserve"> </w:t>
      </w:r>
      <w:r w:rsidRPr="00202AD6">
        <w:rPr>
          <w:rFonts w:ascii="Arial" w:hAnsi="Arial" w:cs="Arial"/>
        </w:rPr>
        <w:t xml:space="preserve">SELDI spectra </w:t>
      </w:r>
      <w:r>
        <w:rPr>
          <w:rFonts w:ascii="Arial" w:hAnsi="Arial" w:cs="Arial"/>
        </w:rPr>
        <w:t>of biotinylated Aß40 at t=0 (</w:t>
      </w:r>
      <w:r w:rsidRPr="00202AD6">
        <w:rPr>
          <w:rFonts w:ascii="Arial" w:hAnsi="Arial" w:cs="Arial"/>
          <w:b/>
          <w:i/>
        </w:rPr>
        <w:t>A</w:t>
      </w:r>
      <w:r>
        <w:rPr>
          <w:rFonts w:ascii="Arial" w:hAnsi="Arial" w:cs="Arial"/>
        </w:rPr>
        <w:t>) or after incubation with recombinant human CatD for 10 min (</w:t>
      </w:r>
      <w:r w:rsidRPr="00AE0044">
        <w:rPr>
          <w:rFonts w:ascii="Arial" w:hAnsi="Arial" w:cs="Arial"/>
          <w:b/>
          <w:i/>
        </w:rPr>
        <w:t>B</w:t>
      </w:r>
      <w:r>
        <w:rPr>
          <w:rFonts w:ascii="Arial" w:hAnsi="Arial" w:cs="Arial"/>
        </w:rPr>
        <w:t>) or 2 h (</w:t>
      </w:r>
      <w:r w:rsidRPr="00AE0044">
        <w:rPr>
          <w:rFonts w:ascii="Arial" w:hAnsi="Arial" w:cs="Arial"/>
          <w:b/>
          <w:i/>
        </w:rPr>
        <w:t>C</w:t>
      </w:r>
      <w:r>
        <w:rPr>
          <w:rFonts w:ascii="Arial" w:hAnsi="Arial" w:cs="Arial"/>
        </w:rPr>
        <w:t xml:space="preserve">).  Numbers in </w:t>
      </w:r>
      <w:r w:rsidRPr="00AE0044">
        <w:rPr>
          <w:rFonts w:ascii="Arial" w:hAnsi="Arial" w:cs="Arial"/>
          <w:i/>
        </w:rPr>
        <w:t>red</w:t>
      </w:r>
      <w:r>
        <w:rPr>
          <w:rFonts w:ascii="Arial" w:hAnsi="Arial" w:cs="Arial"/>
        </w:rPr>
        <w:t xml:space="preserve"> and </w:t>
      </w:r>
      <w:r w:rsidRPr="00AE0044">
        <w:rPr>
          <w:rFonts w:ascii="Arial" w:hAnsi="Arial" w:cs="Arial"/>
          <w:i/>
        </w:rPr>
        <w:t>green</w:t>
      </w:r>
      <w:r>
        <w:rPr>
          <w:rFonts w:ascii="Arial" w:hAnsi="Arial" w:cs="Arial"/>
        </w:rPr>
        <w:t xml:space="preserve"> reflect m/z values corresponding to charge states [M+H]</w:t>
      </w:r>
      <w:r w:rsidRPr="00AE0044">
        <w:rPr>
          <w:rFonts w:ascii="Arial" w:hAnsi="Arial" w:cs="Arial"/>
          <w:vertAlign w:val="superscript"/>
        </w:rPr>
        <w:t>+</w:t>
      </w:r>
      <w:r>
        <w:rPr>
          <w:rFonts w:ascii="Arial" w:hAnsi="Arial" w:cs="Arial"/>
        </w:rPr>
        <w:t xml:space="preserve"> and [M+2H]</w:t>
      </w:r>
      <w:r w:rsidRPr="00AE0044">
        <w:rPr>
          <w:rFonts w:ascii="Arial" w:hAnsi="Arial" w:cs="Arial"/>
          <w:vertAlign w:val="superscript"/>
        </w:rPr>
        <w:t>2+</w:t>
      </w:r>
      <w:r>
        <w:rPr>
          <w:rFonts w:ascii="Arial" w:hAnsi="Arial" w:cs="Arial"/>
        </w:rPr>
        <w:t xml:space="preserve">, respectively. </w:t>
      </w: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cs="Arial"/>
          <w:b/>
          <w:sz w:val="32"/>
        </w:rPr>
      </w:pPr>
    </w:p>
    <w:p w:rsidR="005A39D6" w:rsidRDefault="005A39D6" w:rsidP="005A39D6">
      <w:pPr>
        <w:rPr>
          <w:rFonts w:ascii="Arial" w:hAnsi="Arial"/>
          <w:b/>
        </w:rPr>
      </w:pPr>
      <w:r>
        <w:rPr>
          <w:rFonts w:ascii="Arial" w:hAnsi="Arial"/>
          <w:b/>
        </w:rPr>
        <w:br w:type="page"/>
      </w:r>
    </w:p>
    <w:p w:rsidR="005A39D6" w:rsidRDefault="005A39D6" w:rsidP="005A39D6">
      <w:pPr>
        <w:rPr>
          <w:rFonts w:ascii="Arial" w:hAnsi="Arial" w:cs="Arial"/>
          <w:b/>
        </w:rPr>
      </w:pPr>
      <w:r w:rsidRPr="00112470">
        <w:rPr>
          <w:rFonts w:ascii="Arial" w:hAnsi="Arial" w:cs="Arial"/>
          <w:b/>
        </w:rPr>
        <w:lastRenderedPageBreak/>
        <w:t>Figure S</w:t>
      </w:r>
      <w:r w:rsidR="009621A9">
        <w:rPr>
          <w:rFonts w:ascii="Arial" w:hAnsi="Arial" w:cs="Arial"/>
          <w:b/>
        </w:rPr>
        <w:t>8</w:t>
      </w:r>
    </w:p>
    <w:p w:rsidR="005A39D6" w:rsidRPr="00112470" w:rsidRDefault="005A39D6" w:rsidP="005A39D6">
      <w:pPr>
        <w:rPr>
          <w:rFonts w:ascii="Arial" w:hAnsi="Arial" w:cs="Arial"/>
        </w:rPr>
      </w:pPr>
    </w:p>
    <w:p w:rsidR="005A39D6" w:rsidRDefault="005A39D6" w:rsidP="005A39D6">
      <w:pPr>
        <w:rPr>
          <w:rFonts w:ascii="Arial" w:hAnsi="Arial" w:cs="Arial"/>
          <w:b/>
        </w:rPr>
      </w:pPr>
    </w:p>
    <w:p w:rsidR="005A39D6" w:rsidRDefault="005A39D6" w:rsidP="005A39D6">
      <w:pPr>
        <w:rPr>
          <w:rFonts w:ascii="Arial" w:hAnsi="Arial" w:cs="Arial"/>
          <w:b/>
        </w:rPr>
      </w:pPr>
    </w:p>
    <w:p w:rsidR="005A39D6" w:rsidRDefault="005A39D6" w:rsidP="005A39D6">
      <w:pPr>
        <w:rPr>
          <w:rFonts w:ascii="Arial" w:hAnsi="Arial" w:cs="Arial"/>
          <w:b/>
        </w:rPr>
      </w:pPr>
    </w:p>
    <w:p w:rsidR="005A39D6" w:rsidRDefault="005A39D6" w:rsidP="005A39D6">
      <w:pPr>
        <w:jc w:val="center"/>
        <w:rPr>
          <w:rFonts w:ascii="Arial" w:hAnsi="Arial" w:cs="Arial"/>
          <w:b/>
        </w:rPr>
      </w:pPr>
      <w:r>
        <w:rPr>
          <w:rFonts w:ascii="Arial" w:hAnsi="Arial" w:cs="Arial"/>
          <w:b/>
          <w:noProof/>
        </w:rPr>
        <w:drawing>
          <wp:inline distT="0" distB="0" distL="0" distR="0" wp14:anchorId="115BA401" wp14:editId="03AF6FCB">
            <wp:extent cx="5068570" cy="3589655"/>
            <wp:effectExtent l="0" t="0" r="0" b="0"/>
            <wp:docPr id="2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8570" cy="3589655"/>
                    </a:xfrm>
                    <a:prstGeom prst="rect">
                      <a:avLst/>
                    </a:prstGeom>
                    <a:noFill/>
                    <a:ln>
                      <a:noFill/>
                    </a:ln>
                  </pic:spPr>
                </pic:pic>
              </a:graphicData>
            </a:graphic>
          </wp:inline>
        </w:drawing>
      </w:r>
    </w:p>
    <w:p w:rsidR="005A39D6" w:rsidRDefault="005A39D6" w:rsidP="005A39D6">
      <w:pPr>
        <w:rPr>
          <w:rFonts w:ascii="Arial" w:hAnsi="Arial" w:cs="Arial"/>
          <w:b/>
        </w:rPr>
      </w:pPr>
    </w:p>
    <w:p w:rsidR="005A39D6" w:rsidRDefault="005A39D6" w:rsidP="005A39D6">
      <w:pPr>
        <w:rPr>
          <w:rFonts w:ascii="Arial" w:hAnsi="Arial" w:cs="Arial"/>
          <w:b/>
        </w:rPr>
      </w:pPr>
    </w:p>
    <w:p w:rsidR="005A39D6" w:rsidRDefault="005A39D6" w:rsidP="005A39D6">
      <w:pPr>
        <w:rPr>
          <w:rFonts w:ascii="Arial" w:hAnsi="Arial" w:cs="Arial"/>
          <w:b/>
        </w:rPr>
      </w:pPr>
    </w:p>
    <w:p w:rsidR="005A39D6" w:rsidRDefault="005A39D6" w:rsidP="005A39D6">
      <w:pPr>
        <w:rPr>
          <w:rFonts w:ascii="Arial" w:hAnsi="Arial" w:cs="Arial"/>
        </w:rPr>
      </w:pPr>
      <w:r>
        <w:rPr>
          <w:rFonts w:ascii="Arial" w:hAnsi="Arial" w:cs="Arial"/>
          <w:b/>
        </w:rPr>
        <w:t>Figure S</w:t>
      </w:r>
      <w:r w:rsidR="009621A9">
        <w:rPr>
          <w:rFonts w:ascii="Arial" w:hAnsi="Arial" w:cs="Arial"/>
          <w:b/>
        </w:rPr>
        <w:t>8</w:t>
      </w:r>
      <w:r>
        <w:rPr>
          <w:rFonts w:ascii="Arial" w:hAnsi="Arial" w:cs="Arial"/>
          <w:b/>
        </w:rPr>
        <w:t xml:space="preserve">.  </w:t>
      </w:r>
      <w:r w:rsidRPr="00BA52FF">
        <w:rPr>
          <w:rFonts w:ascii="Arial" w:hAnsi="Arial" w:cs="Arial"/>
          <w:b/>
        </w:rPr>
        <w:t>Activity of CatD against aggregated Aß species.</w:t>
      </w:r>
      <w:r>
        <w:rPr>
          <w:rFonts w:ascii="Arial" w:hAnsi="Arial" w:cs="Arial"/>
        </w:rPr>
        <w:t xml:space="preserve">  </w:t>
      </w:r>
      <w:r w:rsidRPr="00F862E2">
        <w:rPr>
          <w:rFonts w:ascii="Arial" w:hAnsi="Arial" w:cs="Arial"/>
          <w:b/>
          <w:i/>
        </w:rPr>
        <w:t>A</w:t>
      </w:r>
      <w:r>
        <w:rPr>
          <w:rFonts w:ascii="Arial" w:hAnsi="Arial" w:cs="Arial"/>
        </w:rPr>
        <w:t>,</w:t>
      </w:r>
      <w:r w:rsidRPr="00F862E2">
        <w:rPr>
          <w:rFonts w:ascii="Arial" w:hAnsi="Arial" w:cs="Arial"/>
          <w:b/>
          <w:i/>
        </w:rPr>
        <w:t>B</w:t>
      </w:r>
      <w:r>
        <w:rPr>
          <w:rFonts w:ascii="Arial" w:hAnsi="Arial" w:cs="Arial"/>
        </w:rPr>
        <w:t>, Aß fibrils (</w:t>
      </w:r>
      <w:r w:rsidRPr="00F862E2">
        <w:rPr>
          <w:rFonts w:ascii="Arial" w:hAnsi="Arial" w:cs="Arial"/>
          <w:b/>
          <w:i/>
        </w:rPr>
        <w:t>A</w:t>
      </w:r>
      <w:r>
        <w:rPr>
          <w:rFonts w:ascii="Arial" w:hAnsi="Arial" w:cs="Arial"/>
        </w:rPr>
        <w:t>) and protofibrils (</w:t>
      </w:r>
      <w:r w:rsidRPr="00F862E2">
        <w:rPr>
          <w:rFonts w:ascii="Arial" w:hAnsi="Arial" w:cs="Arial"/>
          <w:b/>
          <w:i/>
        </w:rPr>
        <w:t>B</w:t>
      </w:r>
      <w:r>
        <w:rPr>
          <w:rFonts w:ascii="Arial" w:hAnsi="Arial" w:cs="Arial"/>
        </w:rPr>
        <w:t xml:space="preserve">) are degraded by CatD at pH 4.0 as assessed by thioflavin T (ThT) fluorescence, albeit on a time-scale of days.  As controls, we also tested trypsin (tryp) at pH 4.0 and IDE at pH 7.4.  The protease-free control (CTL) shown is for pH 4.0;  another control for pH 7.4 showed similar results, but has been omitted for clarity.  See </w:t>
      </w:r>
      <w:r w:rsidRPr="00F862E2">
        <w:rPr>
          <w:rFonts w:ascii="Arial" w:hAnsi="Arial" w:cs="Arial"/>
          <w:i/>
        </w:rPr>
        <w:t>Supplemental Methods</w:t>
      </w:r>
      <w:r>
        <w:rPr>
          <w:rFonts w:ascii="Arial" w:hAnsi="Arial" w:cs="Arial"/>
        </w:rPr>
        <w:t xml:space="preserve"> for details.  Data are mean ± SEM for 4 independent replications.  *</w:t>
      </w:r>
      <w:r w:rsidRPr="00F862E2">
        <w:rPr>
          <w:rFonts w:ascii="Arial" w:hAnsi="Arial" w:cs="Arial"/>
          <w:i/>
        </w:rPr>
        <w:t>p</w:t>
      </w:r>
      <w:r>
        <w:rPr>
          <w:rFonts w:ascii="Arial" w:hAnsi="Arial" w:cs="Arial"/>
        </w:rPr>
        <w:t xml:space="preserve"> &lt;0.05; </w:t>
      </w:r>
      <w:r w:rsidRPr="000A6731">
        <w:rPr>
          <w:rFonts w:ascii="Arial" w:hAnsi="Arial" w:cs="Arial"/>
          <w:vertAlign w:val="superscript"/>
        </w:rPr>
        <w:t>†</w:t>
      </w:r>
      <w:r>
        <w:rPr>
          <w:rFonts w:ascii="Arial" w:hAnsi="Arial" w:cs="Arial"/>
          <w:i/>
        </w:rPr>
        <w:t xml:space="preserve">p </w:t>
      </w:r>
      <w:r w:rsidRPr="000A6731">
        <w:rPr>
          <w:rFonts w:ascii="Arial" w:hAnsi="Arial" w:cs="Arial"/>
        </w:rPr>
        <w:t>&lt;0.0</w:t>
      </w:r>
      <w:r>
        <w:rPr>
          <w:rFonts w:ascii="Arial" w:hAnsi="Arial" w:cs="Arial"/>
        </w:rPr>
        <w:t xml:space="preserve">1. </w:t>
      </w:r>
      <w:r w:rsidRPr="00F862E2">
        <w:rPr>
          <w:rFonts w:ascii="Arial" w:hAnsi="Arial" w:cs="Arial"/>
          <w:b/>
          <w:i/>
        </w:rPr>
        <w:t>C</w:t>
      </w:r>
      <w:r>
        <w:rPr>
          <w:rFonts w:ascii="Arial" w:hAnsi="Arial" w:cs="Arial"/>
        </w:rPr>
        <w:t xml:space="preserve">, CatD shows no effect on SDS-induced Aß oligomers, at least after 16-h incubation.  See </w:t>
      </w:r>
      <w:r w:rsidRPr="00F862E2">
        <w:rPr>
          <w:rFonts w:ascii="Arial" w:hAnsi="Arial" w:cs="Arial"/>
          <w:i/>
        </w:rPr>
        <w:t>Supplemental Methods</w:t>
      </w:r>
      <w:r>
        <w:rPr>
          <w:rFonts w:ascii="Arial" w:hAnsi="Arial" w:cs="Arial"/>
        </w:rPr>
        <w:t xml:space="preserve"> for details.</w:t>
      </w:r>
    </w:p>
    <w:p w:rsidR="005A39D6" w:rsidRDefault="005A39D6" w:rsidP="005A39D6">
      <w:pPr>
        <w:rPr>
          <w:rFonts w:ascii="Arial" w:hAnsi="Arial" w:cs="Arial"/>
        </w:rPr>
      </w:pPr>
    </w:p>
    <w:p w:rsidR="005A39D6" w:rsidRDefault="005A39D6" w:rsidP="005A39D6">
      <w:pPr>
        <w:rPr>
          <w:rFonts w:ascii="Arial" w:hAnsi="Arial" w:cs="Arial"/>
        </w:rPr>
      </w:pPr>
    </w:p>
    <w:p w:rsidR="005A39D6" w:rsidRPr="008C6C56" w:rsidRDefault="005A39D6" w:rsidP="005A39D6">
      <w:pPr>
        <w:rPr>
          <w:rFonts w:ascii="Arial" w:hAnsi="Arial" w:cs="Arial"/>
          <w:b/>
        </w:rPr>
      </w:pPr>
      <w:r>
        <w:rPr>
          <w:rFonts w:ascii="Arial" w:hAnsi="Arial" w:cs="Arial"/>
        </w:rPr>
        <w:br w:type="page"/>
      </w:r>
      <w:r w:rsidRPr="008C6C56">
        <w:rPr>
          <w:rFonts w:ascii="Arial" w:hAnsi="Arial" w:cs="Arial"/>
          <w:b/>
        </w:rPr>
        <w:lastRenderedPageBreak/>
        <w:t>Figure S</w:t>
      </w:r>
      <w:r w:rsidR="009621A9">
        <w:rPr>
          <w:rFonts w:ascii="Arial" w:hAnsi="Arial" w:cs="Arial"/>
          <w:b/>
        </w:rPr>
        <w:t>9</w:t>
      </w:r>
    </w:p>
    <w:p w:rsidR="005A39D6" w:rsidRPr="00C60B5E" w:rsidRDefault="005A39D6" w:rsidP="005A39D6">
      <w:pPr>
        <w:rPr>
          <w:rFonts w:ascii="Arial" w:hAnsi="Arial"/>
          <w:sz w:val="32"/>
        </w:rPr>
      </w:pPr>
      <w:r w:rsidRPr="00C60B5E">
        <w:rPr>
          <w:rFonts w:ascii="Arial" w:hAnsi="Arial"/>
          <w:sz w:val="32"/>
        </w:rPr>
        <w:t>A</w:t>
      </w:r>
    </w:p>
    <w:p w:rsidR="005A39D6" w:rsidRPr="00C60B5E" w:rsidRDefault="005A39D6" w:rsidP="005A39D6">
      <w:pPr>
        <w:jc w:val="center"/>
        <w:rPr>
          <w:rFonts w:ascii="Arial" w:hAnsi="Arial"/>
          <w:sz w:val="32"/>
        </w:rPr>
      </w:pPr>
      <w:r>
        <w:rPr>
          <w:rFonts w:ascii="Arial" w:hAnsi="Arial"/>
          <w:noProof/>
          <w:sz w:val="32"/>
        </w:rPr>
        <w:drawing>
          <wp:inline distT="0" distB="0" distL="0" distR="0" wp14:anchorId="7C605F69" wp14:editId="183946D8">
            <wp:extent cx="5937885" cy="1083945"/>
            <wp:effectExtent l="0" t="0" r="0" b="0"/>
            <wp:docPr id="20" name="Picture 14" descr="Cartoon-of-CatD-and-A58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artoon-of-CatD-and-A58V"/>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1083945"/>
                    </a:xfrm>
                    <a:prstGeom prst="rect">
                      <a:avLst/>
                    </a:prstGeom>
                    <a:noFill/>
                    <a:ln>
                      <a:noFill/>
                    </a:ln>
                  </pic:spPr>
                </pic:pic>
              </a:graphicData>
            </a:graphic>
          </wp:inline>
        </w:drawing>
      </w:r>
    </w:p>
    <w:p w:rsidR="005A39D6" w:rsidRPr="00C60B5E" w:rsidRDefault="005A39D6" w:rsidP="005A39D6">
      <w:pPr>
        <w:rPr>
          <w:rFonts w:ascii="Arial" w:hAnsi="Arial"/>
          <w:sz w:val="32"/>
        </w:rPr>
      </w:pPr>
      <w:r w:rsidRPr="00C60B5E">
        <w:rPr>
          <w:rFonts w:ascii="Arial" w:hAnsi="Arial"/>
          <w:sz w:val="32"/>
        </w:rPr>
        <w:t>B</w:t>
      </w:r>
    </w:p>
    <w:p w:rsidR="005A39D6" w:rsidRDefault="005A39D6" w:rsidP="005A39D6">
      <w:pPr>
        <w:jc w:val="center"/>
        <w:rPr>
          <w:rFonts w:ascii="Arial" w:hAnsi="Arial" w:cs="Arial"/>
          <w:b/>
        </w:rPr>
      </w:pPr>
      <w:r>
        <w:rPr>
          <w:rFonts w:ascii="Arial" w:hAnsi="Arial" w:cs="Arial"/>
          <w:noProof/>
          <w:sz w:val="20"/>
          <w:szCs w:val="20"/>
        </w:rPr>
        <w:drawing>
          <wp:inline distT="0" distB="0" distL="0" distR="0" wp14:anchorId="685F7E25" wp14:editId="32773BB1">
            <wp:extent cx="3646170" cy="3623945"/>
            <wp:effectExtent l="0" t="0" r="0" b="0"/>
            <wp:docPr id="1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6170" cy="3623945"/>
                    </a:xfrm>
                    <a:prstGeom prst="rect">
                      <a:avLst/>
                    </a:prstGeom>
                    <a:noFill/>
                    <a:ln>
                      <a:noFill/>
                    </a:ln>
                  </pic:spPr>
                </pic:pic>
              </a:graphicData>
            </a:graphic>
          </wp:inline>
        </w:drawing>
      </w:r>
    </w:p>
    <w:p w:rsidR="005A39D6" w:rsidRDefault="005A39D6" w:rsidP="005A39D6">
      <w:pPr>
        <w:rPr>
          <w:rFonts w:ascii="Arial" w:hAnsi="Arial" w:cs="Arial"/>
          <w:b/>
        </w:rPr>
      </w:pPr>
    </w:p>
    <w:p w:rsidR="005A39D6" w:rsidRDefault="005A39D6" w:rsidP="005A39D6">
      <w:pPr>
        <w:rPr>
          <w:rFonts w:ascii="Arial" w:hAnsi="Arial" w:cs="Arial"/>
        </w:rPr>
      </w:pPr>
      <w:r w:rsidRPr="00156C44">
        <w:rPr>
          <w:rFonts w:ascii="Arial" w:hAnsi="Arial" w:cs="Arial"/>
          <w:b/>
        </w:rPr>
        <w:t>Figure S</w:t>
      </w:r>
      <w:r w:rsidR="009621A9">
        <w:rPr>
          <w:rFonts w:ascii="Arial" w:hAnsi="Arial" w:cs="Arial"/>
          <w:b/>
        </w:rPr>
        <w:t>9</w:t>
      </w:r>
      <w:r>
        <w:rPr>
          <w:rFonts w:ascii="Arial" w:hAnsi="Arial" w:cs="Arial"/>
          <w:b/>
        </w:rPr>
        <w:t>.</w:t>
      </w:r>
      <w:r>
        <w:rPr>
          <w:rFonts w:ascii="Arial" w:hAnsi="Arial" w:cs="Arial"/>
        </w:rPr>
        <w:t xml:space="preserve">  </w:t>
      </w:r>
      <w:r w:rsidRPr="00BA52FF">
        <w:rPr>
          <w:rFonts w:ascii="Arial" w:hAnsi="Arial" w:cs="Arial"/>
          <w:b/>
        </w:rPr>
        <w:t xml:space="preserve">Evidence for a statistically significant genetic association between a functional polymorphism in </w:t>
      </w:r>
      <w:r w:rsidRPr="00BA52FF">
        <w:rPr>
          <w:rFonts w:ascii="Arial" w:hAnsi="Arial" w:cs="Arial"/>
          <w:b/>
          <w:i/>
        </w:rPr>
        <w:t>CTSD</w:t>
      </w:r>
      <w:r w:rsidRPr="00BA52FF">
        <w:rPr>
          <w:rFonts w:ascii="Arial" w:hAnsi="Arial" w:cs="Arial"/>
          <w:b/>
        </w:rPr>
        <w:t xml:space="preserve"> and risk for late-onset AD (LOAD).</w:t>
      </w:r>
      <w:r>
        <w:rPr>
          <w:rFonts w:ascii="Arial" w:hAnsi="Arial" w:cs="Arial"/>
        </w:rPr>
        <w:t xml:space="preserve"> </w:t>
      </w:r>
      <w:r w:rsidRPr="002A395A">
        <w:rPr>
          <w:rFonts w:ascii="Arial" w:hAnsi="Arial" w:cs="Arial"/>
          <w:b/>
          <w:i/>
        </w:rPr>
        <w:t xml:space="preserve"> A</w:t>
      </w:r>
      <w:r>
        <w:rPr>
          <w:rFonts w:ascii="Arial" w:hAnsi="Arial" w:cs="Arial"/>
        </w:rPr>
        <w:t>, Cartoon showing the location of the C224</w:t>
      </w:r>
      <w:r w:rsidRPr="002A395A">
        <w:rPr>
          <w:rFonts w:ascii="Arial" w:hAnsi="Arial" w:cs="Arial"/>
        </w:rPr>
        <w:sym w:font="Wingdings" w:char="F0E0"/>
      </w:r>
      <w:r>
        <w:rPr>
          <w:rFonts w:ascii="Arial" w:hAnsi="Arial" w:cs="Arial"/>
        </w:rPr>
        <w:t xml:space="preserve">T/A58V polymorphism in relation to other relevant features of the CatD molecule including the active-site aspartyl residues.  SP = signal peptide.  </w:t>
      </w:r>
      <w:r w:rsidRPr="002A395A">
        <w:rPr>
          <w:rFonts w:ascii="Arial" w:hAnsi="Arial" w:cs="Arial"/>
          <w:b/>
          <w:i/>
        </w:rPr>
        <w:t>B</w:t>
      </w:r>
      <w:r>
        <w:rPr>
          <w:rFonts w:ascii="Arial" w:hAnsi="Arial" w:cs="Arial"/>
        </w:rPr>
        <w:t xml:space="preserve">,  </w:t>
      </w:r>
      <w:r w:rsidRPr="00156C44">
        <w:rPr>
          <w:rFonts w:ascii="Arial" w:hAnsi="Arial" w:cs="Arial"/>
        </w:rPr>
        <w:t>Forest plot showing odds ratios (</w:t>
      </w:r>
      <w:r w:rsidRPr="00156C44">
        <w:rPr>
          <w:rFonts w:ascii="Arial" w:hAnsi="Arial" w:cs="Arial"/>
          <w:i/>
        </w:rPr>
        <w:t>black squares</w:t>
      </w:r>
      <w:r w:rsidRPr="00156C44">
        <w:rPr>
          <w:rFonts w:ascii="Arial" w:hAnsi="Arial" w:cs="Arial"/>
        </w:rPr>
        <w:t>), 95% confidence limits (</w:t>
      </w:r>
      <w:r w:rsidRPr="00156C44">
        <w:rPr>
          <w:rFonts w:ascii="Arial" w:hAnsi="Arial" w:cs="Arial"/>
          <w:i/>
        </w:rPr>
        <w:t>lines</w:t>
      </w:r>
      <w:r w:rsidRPr="00156C44">
        <w:rPr>
          <w:rFonts w:ascii="Arial" w:hAnsi="Arial" w:cs="Arial"/>
        </w:rPr>
        <w:t>), and the summary measure (</w:t>
      </w:r>
      <w:r w:rsidRPr="00156C44">
        <w:rPr>
          <w:rFonts w:ascii="Arial" w:hAnsi="Arial" w:cs="Arial"/>
          <w:i/>
        </w:rPr>
        <w:t>diamond</w:t>
      </w:r>
      <w:r w:rsidRPr="00156C44">
        <w:rPr>
          <w:rFonts w:ascii="Arial" w:hAnsi="Arial" w:cs="Arial"/>
        </w:rPr>
        <w:t>) for the association between C</w:t>
      </w:r>
      <w:r w:rsidRPr="00156C44">
        <w:rPr>
          <w:rFonts w:ascii="Arial" w:hAnsi="Arial" w:cs="Arial"/>
        </w:rPr>
        <w:sym w:font="Wingdings" w:char="F0E0"/>
      </w:r>
      <w:r w:rsidRPr="00156C44">
        <w:rPr>
          <w:rFonts w:ascii="Arial" w:hAnsi="Arial" w:cs="Arial"/>
        </w:rPr>
        <w:t>224T and LOAD in 18 published Caucasian series from AlzGene</w:t>
      </w:r>
      <w:r>
        <w:rPr>
          <w:rFonts w:ascii="Arial" w:hAnsi="Arial" w:cs="Arial"/>
        </w:rPr>
        <w:t xml:space="preserve"> </w:t>
      </w:r>
      <w:r>
        <w:rPr>
          <w:rFonts w:ascii="Arial" w:hAnsi="Arial" w:cs="Arial"/>
        </w:rPr>
        <w:fldChar w:fldCharType="begin"/>
      </w:r>
      <w:r w:rsidR="00496991">
        <w:rPr>
          <w:rFonts w:ascii="Arial" w:hAnsi="Arial" w:cs="Arial"/>
        </w:rPr>
        <w:instrText xml:space="preserve"> ADDIN EN.CITE &lt;EndNote&gt;&lt;Cite&gt;&lt;Author&gt;Bertram&lt;/Author&gt;&lt;Year&gt;2007&lt;/Year&gt;&lt;RecNum&gt;2540&lt;/RecNum&gt;&lt;DisplayText&gt;[1]&lt;/DisplayText&gt;&lt;record&gt;&lt;rec-number&gt;2540&lt;/rec-number&gt;&lt;foreign-keys&gt;&lt;key app="EN" db-id="ps20twr96vwpt7efdsp50wrep9900td0esvr" timestamp="0"&gt;2540&lt;/key&gt;&lt;/foreign-keys&gt;&lt;ref-type name="Journal Article"&gt;17&lt;/ref-type&gt;&lt;contributors&gt;&lt;authors&gt;&lt;author&gt;Bertram, L.&lt;/author&gt;&lt;author&gt;McQueen, M. B.&lt;/author&gt;&lt;author&gt;Mullin, K.&lt;/author&gt;&lt;author&gt;Blacker, D.&lt;/author&gt;&lt;author&gt;Tanzi, R. E.&lt;/author&gt;&lt;/authors&gt;&lt;/contributors&gt;&lt;auth-address&gt;Genetics and Aging Research Unit, MassGeneral Institute for Neurodegenerative Disease (MIND), Department of Neurology, Massachusetts General Hospital, Charlestown, Massachusetts 02129, USA. bertram@helix.mgh.harvard.edu&lt;/auth-address&gt;&lt;titles&gt;&lt;title&gt;Systematic meta-analyses of Alzheimer disease genetic association studies: the AlzGene database&lt;/title&gt;&lt;secondary-title&gt;Nat Genet&lt;/secondary-title&gt;&lt;/titles&gt;&lt;periodical&gt;&lt;full-title&gt;Nat Genet&lt;/full-title&gt;&lt;/periodical&gt;&lt;pages&gt;17-23&lt;/pages&gt;&lt;volume&gt;39&lt;/volume&gt;&lt;number&gt;1&lt;/number&gt;&lt;keywords&gt;&lt;keyword&gt;Alzheimer Disease/*genetics&lt;/keyword&gt;&lt;keyword&gt;Apolipoprotein E4/genetics&lt;/keyword&gt;&lt;keyword&gt;*Databases, Genetic&lt;/keyword&gt;&lt;keyword&gt;Genetic Heterogeneity&lt;/keyword&gt;&lt;keyword&gt;*Genetic Predisposition to Disease&lt;/keyword&gt;&lt;keyword&gt;Humans&lt;/keyword&gt;&lt;keyword&gt;Linkage (Genetics)&lt;/keyword&gt;&lt;keyword&gt;Polymorphism, Genetic&lt;/keyword&gt;&lt;/keywords&gt;&lt;dates&gt;&lt;year&gt;2007&lt;/year&gt;&lt;pub-dates&gt;&lt;date&gt;Jan&lt;/date&gt;&lt;/pub-dates&gt;&lt;/dates&gt;&lt;accession-num&gt;17192785&lt;/accession-num&gt;&lt;urls&gt;&lt;related-urls&gt;&lt;url&gt;http://www.ncbi.nlm.nih.gov/entrez/query.fcgi?cmd=Retrieve&amp;amp;db=PubMed&amp;amp;dopt=Citation&amp;amp;list_uids=17192785 &lt;/url&gt;&lt;/related-urls&gt;&lt;/urls&gt;&lt;/record&gt;&lt;/Cite&gt;&lt;/EndNote&gt;</w:instrText>
      </w:r>
      <w:r>
        <w:rPr>
          <w:rFonts w:ascii="Arial" w:hAnsi="Arial" w:cs="Arial"/>
        </w:rPr>
        <w:fldChar w:fldCharType="separate"/>
      </w:r>
      <w:r w:rsidR="00496991">
        <w:rPr>
          <w:rFonts w:ascii="Arial" w:hAnsi="Arial" w:cs="Arial"/>
          <w:noProof/>
        </w:rPr>
        <w:t>[1]</w:t>
      </w:r>
      <w:r>
        <w:rPr>
          <w:rFonts w:ascii="Arial" w:hAnsi="Arial" w:cs="Arial"/>
        </w:rPr>
        <w:fldChar w:fldCharType="end"/>
      </w:r>
      <w:r w:rsidRPr="00156C44">
        <w:rPr>
          <w:rFonts w:ascii="Arial" w:hAnsi="Arial" w:cs="Arial"/>
        </w:rPr>
        <w:t xml:space="preserve"> composed of 4,154 ADs and 9,302 controls</w:t>
      </w:r>
      <w:r>
        <w:rPr>
          <w:rFonts w:ascii="Arial" w:hAnsi="Arial" w:cs="Arial"/>
        </w:rPr>
        <w:t xml:space="preserve">, excluding series with Hardy-Weinberg disequilibrium in controls at p&lt;0.01 </w:t>
      </w:r>
      <w:r w:rsidRPr="00156C44">
        <w:rPr>
          <w:rFonts w:ascii="Arial" w:hAnsi="Arial" w:cs="Arial"/>
        </w:rPr>
        <w:t xml:space="preserve">. To perform a meta-analysis of all published, Caucasian series, allelic counts were calculated using the reported allelic frequency and sample size information from the AlzGene website </w:t>
      </w:r>
      <w:r>
        <w:rPr>
          <w:rFonts w:ascii="Arial" w:hAnsi="Arial" w:cs="Arial"/>
        </w:rPr>
        <w:fldChar w:fldCharType="begin"/>
      </w:r>
      <w:r w:rsidR="00496991">
        <w:rPr>
          <w:rFonts w:ascii="Arial" w:hAnsi="Arial" w:cs="Arial"/>
        </w:rPr>
        <w:instrText xml:space="preserve"> ADDIN EN.CITE &lt;EndNote&gt;&lt;Cite&gt;&lt;Author&gt;Bertram&lt;/Author&gt;&lt;Year&gt;2007&lt;/Year&gt;&lt;RecNum&gt;2540&lt;/RecNum&gt;&lt;DisplayText&gt;[1]&lt;/DisplayText&gt;&lt;record&gt;&lt;rec-number&gt;2540&lt;/rec-number&gt;&lt;foreign-keys&gt;&lt;key app="EN" db-id="ps20twr96vwpt7efdsp50wrep9900td0esvr" timestamp="0"&gt;2540&lt;/key&gt;&lt;/foreign-keys&gt;&lt;ref-type name="Journal Article"&gt;17&lt;/ref-type&gt;&lt;contributors&gt;&lt;authors&gt;&lt;author&gt;Bertram, L.&lt;/author&gt;&lt;author&gt;McQueen, M. B.&lt;/author&gt;&lt;author&gt;Mullin, K.&lt;/author&gt;&lt;author&gt;Blacker, D.&lt;/author&gt;&lt;author&gt;Tanzi, R. E.&lt;/author&gt;&lt;/authors&gt;&lt;/contributors&gt;&lt;auth-address&gt;Genetics and Aging Research Unit, MassGeneral Institute for Neurodegenerative Disease (MIND), Department of Neurology, Massachusetts General Hospital, Charlestown, Massachusetts 02129, USA. bertram@helix.mgh.harvard.edu&lt;/auth-address&gt;&lt;titles&gt;&lt;title&gt;Systematic meta-analyses of Alzheimer disease genetic association studies: the AlzGene database&lt;/title&gt;&lt;secondary-title&gt;Nat Genet&lt;/secondary-title&gt;&lt;/titles&gt;&lt;periodical&gt;&lt;full-title&gt;Nat Genet&lt;/full-title&gt;&lt;/periodical&gt;&lt;pages&gt;17-23&lt;/pages&gt;&lt;volume&gt;39&lt;/volume&gt;&lt;number&gt;1&lt;/number&gt;&lt;keywords&gt;&lt;keyword&gt;Alzheimer Disease/*genetics&lt;/keyword&gt;&lt;keyword&gt;Apolipoprotein E4/genetics&lt;/keyword&gt;&lt;keyword&gt;*Databases, Genetic&lt;/keyword&gt;&lt;keyword&gt;Genetic Heterogeneity&lt;/keyword&gt;&lt;keyword&gt;*Genetic Predisposition to Disease&lt;/keyword&gt;&lt;keyword&gt;Humans&lt;/keyword&gt;&lt;keyword&gt;Linkage (Genetics)&lt;/keyword&gt;&lt;keyword&gt;Polymorphism, Genetic&lt;/keyword&gt;&lt;/keywords&gt;&lt;dates&gt;&lt;year&gt;2007&lt;/year&gt;&lt;pub-dates&gt;&lt;date&gt;Jan&lt;/date&gt;&lt;/pub-dates&gt;&lt;/dates&gt;&lt;accession-num&gt;17192785&lt;/accession-num&gt;&lt;urls&gt;&lt;related-urls&gt;&lt;url&gt;http://www.ncbi.nlm.nih.gov/entrez/query.fcgi?cmd=Retrieve&amp;amp;db=PubMed&amp;amp;dopt=Citation&amp;amp;list_uids=17192785 &lt;/url&gt;&lt;/related-urls&gt;&lt;/urls&gt;&lt;/record&gt;&lt;/Cite&gt;&lt;/EndNote&gt;</w:instrText>
      </w:r>
      <w:r>
        <w:rPr>
          <w:rFonts w:ascii="Arial" w:hAnsi="Arial" w:cs="Arial"/>
        </w:rPr>
        <w:fldChar w:fldCharType="separate"/>
      </w:r>
      <w:r w:rsidR="00496991">
        <w:rPr>
          <w:rFonts w:ascii="Arial" w:hAnsi="Arial" w:cs="Arial"/>
          <w:noProof/>
        </w:rPr>
        <w:t>[1]</w:t>
      </w:r>
      <w:r>
        <w:rPr>
          <w:rFonts w:ascii="Arial" w:hAnsi="Arial" w:cs="Arial"/>
        </w:rPr>
        <w:fldChar w:fldCharType="end"/>
      </w:r>
      <w:r w:rsidRPr="00156C44">
        <w:rPr>
          <w:rFonts w:ascii="Arial" w:hAnsi="Arial" w:cs="Arial"/>
        </w:rPr>
        <w:t>. Test statistics are reported for each series and pooled test statistics are reported using the random effects model (DerSimonian-Laird). Note that meta-analysis of the combined 18 series reveals a statistically</w:t>
      </w:r>
      <w:r>
        <w:rPr>
          <w:rFonts w:ascii="Arial" w:hAnsi="Arial" w:cs="Arial"/>
        </w:rPr>
        <w:t xml:space="preserve"> significant association (</w:t>
      </w:r>
      <w:r w:rsidRPr="00BC17CD">
        <w:rPr>
          <w:rFonts w:ascii="Arial" w:hAnsi="Arial" w:cs="Arial"/>
          <w:i/>
        </w:rPr>
        <w:t>p</w:t>
      </w:r>
      <w:r>
        <w:rPr>
          <w:rFonts w:ascii="Arial" w:hAnsi="Arial" w:cs="Arial"/>
        </w:rPr>
        <w:t xml:space="preserve"> &lt;0.05</w:t>
      </w:r>
      <w:r w:rsidRPr="00156C44">
        <w:rPr>
          <w:rFonts w:ascii="Arial" w:hAnsi="Arial" w:cs="Arial"/>
        </w:rPr>
        <w:t xml:space="preserve">), with the loss-of-function SNP conferring increased risk for LOAD. </w:t>
      </w:r>
    </w:p>
    <w:p w:rsidR="005A39D6" w:rsidRPr="000F79DF" w:rsidRDefault="005A39D6" w:rsidP="005A39D6">
      <w:pPr>
        <w:rPr>
          <w:rFonts w:ascii="Arial" w:hAnsi="Arial" w:cs="Arial"/>
          <w:b/>
          <w:sz w:val="32"/>
        </w:rPr>
      </w:pPr>
      <w:r>
        <w:rPr>
          <w:rFonts w:ascii="Arial" w:hAnsi="Arial" w:cs="Arial"/>
          <w:b/>
          <w:sz w:val="32"/>
        </w:rPr>
        <w:br w:type="page"/>
      </w:r>
      <w:r w:rsidRPr="000F79DF">
        <w:rPr>
          <w:rFonts w:ascii="Arial" w:hAnsi="Arial" w:cs="Arial"/>
          <w:b/>
          <w:sz w:val="32"/>
        </w:rPr>
        <w:lastRenderedPageBreak/>
        <w:t xml:space="preserve">Supplemental </w:t>
      </w:r>
      <w:r>
        <w:rPr>
          <w:rFonts w:ascii="Arial" w:hAnsi="Arial" w:cs="Arial"/>
          <w:b/>
          <w:sz w:val="32"/>
        </w:rPr>
        <w:t>Method</w:t>
      </w:r>
      <w:r w:rsidRPr="000F79DF">
        <w:rPr>
          <w:rFonts w:ascii="Arial" w:hAnsi="Arial" w:cs="Arial"/>
          <w:b/>
          <w:sz w:val="32"/>
        </w:rPr>
        <w:t>s</w:t>
      </w:r>
    </w:p>
    <w:p w:rsidR="005A39D6" w:rsidRPr="00156C44" w:rsidRDefault="005A39D6" w:rsidP="005A39D6">
      <w:pPr>
        <w:rPr>
          <w:rFonts w:ascii="Arial" w:hAnsi="Arial" w:cs="Arial"/>
        </w:rPr>
      </w:pPr>
    </w:p>
    <w:p w:rsidR="005A39D6" w:rsidRPr="000F79DF" w:rsidRDefault="005A39D6" w:rsidP="005A39D6">
      <w:pPr>
        <w:spacing w:line="360" w:lineRule="auto"/>
        <w:rPr>
          <w:rFonts w:ascii="Arial" w:hAnsi="Arial" w:cs="Arial"/>
          <w:b/>
        </w:rPr>
      </w:pPr>
      <w:r w:rsidRPr="000F79DF">
        <w:rPr>
          <w:rFonts w:ascii="Arial" w:hAnsi="Arial" w:cs="Arial"/>
          <w:b/>
        </w:rPr>
        <w:t>Western Blotting</w:t>
      </w:r>
    </w:p>
    <w:p w:rsidR="005A39D6" w:rsidRDefault="005A39D6" w:rsidP="005A39D6">
      <w:pPr>
        <w:spacing w:line="360" w:lineRule="auto"/>
        <w:rPr>
          <w:rFonts w:ascii="Arial" w:hAnsi="Arial" w:cs="Arial"/>
        </w:rPr>
      </w:pPr>
      <w:r w:rsidRPr="000F79DF">
        <w:rPr>
          <w:rFonts w:ascii="Arial" w:hAnsi="Arial" w:cs="Arial"/>
        </w:rPr>
        <w:t xml:space="preserve">Western blots were performed as described </w:t>
      </w:r>
      <w:r>
        <w:rPr>
          <w:rFonts w:ascii="Arial" w:hAnsi="Arial"/>
        </w:rPr>
        <w:fldChar w:fldCharType="begin">
          <w:fldData xml:space="preserve">PEVuZE5vdGU+PENpdGU+PEF1dGhvcj5MZWlzc3Jpbmc8L0F1dGhvcj48WWVhcj4yMDAzPC9ZZWFy
PjxSZWNOdW0+NjE1PC9SZWNOdW0+PERpc3BsYXlUZXh0PlsyXTwvRGlzcGxheVRleHQ+PHJlY29y
ZD48cmVjLW51bWJlcj42MTU8L3JlYy1udW1iZXI+PGZvcmVpZ24ta2V5cz48a2V5IGFwcD0iRU4i
IGRiLWlkPSJwczIwdHdyOTZ2d3B0N2VmZHNwNTB3cmVwOTkwMHRkMGVzdnIiIHRpbWVzdGFtcD0i
MCI+NjE1PC9rZXk+PC9mb3JlaWduLWtleXM+PHJlZi10eXBlIG5hbWU9IkpvdXJuYWwgQXJ0aWNs
ZSI+MTc8L3JlZi10eXBlPjxjb250cmlidXRvcnM+PGF1dGhvcnM+PGF1dGhvcj5MZWlzc3Jpbmcs
IE0uIEEuPC9hdXRob3I+PGF1dGhvcj5GYXJyaXMsIFcuPC9hdXRob3I+PGF1dGhvcj5DaGFuZywg
QS4gWS48L2F1dGhvcj48YXV0aG9yPldhbHNoLCBELiBNLjwvYXV0aG9yPjxhdXRob3I+V3UsIFgu
PC9hdXRob3I+PGF1dGhvcj5TdW4sIFguPC9hdXRob3I+PGF1dGhvcj5Gcm9zY2gsIE0uIFAuPC9h
dXRob3I+PGF1dGhvcj5TZWxrb2UsIEQuIEouPC9hdXRob3I+PC9hdXRob3JzPjwvY29udHJpYnV0
b3JzPjx0aXRsZXM+PHRpdGxlPkVuaGFuY2VkIHByb3Rlb2x5c2lzIG9mIGJldGEtYW15bG9pZCBp
biBBUFAgdHJhbnNnZW5pYyBtaWNlIHByZXZlbnRzIHBsYXF1ZSBmb3JtYXRpb24sIHNlY29uZGFy
eSBwYXRob2xvZ3ksIGFuZCBwcmVtYXR1cmUgZGVhdGg8L3RpdGxlPjxzZWNvbmRhcnktdGl0bGU+
TmV1cm9uPC9zZWNvbmRhcnktdGl0bGU+PC90aXRsZXM+PHBlcmlvZGljYWw+PGZ1bGwtdGl0bGU+
TmV1cm9uPC9mdWxsLXRpdGxlPjwvcGVyaW9kaWNhbD48cGFnZXM+MTA4Ny05My48L3BhZ2VzPjx2
b2x1bWU+NDA8L3ZvbHVtZT48bnVtYmVyPjY8L251bWJlcj48a2V5d29yZHM+PGtleXdvcmQ+MCAo
QW15bG9pZCBiZXRhLVByb3RlaW4pPC9rZXl3b3JkPjxrZXl3b3JkPjAgKEFteWxvaWQgYmV0YS1Q
cm90ZWluIFByZWN1cnNvcik8L2tleXdvcmQ+PGtleXdvcmQ+RUMgMy40IChQZXB0aWRlIEh5ZHJv
bGFzZXMpPC9rZXl3b3JkPjxrZXl3b3JkPkVDIDMuNC4yNC4xMSAoTmVwcmlseXNpbik8L2tleXdv
cmQ+PGtleXdvcmQ+RUMgMy40LjI0LjU2IChJbnN1bHlzaW4pPC9rZXl3b3JkPjxrZXl3b3JkPkFt
eWxvaWQgYmV0YS1Qcm90ZWluL2dlbmV0aWNzLyptZXRhYm9saXNtPC9rZXl3b3JkPjxrZXl3b3Jk
PkFteWxvaWQgYmV0YS1Qcm90ZWluIFByZWN1cnNvci9nZW5ldGljcy8qbWV0YWJvbGlzbTwva2V5
d29yZD48a2V5d29yZD5BbmltYWxzPC9rZXl3b3JkPjxrZXl3b3JkPkNvbXBhcmF0aXZlIFN0dWR5
PC9rZXl3b3JkPjxrZXl3b3JkPkZlbWFsZTwva2V5d29yZD48a2V5d29yZD5IdW1hbjwva2V5d29y
ZD48a2V5d29yZD5JbnN1bHlzaW4vYmlvc3ludGhlc2lzL2dlbmV0aWNzPC9rZXl3b3JkPjxrZXl3
b3JkPk1hbGU8L2tleXdvcmQ+PGtleXdvcmQ+TWljZTwva2V5d29yZD48a2V5d29yZD5NaWNlLCBJ
bmJyZWQgQzU3Qkw8L2tleXdvcmQ+PGtleXdvcmQ+TWljZSwgVHJhbnNnZW5pYzwva2V5d29yZD48
a2V5d29yZD5OZXByaWx5c2luL2Jpb3N5bnRoZXNpcy9nZW5ldGljczwva2V5d29yZD48a2V5d29y
ZD5QZXB0aWRlIEh5ZHJvbGFzZXMvKmJpb3N5bnRoZXNpcy9nZW5ldGljczwva2V5d29yZD48a2V5
d29yZD5QcmVnbmFuY3k8L2tleXdvcmQ+PGtleXdvcmQ+U2VuaWxlIFBsYXF1ZXMvZ2VuZXRpY3Mv
Km1ldGFib2xpc20vcGF0aG9sb2d5PC9rZXl3b3JkPjxrZXl3b3JkPlN1cHBvcnQsIE5vbi1VLlMu
IEdvdiZhcG9zO3Q8L2tleXdvcmQ+PGtleXdvcmQ+U3VwcG9ydCwgVS5TLiBHb3YmYXBvczt0LCBQ
LkguUy48L2tleXdvcmQ+PGtleXdvcmQ+U3Vydml2YWwgUmF0ZTwva2V5d29yZD48a2V5d29yZD5V
cC1SZWd1bGF0aW9uL3BoeXNpb2xvZ3k8L2tleXdvcmQ+PC9rZXl3b3Jkcz48ZGF0ZXM+PHllYXI+
MjAwMzwveWVhcj48cHViLWRhdGVzPjxkYXRlPkRlYyAxODwvZGF0ZT48L3B1Yi1kYXRlcz48L2Rh
dGVzPjxhY2Nlc3Npb24tbnVtPjE0Njg3NTQ0PC9hY2Nlc3Npb24tbnVtPjx1cmxzPjwvdXJscz48
L3JlY29yZD48L0NpdGU+PC9FbmROb3RlPgB=
</w:fldData>
        </w:fldChar>
      </w:r>
      <w:r w:rsidR="00496991">
        <w:rPr>
          <w:rFonts w:ascii="Arial" w:hAnsi="Arial"/>
        </w:rPr>
        <w:instrText xml:space="preserve"> ADDIN EN.CITE </w:instrText>
      </w:r>
      <w:r w:rsidR="00496991">
        <w:rPr>
          <w:rFonts w:ascii="Arial" w:hAnsi="Arial"/>
        </w:rPr>
        <w:fldChar w:fldCharType="begin">
          <w:fldData xml:space="preserve">PEVuZE5vdGU+PENpdGU+PEF1dGhvcj5MZWlzc3Jpbmc8L0F1dGhvcj48WWVhcj4yMDAzPC9ZZWFy
PjxSZWNOdW0+NjE1PC9SZWNOdW0+PERpc3BsYXlUZXh0PlsyXTwvRGlzcGxheVRleHQ+PHJlY29y
ZD48cmVjLW51bWJlcj42MTU8L3JlYy1udW1iZXI+PGZvcmVpZ24ta2V5cz48a2V5IGFwcD0iRU4i
IGRiLWlkPSJwczIwdHdyOTZ2d3B0N2VmZHNwNTB3cmVwOTkwMHRkMGVzdnIiIHRpbWVzdGFtcD0i
MCI+NjE1PC9rZXk+PC9mb3JlaWduLWtleXM+PHJlZi10eXBlIG5hbWU9IkpvdXJuYWwgQXJ0aWNs
ZSI+MTc8L3JlZi10eXBlPjxjb250cmlidXRvcnM+PGF1dGhvcnM+PGF1dGhvcj5MZWlzc3Jpbmcs
IE0uIEEuPC9hdXRob3I+PGF1dGhvcj5GYXJyaXMsIFcuPC9hdXRob3I+PGF1dGhvcj5DaGFuZywg
QS4gWS48L2F1dGhvcj48YXV0aG9yPldhbHNoLCBELiBNLjwvYXV0aG9yPjxhdXRob3I+V3UsIFgu
PC9hdXRob3I+PGF1dGhvcj5TdW4sIFguPC9hdXRob3I+PGF1dGhvcj5Gcm9zY2gsIE0uIFAuPC9h
dXRob3I+PGF1dGhvcj5TZWxrb2UsIEQuIEouPC9hdXRob3I+PC9hdXRob3JzPjwvY29udHJpYnV0
b3JzPjx0aXRsZXM+PHRpdGxlPkVuaGFuY2VkIHByb3Rlb2x5c2lzIG9mIGJldGEtYW15bG9pZCBp
biBBUFAgdHJhbnNnZW5pYyBtaWNlIHByZXZlbnRzIHBsYXF1ZSBmb3JtYXRpb24sIHNlY29uZGFy
eSBwYXRob2xvZ3ksIGFuZCBwcmVtYXR1cmUgZGVhdGg8L3RpdGxlPjxzZWNvbmRhcnktdGl0bGU+
TmV1cm9uPC9zZWNvbmRhcnktdGl0bGU+PC90aXRsZXM+PHBlcmlvZGljYWw+PGZ1bGwtdGl0bGU+
TmV1cm9uPC9mdWxsLXRpdGxlPjwvcGVyaW9kaWNhbD48cGFnZXM+MTA4Ny05My48L3BhZ2VzPjx2
b2x1bWU+NDA8L3ZvbHVtZT48bnVtYmVyPjY8L251bWJlcj48a2V5d29yZHM+PGtleXdvcmQ+MCAo
QW15bG9pZCBiZXRhLVByb3RlaW4pPC9rZXl3b3JkPjxrZXl3b3JkPjAgKEFteWxvaWQgYmV0YS1Q
cm90ZWluIFByZWN1cnNvcik8L2tleXdvcmQ+PGtleXdvcmQ+RUMgMy40IChQZXB0aWRlIEh5ZHJv
bGFzZXMpPC9rZXl3b3JkPjxrZXl3b3JkPkVDIDMuNC4yNC4xMSAoTmVwcmlseXNpbik8L2tleXdv
cmQ+PGtleXdvcmQ+RUMgMy40LjI0LjU2IChJbnN1bHlzaW4pPC9rZXl3b3JkPjxrZXl3b3JkPkFt
eWxvaWQgYmV0YS1Qcm90ZWluL2dlbmV0aWNzLyptZXRhYm9saXNtPC9rZXl3b3JkPjxrZXl3b3Jk
PkFteWxvaWQgYmV0YS1Qcm90ZWluIFByZWN1cnNvci9nZW5ldGljcy8qbWV0YWJvbGlzbTwva2V5
d29yZD48a2V5d29yZD5BbmltYWxzPC9rZXl3b3JkPjxrZXl3b3JkPkNvbXBhcmF0aXZlIFN0dWR5
PC9rZXl3b3JkPjxrZXl3b3JkPkZlbWFsZTwva2V5d29yZD48a2V5d29yZD5IdW1hbjwva2V5d29y
ZD48a2V5d29yZD5JbnN1bHlzaW4vYmlvc3ludGhlc2lzL2dlbmV0aWNzPC9rZXl3b3JkPjxrZXl3
b3JkPk1hbGU8L2tleXdvcmQ+PGtleXdvcmQ+TWljZTwva2V5d29yZD48a2V5d29yZD5NaWNlLCBJ
bmJyZWQgQzU3Qkw8L2tleXdvcmQ+PGtleXdvcmQ+TWljZSwgVHJhbnNnZW5pYzwva2V5d29yZD48
a2V5d29yZD5OZXByaWx5c2luL2Jpb3N5bnRoZXNpcy9nZW5ldGljczwva2V5d29yZD48a2V5d29y
ZD5QZXB0aWRlIEh5ZHJvbGFzZXMvKmJpb3N5bnRoZXNpcy9nZW5ldGljczwva2V5d29yZD48a2V5
d29yZD5QcmVnbmFuY3k8L2tleXdvcmQ+PGtleXdvcmQ+U2VuaWxlIFBsYXF1ZXMvZ2VuZXRpY3Mv
Km1ldGFib2xpc20vcGF0aG9sb2d5PC9rZXl3b3JkPjxrZXl3b3JkPlN1cHBvcnQsIE5vbi1VLlMu
IEdvdiZhcG9zO3Q8L2tleXdvcmQ+PGtleXdvcmQ+U3VwcG9ydCwgVS5TLiBHb3YmYXBvczt0LCBQ
LkguUy48L2tleXdvcmQ+PGtleXdvcmQ+U3Vydml2YWwgUmF0ZTwva2V5d29yZD48a2V5d29yZD5V
cC1SZWd1bGF0aW9uL3BoeXNpb2xvZ3k8L2tleXdvcmQ+PC9rZXl3b3Jkcz48ZGF0ZXM+PHllYXI+
MjAwMzwveWVhcj48cHViLWRhdGVzPjxkYXRlPkRlYyAxODwvZGF0ZT48L3B1Yi1kYXRlcz48L2Rh
dGVzPjxhY2Nlc3Npb24tbnVtPjE0Njg3NTQ0PC9hY2Nlc3Npb24tbnVtPjx1cmxzPjwvdXJscz48
L3JlY29yZD48L0NpdGU+PC9FbmROb3RlPgB=
</w:fldData>
        </w:fldChar>
      </w:r>
      <w:r w:rsidR="00496991">
        <w:rPr>
          <w:rFonts w:ascii="Arial" w:hAnsi="Arial"/>
        </w:rPr>
        <w:instrText xml:space="preserve"> ADDIN EN.CITE.DATA </w:instrText>
      </w:r>
      <w:r w:rsidR="00496991">
        <w:rPr>
          <w:rFonts w:ascii="Arial" w:hAnsi="Arial"/>
        </w:rPr>
      </w:r>
      <w:r w:rsidR="00496991">
        <w:rPr>
          <w:rFonts w:ascii="Arial" w:hAnsi="Arial"/>
        </w:rPr>
        <w:fldChar w:fldCharType="end"/>
      </w:r>
      <w:r>
        <w:rPr>
          <w:rFonts w:ascii="Arial" w:hAnsi="Arial"/>
        </w:rPr>
      </w:r>
      <w:r>
        <w:rPr>
          <w:rFonts w:ascii="Arial" w:hAnsi="Arial"/>
        </w:rPr>
        <w:fldChar w:fldCharType="separate"/>
      </w:r>
      <w:r w:rsidR="00496991">
        <w:rPr>
          <w:rFonts w:ascii="Arial" w:hAnsi="Arial"/>
          <w:noProof/>
        </w:rPr>
        <w:t>[2]</w:t>
      </w:r>
      <w:r>
        <w:rPr>
          <w:rFonts w:ascii="Arial" w:hAnsi="Arial"/>
        </w:rPr>
        <w:fldChar w:fldCharType="end"/>
      </w:r>
      <w:r w:rsidRPr="000F79DF">
        <w:rPr>
          <w:rFonts w:ascii="Arial" w:hAnsi="Arial" w:cs="Arial"/>
        </w:rPr>
        <w:t xml:space="preserve">, using the following antibodies: </w:t>
      </w:r>
      <w:r>
        <w:rPr>
          <w:rFonts w:ascii="Cambria Math" w:hAnsi="Cambria Math" w:cs="Cambria Math"/>
        </w:rPr>
        <w:t>𝛼</w:t>
      </w:r>
      <w:r w:rsidRPr="000F79DF">
        <w:rPr>
          <w:rFonts w:ascii="Arial" w:hAnsi="Arial" w:cs="Arial"/>
        </w:rPr>
        <w:t xml:space="preserve">CatD (Santa Cruz Biotechnology, Inc.), IDE-1 </w:t>
      </w:r>
      <w:r>
        <w:rPr>
          <w:rFonts w:ascii="Arial" w:hAnsi="Arial"/>
        </w:rPr>
        <w:fldChar w:fldCharType="begin">
          <w:fldData xml:space="preserve">PEVuZE5vdGU+PENpdGU+PEF1dGhvcj5WZWtyZWxsaXM8L0F1dGhvcj48WWVhcj4yMDAwPC9ZZWFy
PjxSZWNOdW0+NTQxPC9SZWNOdW0+PERpc3BsYXlUZXh0PlszXTwvRGlzcGxheVRleHQ+PHJlY29y
ZD48cmVjLW51bWJlcj41NDE8L3JlYy1udW1iZXI+PGZvcmVpZ24ta2V5cz48a2V5IGFwcD0iRU4i
IGRiLWlkPSJwczIwdHdyOTZ2d3B0N2VmZHNwNTB3cmVwOTkwMHRkMGVzdnIiIHRpbWVzdGFtcD0i
MCI+NTQxPC9rZXk+PC9mb3JlaWduLWtleXM+PHJlZi10eXBlIG5hbWU9IkpvdXJuYWwgQXJ0aWNs
ZSI+MTc8L3JlZi10eXBlPjxjb250cmlidXRvcnM+PGF1dGhvcnM+PGF1dGhvcj5WZWtyZWxsaXMs
IEsuPC9hdXRob3I+PGF1dGhvcj5ZZSwgWi48L2F1dGhvcj48YXV0aG9yPlFpdSwgVy4gUS48L2F1
dGhvcj48YXV0aG9yPldhbHNoLCBELjwvYXV0aG9yPjxhdXRob3I+SGFydGxleSwgRC48L2F1dGhv
cj48YXV0aG9yPkNoZXNuZWF1LCBWLjwvYXV0aG9yPjxhdXRob3I+Um9zbmVyLCBNLiBSLjwvYXV0
aG9yPjxhdXRob3I+U2Vsa29lLCBELiBKLjwvYXV0aG9yPjwvYXV0aG9ycz48L2NvbnRyaWJ1dG9y
cz48dGl0bGVzPjx0aXRsZT5OZXVyb25zIHJlZ3VsYXRlIGV4dHJhY2VsbHVsYXIgbGV2ZWxzIG9m
IGFteWxvaWQgYmV0YS1wcm90ZWluIHZpYSBwcm90ZW9seXNpcyBieSBpbnN1bGluLWRlZ3JhZGlu
ZyBlbnp5bWU8L3RpdGxlPjxzZWNvbmRhcnktdGl0bGU+SiBOZXVyb3NjaTwvc2Vjb25kYXJ5LXRp
dGxlPjwvdGl0bGVzPjxwZXJpb2RpY2FsPjxmdWxsLXRpdGxlPkogTmV1cm9zY2k8L2Z1bGwtdGl0
bGU+PC9wZXJpb2RpY2FsPjxwYWdlcz4xNjU3LTY1LjwvcGFnZXM+PHZvbHVtZT4yMDwvdm9sdW1l
PjxudW1iZXI+NTwvbnVtYmVyPjxrZXl3b3Jkcz48a2V5d29yZD4wIChBbXlsb2lkIGJldGEtUHJv
dGVpbik8L2tleXdvcmQ+PGtleXdvcmQ+MCAoSHlwb2dseWNlbWljIEFnZW50cyk8L2tleXdvcmQ+
PGtleXdvcmQ+MCAoTWVtYnJhbmUgUHJvdGVpbnMpPC9rZXl3b3JkPjxrZXl3b3JkPjAgKFByb3Rl
aW4gU3ludGhlc2lzIEluaGliaXRvcnMpPC9rZXl3b3JkPjxrZXl3b3JkPjExMDYxLTY4LTAgKElu
c3VsaW4pPC9rZXl3b3JkPjxrZXl3b3JkPjU4LTg1LTUgKEJpb3Rpbik8L2tleXdvcmQ+PGtleXdv
cmQ+OTAwNy05Mi01IChHbHVjYWdvbik8L2tleXdvcmQ+PGtleXdvcmQ+RUMgMy40LjI0LjU2IChJ
bnN1bHlzaW4pPC9rZXl3b3JkPjxrZXl3b3JkPkFsemhlaW1lciBEaXNlYXNlL21ldGFib2xpc208
L2tleXdvcmQ+PGtleXdvcmQ+QW15bG9pZCBiZXRhLVByb3RlaW4vKm1ldGFib2xpc20vc2VjcmV0
aW9uPC9rZXl3b3JkPjxrZXl3b3JkPkFuaW1hbDwva2V5d29yZD48a2V5d29yZD5CaW90aW48L2tl
eXdvcmQ+PGtleXdvcmQ+Q2VyZWJyYWwgQ29ydGV4L2N5dG9sb2d5PC9rZXl3b3JkPjxrZXl3b3Jk
PkN5dG9zb2wvbWV0YWJvbGlzbTwva2V5d29yZD48a2V5d29yZD5FeHRyYWNlbGx1bGFyIFNwYWNl
L21ldGFib2xpc208L2tleXdvcmQ+PGtleXdvcmQ+R2VuZSBFeHByZXNzaW9uIFJlZ3VsYXRpb24s
IEVuenltb2xvZ2ljPC9rZXl3b3JkPjxrZXl3b3JkPkdsdWNhZ29uL3BoYXJtYWNvbG9neTwva2V5
d29yZD48a2V5d29yZD5IeXBvZ2x5Y2VtaWMgQWdlbnRzL3BoYXJtYWNvbG9neTwva2V5d29yZD48
a2V5d29yZD5JbnN1bGluLypwaGFybWFjb2xvZ3k8L2tleXdvcmQ+PGtleXdvcmQ+SW5zdWx5c2lu
L2dlbmV0aWNzLyptZXRhYm9saXNtPC9rZXl3b3JkPjxrZXl3b3JkPk1lbWJyYW5lIFByb3RlaW5z
L21ldGFib2xpc208L2tleXdvcmQ+PGtleXdvcmQ+TmV1cm9ucy9jeXRvbG9neS9kcnVnIGVmZmVj
dHMvKmVuenltb2xvZ3k8L2tleXdvcmQ+PGtleXdvcmQ+UEMxMiBDZWxsczwva2V5d29yZD48a2V5
d29yZD5Qcm90ZWluIFN5bnRoZXNpcyBJbmhpYml0b3JzL3BoYXJtYWNvbG9neTwva2V5d29yZD48
a2V5d29yZD5SYXRzPC9rZXl3b3JkPjxrZXl3b3JkPlN1cHBvcnQsIFUuUy4gR292JmFwb3M7dCwg
UC5ILlMuPC9rZXl3b3JkPjwva2V5d29yZHM+PGRhdGVzPjx5ZWFyPjIwMDA8L3llYXI+PHB1Yi1k
YXRlcz48ZGF0ZT5NYXIgMTwvZGF0ZT48L3B1Yi1kYXRlcz48L2RhdGVzPjxhY2Nlc3Npb24tbnVt
PjIwMTUwMTQ2PC9hY2Nlc3Npb24tbnVtPjx1cmxzPjwvdXJscz48L3JlY29yZD48L0NpdGU+PC9F
bmROb3RlPgB=
</w:fldData>
        </w:fldChar>
      </w:r>
      <w:r w:rsidR="00496991">
        <w:rPr>
          <w:rFonts w:ascii="Arial" w:hAnsi="Arial"/>
        </w:rPr>
        <w:instrText xml:space="preserve"> ADDIN EN.CITE </w:instrText>
      </w:r>
      <w:r w:rsidR="00496991">
        <w:rPr>
          <w:rFonts w:ascii="Arial" w:hAnsi="Arial"/>
        </w:rPr>
        <w:fldChar w:fldCharType="begin">
          <w:fldData xml:space="preserve">PEVuZE5vdGU+PENpdGU+PEF1dGhvcj5WZWtyZWxsaXM8L0F1dGhvcj48WWVhcj4yMDAwPC9ZZWFy
PjxSZWNOdW0+NTQxPC9SZWNOdW0+PERpc3BsYXlUZXh0PlszXTwvRGlzcGxheVRleHQ+PHJlY29y
ZD48cmVjLW51bWJlcj41NDE8L3JlYy1udW1iZXI+PGZvcmVpZ24ta2V5cz48a2V5IGFwcD0iRU4i
IGRiLWlkPSJwczIwdHdyOTZ2d3B0N2VmZHNwNTB3cmVwOTkwMHRkMGVzdnIiIHRpbWVzdGFtcD0i
MCI+NTQxPC9rZXk+PC9mb3JlaWduLWtleXM+PHJlZi10eXBlIG5hbWU9IkpvdXJuYWwgQXJ0aWNs
ZSI+MTc8L3JlZi10eXBlPjxjb250cmlidXRvcnM+PGF1dGhvcnM+PGF1dGhvcj5WZWtyZWxsaXMs
IEsuPC9hdXRob3I+PGF1dGhvcj5ZZSwgWi48L2F1dGhvcj48YXV0aG9yPlFpdSwgVy4gUS48L2F1
dGhvcj48YXV0aG9yPldhbHNoLCBELjwvYXV0aG9yPjxhdXRob3I+SGFydGxleSwgRC48L2F1dGhv
cj48YXV0aG9yPkNoZXNuZWF1LCBWLjwvYXV0aG9yPjxhdXRob3I+Um9zbmVyLCBNLiBSLjwvYXV0
aG9yPjxhdXRob3I+U2Vsa29lLCBELiBKLjwvYXV0aG9yPjwvYXV0aG9ycz48L2NvbnRyaWJ1dG9y
cz48dGl0bGVzPjx0aXRsZT5OZXVyb25zIHJlZ3VsYXRlIGV4dHJhY2VsbHVsYXIgbGV2ZWxzIG9m
IGFteWxvaWQgYmV0YS1wcm90ZWluIHZpYSBwcm90ZW9seXNpcyBieSBpbnN1bGluLWRlZ3JhZGlu
ZyBlbnp5bWU8L3RpdGxlPjxzZWNvbmRhcnktdGl0bGU+SiBOZXVyb3NjaTwvc2Vjb25kYXJ5LXRp
dGxlPjwvdGl0bGVzPjxwZXJpb2RpY2FsPjxmdWxsLXRpdGxlPkogTmV1cm9zY2k8L2Z1bGwtdGl0
bGU+PC9wZXJpb2RpY2FsPjxwYWdlcz4xNjU3LTY1LjwvcGFnZXM+PHZvbHVtZT4yMDwvdm9sdW1l
PjxudW1iZXI+NTwvbnVtYmVyPjxrZXl3b3Jkcz48a2V5d29yZD4wIChBbXlsb2lkIGJldGEtUHJv
dGVpbik8L2tleXdvcmQ+PGtleXdvcmQ+MCAoSHlwb2dseWNlbWljIEFnZW50cyk8L2tleXdvcmQ+
PGtleXdvcmQ+MCAoTWVtYnJhbmUgUHJvdGVpbnMpPC9rZXl3b3JkPjxrZXl3b3JkPjAgKFByb3Rl
aW4gU3ludGhlc2lzIEluaGliaXRvcnMpPC9rZXl3b3JkPjxrZXl3b3JkPjExMDYxLTY4LTAgKElu
c3VsaW4pPC9rZXl3b3JkPjxrZXl3b3JkPjU4LTg1LTUgKEJpb3Rpbik8L2tleXdvcmQ+PGtleXdv
cmQ+OTAwNy05Mi01IChHbHVjYWdvbik8L2tleXdvcmQ+PGtleXdvcmQ+RUMgMy40LjI0LjU2IChJ
bnN1bHlzaW4pPC9rZXl3b3JkPjxrZXl3b3JkPkFsemhlaW1lciBEaXNlYXNlL21ldGFib2xpc208
L2tleXdvcmQ+PGtleXdvcmQ+QW15bG9pZCBiZXRhLVByb3RlaW4vKm1ldGFib2xpc20vc2VjcmV0
aW9uPC9rZXl3b3JkPjxrZXl3b3JkPkFuaW1hbDwva2V5d29yZD48a2V5d29yZD5CaW90aW48L2tl
eXdvcmQ+PGtleXdvcmQ+Q2VyZWJyYWwgQ29ydGV4L2N5dG9sb2d5PC9rZXl3b3JkPjxrZXl3b3Jk
PkN5dG9zb2wvbWV0YWJvbGlzbTwva2V5d29yZD48a2V5d29yZD5FeHRyYWNlbGx1bGFyIFNwYWNl
L21ldGFib2xpc208L2tleXdvcmQ+PGtleXdvcmQ+R2VuZSBFeHByZXNzaW9uIFJlZ3VsYXRpb24s
IEVuenltb2xvZ2ljPC9rZXl3b3JkPjxrZXl3b3JkPkdsdWNhZ29uL3BoYXJtYWNvbG9neTwva2V5
d29yZD48a2V5d29yZD5IeXBvZ2x5Y2VtaWMgQWdlbnRzL3BoYXJtYWNvbG9neTwva2V5d29yZD48
a2V5d29yZD5JbnN1bGluLypwaGFybWFjb2xvZ3k8L2tleXdvcmQ+PGtleXdvcmQ+SW5zdWx5c2lu
L2dlbmV0aWNzLyptZXRhYm9saXNtPC9rZXl3b3JkPjxrZXl3b3JkPk1lbWJyYW5lIFByb3RlaW5z
L21ldGFib2xpc208L2tleXdvcmQ+PGtleXdvcmQ+TmV1cm9ucy9jeXRvbG9neS9kcnVnIGVmZmVj
dHMvKmVuenltb2xvZ3k8L2tleXdvcmQ+PGtleXdvcmQ+UEMxMiBDZWxsczwva2V5d29yZD48a2V5
d29yZD5Qcm90ZWluIFN5bnRoZXNpcyBJbmhpYml0b3JzL3BoYXJtYWNvbG9neTwva2V5d29yZD48
a2V5d29yZD5SYXRzPC9rZXl3b3JkPjxrZXl3b3JkPlN1cHBvcnQsIFUuUy4gR292JmFwb3M7dCwg
UC5ILlMuPC9rZXl3b3JkPjwva2V5d29yZHM+PGRhdGVzPjx5ZWFyPjIwMDA8L3llYXI+PHB1Yi1k
YXRlcz48ZGF0ZT5NYXIgMTwvZGF0ZT48L3B1Yi1kYXRlcz48L2RhdGVzPjxhY2Nlc3Npb24tbnVt
PjIwMTUwMTQ2PC9hY2Nlc3Npb24tbnVtPjx1cmxzPjwvdXJscz48L3JlY29yZD48L0NpdGU+PC9F
bmROb3RlPgB=
</w:fldData>
        </w:fldChar>
      </w:r>
      <w:r w:rsidR="00496991">
        <w:rPr>
          <w:rFonts w:ascii="Arial" w:hAnsi="Arial"/>
        </w:rPr>
        <w:instrText xml:space="preserve"> ADDIN EN.CITE.DATA </w:instrText>
      </w:r>
      <w:r w:rsidR="00496991">
        <w:rPr>
          <w:rFonts w:ascii="Arial" w:hAnsi="Arial"/>
        </w:rPr>
      </w:r>
      <w:r w:rsidR="00496991">
        <w:rPr>
          <w:rFonts w:ascii="Arial" w:hAnsi="Arial"/>
        </w:rPr>
        <w:fldChar w:fldCharType="end"/>
      </w:r>
      <w:r>
        <w:rPr>
          <w:rFonts w:ascii="Arial" w:hAnsi="Arial"/>
        </w:rPr>
      </w:r>
      <w:r>
        <w:rPr>
          <w:rFonts w:ascii="Arial" w:hAnsi="Arial"/>
        </w:rPr>
        <w:fldChar w:fldCharType="separate"/>
      </w:r>
      <w:r w:rsidR="00496991">
        <w:rPr>
          <w:rFonts w:ascii="Arial" w:hAnsi="Arial"/>
          <w:noProof/>
        </w:rPr>
        <w:t>[3]</w:t>
      </w:r>
      <w:r>
        <w:rPr>
          <w:rFonts w:ascii="Arial" w:hAnsi="Arial"/>
        </w:rPr>
        <w:fldChar w:fldCharType="end"/>
      </w:r>
      <w:r>
        <w:rPr>
          <w:rFonts w:ascii="Arial" w:hAnsi="Arial"/>
        </w:rPr>
        <w:t xml:space="preserve"> (</w:t>
      </w:r>
      <w:r>
        <w:rPr>
          <w:rFonts w:ascii="Arial" w:hAnsi="Arial" w:cs="Arial"/>
        </w:rPr>
        <w:t>generous gift of D. Selkoe</w:t>
      </w:r>
      <w:r w:rsidRPr="000F79DF">
        <w:rPr>
          <w:rFonts w:ascii="Arial" w:hAnsi="Arial" w:cs="Arial"/>
        </w:rPr>
        <w:t>), C20 (reactive with the carboxy terminus of APP</w:t>
      </w:r>
      <w:r>
        <w:rPr>
          <w:rFonts w:ascii="Arial" w:hAnsi="Arial" w:cs="Arial"/>
        </w:rPr>
        <w:t>; generous gift of D. Selkoe</w:t>
      </w:r>
      <w:r w:rsidRPr="000F79DF">
        <w:rPr>
          <w:rFonts w:ascii="Arial" w:hAnsi="Arial" w:cs="Arial"/>
        </w:rPr>
        <w:t xml:space="preserve">), </w:t>
      </w:r>
      <w:r>
        <w:rPr>
          <w:rFonts w:ascii="Cambria Math" w:hAnsi="Cambria Math" w:cs="Cambria Math"/>
        </w:rPr>
        <w:t>𝛼</w:t>
      </w:r>
      <w:r w:rsidRPr="000F79DF">
        <w:rPr>
          <w:rFonts w:ascii="Arial" w:hAnsi="Arial" w:cs="Arial"/>
        </w:rPr>
        <w:t xml:space="preserve">NEP antibody 56C6 (Santa Cruz Biotechnology, Inc.), and </w:t>
      </w:r>
      <w:r>
        <w:rPr>
          <w:rFonts w:ascii="Cambria Math" w:hAnsi="Cambria Math" w:cs="Cambria Math"/>
        </w:rPr>
        <w:t>𝛼</w:t>
      </w:r>
      <w:r w:rsidRPr="000F79DF">
        <w:rPr>
          <w:rFonts w:ascii="Arial" w:hAnsi="Arial" w:cs="Arial"/>
        </w:rPr>
        <w:t xml:space="preserve">GAPDH (Alpha Diagnostic Intl.). </w:t>
      </w:r>
    </w:p>
    <w:p w:rsidR="005A39D6" w:rsidRPr="00081AD4" w:rsidRDefault="005A39D6" w:rsidP="005A39D6">
      <w:pPr>
        <w:pStyle w:val="Heading3"/>
        <w:rPr>
          <w:sz w:val="24"/>
        </w:rPr>
      </w:pPr>
      <w:r w:rsidRPr="00081AD4">
        <w:rPr>
          <w:sz w:val="24"/>
        </w:rPr>
        <w:t>Immunohistochemistry</w:t>
      </w:r>
    </w:p>
    <w:p w:rsidR="005A39D6" w:rsidRDefault="005A39D6" w:rsidP="005A39D6">
      <w:pPr>
        <w:pStyle w:val="Methods"/>
      </w:pPr>
      <w:r>
        <w:t xml:space="preserve">Brains were collected following transcardial perfusion with PBS, fixed in 10% </w:t>
      </w:r>
      <w:r w:rsidR="00496991">
        <w:t>formalin</w:t>
      </w:r>
      <w:r>
        <w:t xml:space="preserve"> solution, then embedded in paraffin.  Parasagittal sections (5 µm) were deparaffinized in a graded alcohol series, and endogenous peroxidase activity was quenched by treatment with 3% H</w:t>
      </w:r>
      <w:r w:rsidRPr="00081AD4">
        <w:rPr>
          <w:vertAlign w:val="subscript"/>
        </w:rPr>
        <w:t>2</w:t>
      </w:r>
      <w:r>
        <w:t>O</w:t>
      </w:r>
      <w:r w:rsidRPr="00081AD4">
        <w:rPr>
          <w:vertAlign w:val="subscript"/>
        </w:rPr>
        <w:t>2</w:t>
      </w:r>
      <w:r>
        <w:t xml:space="preserve"> for 5 min prior to staining.  Primary antibodies used (and their sources and dilutions) were:  2.1.3.35.86 (Mayo; 1:1000); 13.1.1 (Mayo; 1:1000); BC05 (Wako; 1:1000); BA27 (Wako; 1:1000); Lamp2 (1:2000; AbCam).  For immunohistochemical staining, the primary antibodies were detected using appropriate HRP-conjugated secondary antibodies (Novus Biologicals; 1:5000). For immunofluorescence studies, endogenous fluorescence was quenched using 1% Sudan Black-B (SPI Supplies), and primary antibodies were detected with Alexa</w:t>
      </w:r>
      <w:r w:rsidR="00496991">
        <w:t xml:space="preserve"> </w:t>
      </w:r>
      <w:r>
        <w:t>Fluor</w:t>
      </w:r>
      <w:r w:rsidRPr="001D2DD3">
        <w:rPr>
          <w:vertAlign w:val="superscript"/>
        </w:rPr>
        <w:t>TM</w:t>
      </w:r>
      <w:r>
        <w:t xml:space="preserve">-tagged secondary antibodies (Invitrogen; 1:5000).  Staining with hematoxylin/eosin, thioflavin S, and Gallyus silver stain were conducted as described </w:t>
      </w:r>
      <w:r>
        <w:fldChar w:fldCharType="begin"/>
      </w:r>
      <w:r w:rsidR="00496991">
        <w:instrText xml:space="preserve"> ADDIN EN.CITE &lt;EndNote&gt;&lt;Cite&gt;&lt;Author&gt;Dickson&lt;/Author&gt;&lt;Year&gt;2002&lt;/Year&gt;&lt;RecNum&gt;2659&lt;/RecNum&gt;&lt;DisplayText&gt;[4]&lt;/DisplayText&gt;&lt;record&gt;&lt;rec-number&gt;2659&lt;/rec-number&gt;&lt;foreign-keys&gt;&lt;key app="EN" db-id="ps20twr96vwpt7efdsp50wrep9900td0esvr" timestamp="0"&gt;2659&lt;/key&gt;&lt;/foreign-keys&gt;&lt;ref-type name="Journal Article"&gt;17&lt;/ref-type&gt;&lt;contributors&gt;&lt;authors&gt;&lt;author&gt;Dickson, D. W.&lt;/author&gt;&lt;author&gt;Bergeron, C.&lt;/author&gt;&lt;author&gt;Chin, S. S.&lt;/author&gt;&lt;author&gt;Duyckaerts, C.&lt;/author&gt;&lt;author&gt;Horoupian, D.&lt;/author&gt;&lt;author&gt;Ikeda, K.&lt;/author&gt;&lt;author&gt;Jellinger, K.&lt;/author&gt;&lt;author&gt;Lantos, P. L.&lt;/author&gt;&lt;author&gt;Lippa, C. F.&lt;/author&gt;&lt;author&gt;Mirra, S. S.&lt;/author&gt;&lt;author&gt;Tabaton, M.&lt;/author&gt;&lt;author&gt;Vonsattel, J. P.&lt;/author&gt;&lt;author&gt;Wakabayashi, K.&lt;/author&gt;&lt;author&gt;Litvan, I.&lt;/author&gt;&lt;/authors&gt;&lt;/contributors&gt;&lt;auth-address&gt;Mayo Clinic, Jacksonville, Florida 32224, USA.&lt;/auth-address&gt;&lt;titles&gt;&lt;title&gt;Office of Rare Diseases neuropathologic criteria for corticobasal degeneration&lt;/title&gt;&lt;secondary-title&gt;J Neuropathol Exp Neurol&lt;/secondary-title&gt;&lt;/titles&gt;&lt;periodical&gt;&lt;full-title&gt;J Neuropathol Exp Neurol&lt;/full-title&gt;&lt;/periodical&gt;&lt;pages&gt;935-46&lt;/pages&gt;&lt;volume&gt;61&lt;/volume&gt;&lt;number&gt;11&lt;/number&gt;&lt;keywords&gt;&lt;keyword&gt;Atrophy/pathology/physiopathology&lt;/keyword&gt;&lt;keyword&gt;Brain/*pathology/physiopathology&lt;/keyword&gt;&lt;keyword&gt;Humans&lt;/keyword&gt;&lt;keyword&gt;Inclusion Bodies/pathology&lt;/keyword&gt;&lt;keyword&gt;Neurodegenerative Diseases/*pathology/physiopathology&lt;/keyword&gt;&lt;keyword&gt;Neurofibrillary Tangles/*pathology&lt;/keyword&gt;&lt;keyword&gt;Neuroglia/*pathology&lt;/keyword&gt;&lt;keyword&gt;Neurons/*pathology&lt;/keyword&gt;&lt;keyword&gt;Silver Staining&lt;/keyword&gt;&lt;/keywords&gt;&lt;dates&gt;&lt;year&gt;2002&lt;/year&gt;&lt;pub-dates&gt;&lt;date&gt;Nov&lt;/date&gt;&lt;/pub-dates&gt;&lt;/dates&gt;&lt;accession-num&gt;12430710&lt;/accession-num&gt;&lt;urls&gt;&lt;related-urls&gt;&lt;url&gt;http://www.ncbi.nlm.nih.gov/entrez/query.fcgi?cmd=Retrieve&amp;amp;db=PubMed&amp;amp;dopt=Citation&amp;amp;list_uids=12430710 &lt;/url&gt;&lt;/related-urls&gt;&lt;/urls&gt;&lt;/record&gt;&lt;/Cite&gt;&lt;/EndNote&gt;</w:instrText>
      </w:r>
      <w:r>
        <w:fldChar w:fldCharType="separate"/>
      </w:r>
      <w:r w:rsidR="00496991">
        <w:rPr>
          <w:noProof/>
        </w:rPr>
        <w:t>[4]</w:t>
      </w:r>
      <w:r>
        <w:fldChar w:fldCharType="end"/>
      </w:r>
      <w:r>
        <w:t xml:space="preserve">.  </w:t>
      </w:r>
    </w:p>
    <w:p w:rsidR="005A39D6" w:rsidRDefault="005A39D6" w:rsidP="005A39D6">
      <w:pPr>
        <w:pStyle w:val="Heading3"/>
        <w:rPr>
          <w:sz w:val="24"/>
        </w:rPr>
      </w:pPr>
      <w:r>
        <w:rPr>
          <w:sz w:val="24"/>
        </w:rPr>
        <w:t>Live cell imaging and Aß quantification</w:t>
      </w:r>
    </w:p>
    <w:p w:rsidR="005A39D6" w:rsidRPr="00437334" w:rsidRDefault="005A39D6" w:rsidP="005A39D6">
      <w:pPr>
        <w:pStyle w:val="Methods"/>
        <w:rPr>
          <w:b/>
        </w:rPr>
      </w:pPr>
      <w:r>
        <w:t xml:space="preserve">Hippocampus-enriched neurons were cultured as described </w:t>
      </w:r>
      <w:r>
        <w:rPr>
          <w:b/>
        </w:rPr>
        <w:fldChar w:fldCharType="begin">
          <w:fldData xml:space="preserve">PEVuZE5vdGU+PENpdGU+PEF1dGhvcj5GYXJyaXM8L0F1dGhvcj48WWVhcj4yMDA0PC9ZZWFyPjxS
ZWNOdW0+NDM1OTwvUmVjTnVtPjxEaXNwbGF5VGV4dD5bNV08L0Rpc3BsYXlUZXh0PjxyZWNvcmQ+
PHJlYy1udW1iZXI+NDM1OTwvcmVjLW51bWJlcj48Zm9yZWlnbi1rZXlzPjxrZXkgYXBwPSJFTiIg
ZGItaWQ9InBzMjB0d3I5NnZ3cHQ3ZWZkc3A1MHdyZXA5OTAwdGQwZXN2ciIgdGltZXN0YW1wPSIx
NDUzOTE2NzM5Ij40MzU5PC9rZXk+PC9mb3JlaWduLWtleXM+PHJlZi10eXBlIG5hbWU9IkpvdXJu
YWwgQXJ0aWNsZSI+MTc8L3JlZi10eXBlPjxjb250cmlidXRvcnM+PGF1dGhvcnM+PGF1dGhvcj5G
YXJyaXMsIFcuPC9hdXRob3I+PGF1dGhvcj5NYW5zb3VyaWFuLCBTLjwvYXV0aG9yPjxhdXRob3I+
TGVpc3NyaW5nLCBNLiBBLjwvYXV0aG9yPjxhdXRob3I+RWNrbWFuLCBFLiBBLjwvYXV0aG9yPjxh
dXRob3I+QmVydHJhbSwgTC48L2F1dGhvcj48YXV0aG9yPkVja21hbiwgQy4gQi48L2F1dGhvcj48
YXV0aG9yPlRhbnppLCBSLiBFLjwvYXV0aG9yPjxhdXRob3I+U2Vsa29lLCBELiBKLjwvYXV0aG9y
PjwvYXV0aG9ycz48L2NvbnRyaWJ1dG9ycz48YXV0aC1hZGRyZXNzPkRlcGFydG1lbnQgb2YgTmV1
cm9sb2d5LCBDZW50ZXIgZm9yIE5ldXJvbG9naWMgRGlzZWFzZXMsIEJyaWdoYW0gYW5kIFdvbWVu
JmFwb3M7cyBIb3NwaXRhbCwgQm9zdG9uLCBNYXNzYWNodXNldHRzIDAyMTE1LCBVU0EuPC9hdXRo
LWFkZHJlc3M+PHRpdGxlcz48dGl0bGU+UGFydGlhbCBsb3NzLW9mLWZ1bmN0aW9uIG11dGF0aW9u
cyBpbiBpbnN1bGluLWRlZ3JhZGluZyBlbnp5bWUgdGhhdCBpbmR1Y2UgZGlhYmV0ZXMgYWxzbyBp
bXBhaXIgZGVncmFkYXRpb24gb2YgYW15bG9pZCBiZXRhLXByb3RlaW48L3RpdGxlPjxzZWNvbmRh
cnktdGl0bGU+QW0gSiBQYXRob2w8L3NlY29uZGFyeS10aXRsZT48YWx0LXRpdGxlPlRoZSBBbWVy
aWNhbiBqb3VybmFsIG9mIHBhdGhvbG9neTwvYWx0LXRpdGxlPjwvdGl0bGVzPjxwZXJpb2RpY2Fs
PjxmdWxsLXRpdGxlPkFtIEogUGF0aG9sPC9mdWxsLXRpdGxlPjwvcGVyaW9kaWNhbD48cGFnZXM+
MTQyNS0zNDwvcGFnZXM+PHZvbHVtZT4xNjQ8L3ZvbHVtZT48bnVtYmVyPjQ8L251bWJlcj48a2V5
d29yZHM+PGtleXdvcmQ+QWx6aGVpbWVyIERpc2Vhc2UvZ2VuZXRpY3M8L2tleXdvcmQ+PGtleXdv
cmQ+QW15bG9pZCBiZXRhLVBlcHRpZGVzLyptZXRhYm9saXNtPC9rZXl3b3JkPjxrZXl3b3JkPkFu
aW1hbHM8L2tleXdvcmQ+PGtleXdvcmQ+QnJhaW4vKm1ldGFib2xpc208L2tleXdvcmQ+PGtleXdv
cmQ+Q0hPIENlbGxzPC9rZXl3b3JkPjxrZXl3b3JkPkNlbGxzLCBDdWx0dXJlZDwva2V5d29yZD48
a2V5d29yZD5DcmljZXRpbmFlPC9rZXl3b3JkPjxrZXl3b3JkPkNyaWNldHVsdXM8L2tleXdvcmQ+
PGtleXdvcmQ+RGlhYmV0ZXMgTWVsbGl0dXMsIEV4cGVyaW1lbnRhbC8qZ2VuZXRpY3M8L2tleXdv
cmQ+PGtleXdvcmQ+RGlhYmV0ZXMgTWVsbGl0dXMsIFR5cGUgMi9nZW5ldGljczwva2V5d29yZD48
a2V5d29yZD5IdW1hbnM8L2tleXdvcmQ+PGtleXdvcmQ+SW1tdW5vYmxvdHRpbmc8L2tleXdvcmQ+
PGtleXdvcmQ+SW5zdWxpbi9tZXRhYm9saXNtPC9rZXl3b3JkPjxrZXl3b3JkPkluc3VseXNpbi8q
Z2VuZXRpY3M8L2tleXdvcmQ+PGtleXdvcmQ+TXV0YXRpb24sIE1pc3NlbnNlPC9rZXl3b3JkPjxr
ZXl3b3JkPk5ldXJvbnMvKm1ldGFib2xpc208L2tleXdvcmQ+PGtleXdvcmQ+UmF0czwva2V5d29y
ZD48a2V5d29yZD5UcmFuc2ZlY3Rpb248L2tleXdvcmQ+PC9rZXl3b3Jkcz48ZGF0ZXM+PHllYXI+
MjAwNDwveWVhcj48cHViLWRhdGVzPjxkYXRlPkFwcjwvZGF0ZT48L3B1Yi1kYXRlcz48L2RhdGVz
Pjxpc2JuPjAwMDItOTQ0MCAoUHJpbnQpJiN4RDswMDAyLTk0NDAgKExpbmtpbmcpPC9pc2JuPjxh
Y2Nlc3Npb24tbnVtPjE1MDM5MjMwPC9hY2Nlc3Npb24tbnVtPjx1cmxzPjxyZWxhdGVkLXVybHM+
PHVybD5odHRwOi8vd3d3Lm5jYmkubmxtLm5paC5nb3YvcHVibWVkLzE1MDM5MjMwPC91cmw+PC9y
ZWxhdGVkLXVybHM+PC91cmxzPjxjdXN0b20yPjE2MTUzMjk8L2N1c3RvbTI+PC9yZWNvcmQ+PC9D
aXRlPjwvRW5kTm90ZT4A
</w:fldData>
        </w:fldChar>
      </w:r>
      <w:r w:rsidR="00496991">
        <w:rPr>
          <w:b/>
        </w:rPr>
        <w:instrText xml:space="preserve"> ADDIN EN.CITE </w:instrText>
      </w:r>
      <w:r w:rsidR="00496991">
        <w:rPr>
          <w:b/>
        </w:rPr>
        <w:fldChar w:fldCharType="begin">
          <w:fldData xml:space="preserve">PEVuZE5vdGU+PENpdGU+PEF1dGhvcj5GYXJyaXM8L0F1dGhvcj48WWVhcj4yMDA0PC9ZZWFyPjxS
ZWNOdW0+NDM1OTwvUmVjTnVtPjxEaXNwbGF5VGV4dD5bNV08L0Rpc3BsYXlUZXh0PjxyZWNvcmQ+
PHJlYy1udW1iZXI+NDM1OTwvcmVjLW51bWJlcj48Zm9yZWlnbi1rZXlzPjxrZXkgYXBwPSJFTiIg
ZGItaWQ9InBzMjB0d3I5NnZ3cHQ3ZWZkc3A1MHdyZXA5OTAwdGQwZXN2ciIgdGltZXN0YW1wPSIx
NDUzOTE2NzM5Ij40MzU5PC9rZXk+PC9mb3JlaWduLWtleXM+PHJlZi10eXBlIG5hbWU9IkpvdXJu
YWwgQXJ0aWNsZSI+MTc8L3JlZi10eXBlPjxjb250cmlidXRvcnM+PGF1dGhvcnM+PGF1dGhvcj5G
YXJyaXMsIFcuPC9hdXRob3I+PGF1dGhvcj5NYW5zb3VyaWFuLCBTLjwvYXV0aG9yPjxhdXRob3I+
TGVpc3NyaW5nLCBNLiBBLjwvYXV0aG9yPjxhdXRob3I+RWNrbWFuLCBFLiBBLjwvYXV0aG9yPjxh
dXRob3I+QmVydHJhbSwgTC48L2F1dGhvcj48YXV0aG9yPkVja21hbiwgQy4gQi48L2F1dGhvcj48
YXV0aG9yPlRhbnppLCBSLiBFLjwvYXV0aG9yPjxhdXRob3I+U2Vsa29lLCBELiBKLjwvYXV0aG9y
PjwvYXV0aG9ycz48L2NvbnRyaWJ1dG9ycz48YXV0aC1hZGRyZXNzPkRlcGFydG1lbnQgb2YgTmV1
cm9sb2d5LCBDZW50ZXIgZm9yIE5ldXJvbG9naWMgRGlzZWFzZXMsIEJyaWdoYW0gYW5kIFdvbWVu
JmFwb3M7cyBIb3NwaXRhbCwgQm9zdG9uLCBNYXNzYWNodXNldHRzIDAyMTE1LCBVU0EuPC9hdXRo
LWFkZHJlc3M+PHRpdGxlcz48dGl0bGU+UGFydGlhbCBsb3NzLW9mLWZ1bmN0aW9uIG11dGF0aW9u
cyBpbiBpbnN1bGluLWRlZ3JhZGluZyBlbnp5bWUgdGhhdCBpbmR1Y2UgZGlhYmV0ZXMgYWxzbyBp
bXBhaXIgZGVncmFkYXRpb24gb2YgYW15bG9pZCBiZXRhLXByb3RlaW48L3RpdGxlPjxzZWNvbmRh
cnktdGl0bGU+QW0gSiBQYXRob2w8L3NlY29uZGFyeS10aXRsZT48YWx0LXRpdGxlPlRoZSBBbWVy
aWNhbiBqb3VybmFsIG9mIHBhdGhvbG9neTwvYWx0LXRpdGxlPjwvdGl0bGVzPjxwZXJpb2RpY2Fs
PjxmdWxsLXRpdGxlPkFtIEogUGF0aG9sPC9mdWxsLXRpdGxlPjwvcGVyaW9kaWNhbD48cGFnZXM+
MTQyNS0zNDwvcGFnZXM+PHZvbHVtZT4xNjQ8L3ZvbHVtZT48bnVtYmVyPjQ8L251bWJlcj48a2V5
d29yZHM+PGtleXdvcmQ+QWx6aGVpbWVyIERpc2Vhc2UvZ2VuZXRpY3M8L2tleXdvcmQ+PGtleXdv
cmQ+QW15bG9pZCBiZXRhLVBlcHRpZGVzLyptZXRhYm9saXNtPC9rZXl3b3JkPjxrZXl3b3JkPkFu
aW1hbHM8L2tleXdvcmQ+PGtleXdvcmQ+QnJhaW4vKm1ldGFib2xpc208L2tleXdvcmQ+PGtleXdv
cmQ+Q0hPIENlbGxzPC9rZXl3b3JkPjxrZXl3b3JkPkNlbGxzLCBDdWx0dXJlZDwva2V5d29yZD48
a2V5d29yZD5DcmljZXRpbmFlPC9rZXl3b3JkPjxrZXl3b3JkPkNyaWNldHVsdXM8L2tleXdvcmQ+
PGtleXdvcmQ+RGlhYmV0ZXMgTWVsbGl0dXMsIEV4cGVyaW1lbnRhbC8qZ2VuZXRpY3M8L2tleXdv
cmQ+PGtleXdvcmQ+RGlhYmV0ZXMgTWVsbGl0dXMsIFR5cGUgMi9nZW5ldGljczwva2V5d29yZD48
a2V5d29yZD5IdW1hbnM8L2tleXdvcmQ+PGtleXdvcmQ+SW1tdW5vYmxvdHRpbmc8L2tleXdvcmQ+
PGtleXdvcmQ+SW5zdWxpbi9tZXRhYm9saXNtPC9rZXl3b3JkPjxrZXl3b3JkPkluc3VseXNpbi8q
Z2VuZXRpY3M8L2tleXdvcmQ+PGtleXdvcmQ+TXV0YXRpb24sIE1pc3NlbnNlPC9rZXl3b3JkPjxr
ZXl3b3JkPk5ldXJvbnMvKm1ldGFib2xpc208L2tleXdvcmQ+PGtleXdvcmQ+UmF0czwva2V5d29y
ZD48a2V5d29yZD5UcmFuc2ZlY3Rpb248L2tleXdvcmQ+PC9rZXl3b3Jkcz48ZGF0ZXM+PHllYXI+
MjAwNDwveWVhcj48cHViLWRhdGVzPjxkYXRlPkFwcjwvZGF0ZT48L3B1Yi1kYXRlcz48L2RhdGVz
Pjxpc2JuPjAwMDItOTQ0MCAoUHJpbnQpJiN4RDswMDAyLTk0NDAgKExpbmtpbmcpPC9pc2JuPjxh
Y2Nlc3Npb24tbnVtPjE1MDM5MjMwPC9hY2Nlc3Npb24tbnVtPjx1cmxzPjxyZWxhdGVkLXVybHM+
PHVybD5odHRwOi8vd3d3Lm5jYmkubmxtLm5paC5nb3YvcHVibWVkLzE1MDM5MjMwPC91cmw+PC9y
ZWxhdGVkLXVybHM+PC91cmxzPjxjdXN0b20yPjE2MTUzMjk8L2N1c3RvbTI+PC9yZWNvcmQ+PC9D
aXRlPjwvRW5kTm90ZT4A
</w:fldData>
        </w:fldChar>
      </w:r>
      <w:r w:rsidR="00496991">
        <w:rPr>
          <w:b/>
        </w:rPr>
        <w:instrText xml:space="preserve"> ADDIN EN.CITE.DATA </w:instrText>
      </w:r>
      <w:r w:rsidR="00496991">
        <w:rPr>
          <w:b/>
        </w:rPr>
      </w:r>
      <w:r w:rsidR="00496991">
        <w:rPr>
          <w:b/>
        </w:rPr>
        <w:fldChar w:fldCharType="end"/>
      </w:r>
      <w:r>
        <w:rPr>
          <w:b/>
        </w:rPr>
      </w:r>
      <w:r>
        <w:rPr>
          <w:b/>
        </w:rPr>
        <w:fldChar w:fldCharType="separate"/>
      </w:r>
      <w:r w:rsidR="00496991">
        <w:rPr>
          <w:b/>
          <w:noProof/>
        </w:rPr>
        <w:t>[5]</w:t>
      </w:r>
      <w:r>
        <w:rPr>
          <w:b/>
        </w:rPr>
        <w:fldChar w:fldCharType="end"/>
      </w:r>
      <w:r>
        <w:t xml:space="preserve"> from individual E18 embryos derived from a cross between CatD-HET mice, and plated (10</w:t>
      </w:r>
      <w:r w:rsidRPr="00437334">
        <w:rPr>
          <w:vertAlign w:val="superscript"/>
        </w:rPr>
        <w:t>6</w:t>
      </w:r>
      <w:r>
        <w:t xml:space="preserve"> cells/cm</w:t>
      </w:r>
      <w:r w:rsidRPr="00437334">
        <w:rPr>
          <w:vertAlign w:val="superscript"/>
        </w:rPr>
        <w:t>2</w:t>
      </w:r>
      <w:r>
        <w:t xml:space="preserve">) on 35-mm </w:t>
      </w:r>
      <w:r w:rsidRPr="00437334">
        <w:t>poly-</w:t>
      </w:r>
      <w:r w:rsidRPr="00437334">
        <w:rPr>
          <w:sz w:val="20"/>
        </w:rPr>
        <w:t>D</w:t>
      </w:r>
      <w:r w:rsidRPr="00437334">
        <w:t>-lysine-coated glass bottom culture dishes</w:t>
      </w:r>
      <w:r>
        <w:t xml:space="preserve"> (MatTek Corp.).  After maintenance for 7 to 10 days i</w:t>
      </w:r>
      <w:r w:rsidRPr="00437334">
        <w:t>n Neurobasal medium containing the growth supplement B27 (Invitrogen)</w:t>
      </w:r>
      <w:r>
        <w:t>.  For quantification of secreted Aß</w:t>
      </w:r>
      <w:r w:rsidRPr="00437334">
        <w:t>, cells were washed twice, then incubated in the latter medium</w:t>
      </w:r>
      <w:r>
        <w:t xml:space="preserve"> overnight, and the</w:t>
      </w:r>
      <w:r w:rsidRPr="00437334">
        <w:t xml:space="preserve"> conditioned medium was </w:t>
      </w:r>
      <w:r>
        <w:t xml:space="preserve">collected, </w:t>
      </w:r>
      <w:r w:rsidRPr="00437334">
        <w:t>supplemented with Complete Protease Inhibitor Cocktail (Roche) and analyzed without further extraction</w:t>
      </w:r>
      <w:r>
        <w:t xml:space="preserve"> using in-house ELISA systems based on</w:t>
      </w:r>
      <w:r w:rsidRPr="00437334">
        <w:t xml:space="preserve"> antibody pairs 33.1.1/13.1.1 and 2.1.3.35.86/33.1.1</w:t>
      </w:r>
      <w:r>
        <w:t xml:space="preserve">.  Aß uptake and catabolism was assessed by washing neurons </w:t>
      </w:r>
      <w:r>
        <w:lastRenderedPageBreak/>
        <w:t xml:space="preserve">twice, then incubated in the growth medium </w:t>
      </w:r>
      <w:r w:rsidRPr="00437334">
        <w:t>containing a mixture of Aß4</w:t>
      </w:r>
      <w:r>
        <w:t>2</w:t>
      </w:r>
      <w:r w:rsidRPr="00437334">
        <w:t xml:space="preserve"> and Aß4</w:t>
      </w:r>
      <w:r>
        <w:t>0</w:t>
      </w:r>
      <w:r w:rsidRPr="00437334">
        <w:t xml:space="preserve"> (500 nM each) labeled N-terminally with HiLyte Fluor</w:t>
      </w:r>
      <w:r w:rsidRPr="00437334">
        <w:rPr>
          <w:vertAlign w:val="superscript"/>
        </w:rPr>
        <w:t>TM</w:t>
      </w:r>
      <w:r w:rsidRPr="00437334">
        <w:t xml:space="preserve"> 488 or HiLyte Fluor</w:t>
      </w:r>
      <w:r w:rsidRPr="00437334">
        <w:rPr>
          <w:vertAlign w:val="superscript"/>
        </w:rPr>
        <w:t>TM</w:t>
      </w:r>
      <w:r w:rsidRPr="00437334">
        <w:t xml:space="preserve"> 555, respectively (Anaspec).  Following incubation at 37 </w:t>
      </w:r>
      <w:r w:rsidRPr="00437334">
        <w:rPr>
          <w:vertAlign w:val="superscript"/>
        </w:rPr>
        <w:t>o</w:t>
      </w:r>
      <w:r w:rsidRPr="00437334">
        <w:t>C/5% CO</w:t>
      </w:r>
      <w:r w:rsidRPr="00437334">
        <w:rPr>
          <w:vertAlign w:val="subscript"/>
        </w:rPr>
        <w:t>2</w:t>
      </w:r>
      <w:r w:rsidRPr="00437334">
        <w:t xml:space="preserve"> for 2 h, cells were washed 3 times, imaged by confocal microscopy (see below), returned to 37 </w:t>
      </w:r>
      <w:r w:rsidRPr="00437334">
        <w:rPr>
          <w:vertAlign w:val="superscript"/>
        </w:rPr>
        <w:t>o</w:t>
      </w:r>
      <w:r w:rsidRPr="00437334">
        <w:t>C/5% CO</w:t>
      </w:r>
      <w:r w:rsidRPr="00437334">
        <w:rPr>
          <w:vertAlign w:val="subscript"/>
        </w:rPr>
        <w:t>2</w:t>
      </w:r>
      <w:r w:rsidRPr="00437334">
        <w:t xml:space="preserve"> for 2 h, stained with Hoescht 33258 (Invitrogen), washed and imaged again.  Images were obtained using the 488-nm and 543-nm laser lines on a Zeiss LCM 510 confocal microscope the intensities of which were calibrated and maintained constant for all imaging.  A computer-operated stage (Zeiss) was used to record the position of imaged cells and to facilitate their subsequent location, which was verified by manual inspection prior to the capture of the second image.  Images were processed and analyzed using MetaMorph software according to manufacturer’s recommendations (Molecular Devices).</w:t>
      </w:r>
    </w:p>
    <w:p w:rsidR="005A39D6" w:rsidRPr="003B54C4" w:rsidRDefault="005A39D6" w:rsidP="005A39D6">
      <w:pPr>
        <w:pStyle w:val="Methods"/>
        <w:rPr>
          <w:b/>
        </w:rPr>
      </w:pPr>
      <w:r w:rsidRPr="003B54C4">
        <w:rPr>
          <w:b/>
        </w:rPr>
        <w:t>Mass Spectrometry</w:t>
      </w:r>
    </w:p>
    <w:p w:rsidR="005A39D6" w:rsidRPr="00081AD4" w:rsidRDefault="005A39D6" w:rsidP="005A39D6">
      <w:pPr>
        <w:pStyle w:val="Methods"/>
      </w:pPr>
      <w:r w:rsidRPr="00081AD4">
        <w:t xml:space="preserve">The cleavage sites within Aß40 and Aß42 hydrolyzed by CatD were determined essentially as described </w:t>
      </w:r>
      <w:r>
        <w:fldChar w:fldCharType="begin"/>
      </w:r>
      <w:r w:rsidR="00496991">
        <w:instrText xml:space="preserve"> ADDIN EN.CITE &lt;EndNote&gt;&lt;Cite&gt;&lt;Author&gt;Abdul-Hay&lt;/Author&gt;&lt;Year&gt;2012&lt;/Year&gt;&lt;RecNum&gt;3822&lt;/RecNum&gt;&lt;DisplayText&gt;[6]&lt;/DisplayText&gt;&lt;record&gt;&lt;rec-number&gt;3822&lt;/rec-number&gt;&lt;foreign-keys&gt;&lt;key app="EN" db-id="ps20twr96vwpt7efdsp50wrep9900td0esvr" timestamp="1349714182"&gt;3822&lt;/key&gt;&lt;/foreign-keys&gt;&lt;ref-type name="Journal Article"&gt;17&lt;/ref-type&gt;&lt;contributors&gt;&lt;authors&gt;&lt;author&gt;Abdul-Hay, S. O.&lt;/author&gt;&lt;author&gt;Sahara, T.&lt;/author&gt;&lt;author&gt;McBride, M.&lt;/author&gt;&lt;author&gt;Kang, D.&lt;/author&gt;&lt;author&gt;Leissring, M. A.&lt;/author&gt;&lt;/authors&gt;&lt;/contributors&gt;&lt;titles&gt;&lt;title&gt;Identification of BACE2 as an avid ß-amyloid-degrading protease&lt;/title&gt;&lt;secondary-title&gt;Mol Neurodegener&lt;/secondary-title&gt;&lt;alt-title&gt;Molecular neurodegeneration&lt;/alt-title&gt;&lt;/titles&gt;&lt;periodical&gt;&lt;full-title&gt;Mol Neurodegener&lt;/full-title&gt;&lt;/periodical&gt;&lt;pages&gt;46&lt;/pages&gt;&lt;volume&gt;7&lt;/volume&gt;&lt;number&gt;1&lt;/number&gt;&lt;edition&gt;2012/09/19&lt;/edition&gt;&lt;dates&gt;&lt;year&gt;2012&lt;/year&gt;&lt;pub-dates&gt;&lt;date&gt;Sep 17&lt;/date&gt;&lt;/pub-dates&gt;&lt;/dates&gt;&lt;isbn&gt;1750-1326 (Electronic)&amp;#xD;1750-1326 (Linking)&lt;/isbn&gt;&lt;accession-num&gt;22986058&lt;/accession-num&gt;&lt;urls&gt;&lt;related-urls&gt;&lt;url&gt;http://www.ncbi.nlm.nih.gov/pubmed/22986058&lt;/url&gt;&lt;/related-urls&gt;&lt;/urls&gt;&lt;electronic-resource-num&gt;10.1186/1750-1326-7-46&lt;/electronic-resource-num&gt;&lt;language&gt;Eng&lt;/language&gt;&lt;/record&gt;&lt;/Cite&gt;&lt;/EndNote&gt;</w:instrText>
      </w:r>
      <w:r>
        <w:fldChar w:fldCharType="separate"/>
      </w:r>
      <w:r w:rsidR="00496991">
        <w:rPr>
          <w:noProof/>
        </w:rPr>
        <w:t>[6]</w:t>
      </w:r>
      <w:r>
        <w:fldChar w:fldCharType="end"/>
      </w:r>
      <w:r>
        <w:t xml:space="preserve"> with minor modifications</w:t>
      </w:r>
      <w:r w:rsidRPr="00081AD4">
        <w:t xml:space="preserve">. </w:t>
      </w:r>
      <w:r>
        <w:t> Briefly, biotinylated Aß peptides were incubated for various lengths of time with purified CatD. The reaction was stopped by addition of PepA (1 µM) and pH adjustment. Aß fragments wer</w:t>
      </w:r>
      <w:r w:rsidRPr="00C2055C">
        <w:t>e precipitated by magnetic beads coated with streptavidin (for biotinylated Aß). Beads were washed with 10 mM NH</w:t>
      </w:r>
      <w:r w:rsidRPr="00C2055C">
        <w:rPr>
          <w:sz w:val="18"/>
        </w:rPr>
        <w:t>4</w:t>
      </w:r>
      <w:r w:rsidRPr="00C2055C">
        <w:t>CO</w:t>
      </w:r>
      <w:r w:rsidRPr="00C2055C">
        <w:rPr>
          <w:sz w:val="18"/>
        </w:rPr>
        <w:t>3</w:t>
      </w:r>
      <w:r w:rsidRPr="00C2055C">
        <w:t xml:space="preserve">, pH 8.0, and peptide fragments were eluted using 0.5% trifluoroacetic acid in 75% acetonitrile in water, followed by the addition of an equal volume of a saturated sinapic acid solution dissolved in 0.5% trifluoroacetic acid in 50% acetonitrile and water. Digested products were spotted onto gold chip and analyzed using a Ciphergen ProteinChip SELDI time-of-flight system (Bio-Rad). Mass spectra were acquired automatically in a linear positive mode at 1350 shots per spectrum. </w:t>
      </w:r>
    </w:p>
    <w:p w:rsidR="005A39D6" w:rsidRPr="000834B3" w:rsidRDefault="005A39D6" w:rsidP="005A39D6">
      <w:pPr>
        <w:pStyle w:val="Heading3"/>
      </w:pPr>
      <w:r>
        <w:t>E</w:t>
      </w:r>
      <w:r w:rsidRPr="000834B3">
        <w:t>nzymological studies</w:t>
      </w:r>
    </w:p>
    <w:p w:rsidR="005A39D6" w:rsidRDefault="005A39D6" w:rsidP="005A39D6">
      <w:pPr>
        <w:pStyle w:val="Heading3"/>
        <w:spacing w:line="360" w:lineRule="auto"/>
        <w:rPr>
          <w:b w:val="0"/>
          <w:sz w:val="24"/>
          <w:szCs w:val="24"/>
        </w:rPr>
      </w:pPr>
      <w:r>
        <w:rPr>
          <w:b w:val="0"/>
        </w:rPr>
        <w:t>For e</w:t>
      </w:r>
      <w:r w:rsidRPr="000834B3">
        <w:rPr>
          <w:b w:val="0"/>
        </w:rPr>
        <w:t xml:space="preserve">xperiments based on </w:t>
      </w:r>
      <w:r>
        <w:rPr>
          <w:b w:val="0"/>
        </w:rPr>
        <w:t xml:space="preserve">radiolabeled </w:t>
      </w:r>
      <w:r w:rsidRPr="000834B3">
        <w:rPr>
          <w:b w:val="0"/>
        </w:rPr>
        <w:t xml:space="preserve">Aß peptides, </w:t>
      </w:r>
      <w:r w:rsidRPr="000834B3">
        <w:rPr>
          <w:b w:val="0"/>
          <w:vertAlign w:val="superscript"/>
        </w:rPr>
        <w:t>1</w:t>
      </w:r>
      <w:r w:rsidRPr="00C1410C">
        <w:rPr>
          <w:b w:val="0"/>
          <w:sz w:val="24"/>
          <w:vertAlign w:val="superscript"/>
        </w:rPr>
        <w:t>25</w:t>
      </w:r>
      <w:r w:rsidRPr="00C1410C">
        <w:rPr>
          <w:b w:val="0"/>
          <w:sz w:val="24"/>
        </w:rPr>
        <w:t xml:space="preserve">I-Aß42 and </w:t>
      </w:r>
      <w:r w:rsidRPr="00C1410C">
        <w:rPr>
          <w:b w:val="0"/>
          <w:sz w:val="24"/>
          <w:vertAlign w:val="superscript"/>
        </w:rPr>
        <w:t>125</w:t>
      </w:r>
      <w:r w:rsidRPr="00C1410C">
        <w:rPr>
          <w:b w:val="0"/>
          <w:sz w:val="24"/>
        </w:rPr>
        <w:t xml:space="preserve">I-Aß40 prepared as described </w:t>
      </w:r>
      <w:r>
        <w:rPr>
          <w:b w:val="0"/>
          <w:sz w:val="24"/>
        </w:rPr>
        <w:fldChar w:fldCharType="begin">
          <w:fldData xml:space="preserve">PEVuZE5vdGU+PENpdGU+PEF1dGhvcj5MYVJ1ZTwvQXV0aG9yPjxZZWFyPjIwMDQ8L1llYXI+PFJl
Y051bT4xMzMwPC9SZWNOdW0+PERpc3BsYXlUZXh0Pls3XTwvRGlzcGxheVRleHQ+PHJlY29yZD48
cmVjLW51bWJlcj4xMzMwPC9yZWMtbnVtYmVyPjxmb3JlaWduLWtleXM+PGtleSBhcHA9IkVOIiBk
Yi1pZD0icHMyMHR3cjk2dndwdDdlZmRzcDUwd3JlcDk5MDB0ZDBlc3ZyIiB0aW1lc3RhbXA9IjAi
PjEzMzA8L2tleT48L2ZvcmVpZ24ta2V5cz48cmVmLXR5cGUgbmFtZT0iSm91cm5hbCBBcnRpY2xl
Ij4xNzwvcmVmLXR5cGU+PGNvbnRyaWJ1dG9ycz48YXV0aG9ycz48YXV0aG9yPkxhUnVlLCBCLjwv
YXV0aG9yPjxhdXRob3I+SG9nZywgRS48L2F1dGhvcj48YXV0aG9yPlNhZ2FyZSwgQS48L2F1dGhv
cj48YXV0aG9yPkpvdmFub3ZpYywgUy48L2F1dGhvcj48YXV0aG9yPk1hbmVzcywgTC48L2F1dGhv
cj48YXV0aG9yPk1hdXJlciwgQy48L2F1dGhvcj48YXV0aG9yPkRlYW5lLCBSLjwvYXV0aG9yPjxh
dXRob3I+Wmxva292aWMsIEIuIFYuPC9hdXRob3I+PC9hdXRob3JzPjwvY29udHJpYnV0b3JzPjxh
dXRoLWFkZHJlc3M+RGVwYXJ0bWVudCBvZiBOZXVyb3N1cmdlcnksIEZyYW5rIFAuIFNtaXRoIE5l
dXJvc3VyZ2ljYWwgUmVzZWFyY2ggTGFib3JhdG9yeSwgQ2VudGVyIG9mIEFnaW5nICZhbXA7IERl
dmVsb3BtZW50YWwgQmlvbG9neSwgVW5pdmVyc2l0eSBvZiBSb2NoZXN0ZXIgTWVkaWNhbCBDZW50
ZXIsIDYwMSBFbG13b29kIEF2ZW51ZSwgQm94IDY3MCwgUm9jaGVzdGVyLCBOWSAxNDY0MiwgVVNB
LjwvYXV0aC1hZGRyZXNzPjx0aXRsZXM+PHRpdGxlPk1ldGhvZCBmb3IgbWVhc3VyZW1lbnQgb2Yg
dGhlIGJsb29kLWJyYWluIGJhcnJpZXIgcGVybWVhYmlsaXR5IGluIHRoZSBwZXJmdXNlZCBtb3Vz
ZSBicmFpbjogYXBwbGljYXRpb24gdG8gYW15bG9pZC1iZXRhIHBlcHRpZGUgaW4gd2lsZCB0eXBl
IGFuZCBBbHpoZWltZXImYXBvcztzIFRnMjU3NiBtaWNlPC90aXRsZT48c2Vjb25kYXJ5LXRpdGxl
PkogTmV1cm9zY2kgTWV0aG9kczwvc2Vjb25kYXJ5LXRpdGxlPjwvdGl0bGVzPjxwZXJpb2RpY2Fs
PjxmdWxsLXRpdGxlPkogTmV1cm9zY2kgTWV0aG9kczwvZnVsbC10aXRsZT48L3BlcmlvZGljYWw+
PHBhZ2VzPjIzMy00MjwvcGFnZXM+PHZvbHVtZT4xMzg8L3ZvbHVtZT48bnVtYmVyPjEtMjwvbnVt
YmVyPjxrZXl3b3Jkcz48a2V5d29yZD5BZGVub3NpbmUgVHJpcGhvc3BoYXRlL21ldGFib2xpc208
L2tleXdvcmQ+PGtleXdvcmQ+QWx6aGVpbWVyIERpc2Vhc2UvKm1ldGFib2xpc208L2tleXdvcmQ+
PGtleXdvcmQ+QW15bG9pZCBiZXRhLVByb3RlaW4vbWV0YWJvbGlzbS8qcGhhcm1hY29raW5ldGlj
czwva2V5d29yZD48a2V5d29yZD5BbmltYWxzPC9rZXl3b3JkPjxrZXl3b3JkPkF1dG9yYWRpb2dy
YXBoeS9tZXRob2RzPC9rZXl3b3JkPjxrZXl3b3JkPkJsb29kLUJyYWluIEJhcnJpZXIvKm1ldGFi
b2xpc20vdWx0cmFzdHJ1Y3R1cmU8L2tleXdvcmQ+PGtleXdvcmQ+QnJhaW4gQ2hlbWlzdHJ5L2Ry
dWcgZWZmZWN0cy9waHlzaW9sb2d5PC9rZXl3b3JkPjxrZXl3b3JkPkNhcGlsbGFyeSBQZXJtZWFi
aWxpdHkvZHJ1ZyBlZmZlY3RzLypwaHlzaW9sb2d5PC9rZXl3b3JkPjxrZXl3b3JkPkNlcmVicm92
YXNjdWxhciBDaXJjdWxhdGlvbi9kcnVnIGVmZmVjdHM8L2tleXdvcmQ+PGtleXdvcmQ+Q2hyb21h
dG9ncmFwaHksIEhpZ2ggUHJlc3N1cmUgTGlxdWlkL21ldGhvZHM8L2tleXdvcmQ+PGtleXdvcmQ+
Q29tcGFyYXRpdmUgU3R1ZHk8L2tleXdvcmQ+PGtleXdvcmQ+RGlzZWFzZSBNb2RlbHMsIEFuaW1h
bDwva2V5d29yZD48a2V5d29yZD5IdW1hbnM8L2tleXdvcmQ+PGtleXdvcmQ+SW9kaW5lIElzb3Rv
cGVzL3BoYXJtYWNva2luZXRpY3M8L2tleXdvcmQ+PGtleXdvcmQ+TGFjdGljIEFjaWQvbWV0YWJv
bGlzbTwva2V5d29yZD48a2V5d29yZD5MYXRlcmFsaXR5PC9rZXl3b3JkPjxrZXl3b3JkPk1hbGU8
L2tleXdvcmQ+PGtleXdvcmQ+TWljZTwva2V5d29yZD48a2V5d29yZD5NaWNlLCBJbmJyZWQgQzU3
Qkw8L2tleXdvcmQ+PGtleXdvcmQ+TWljZSwgVHJhbnNnZW5pYy9waHlzaW9sb2d5PC9rZXl3b3Jk
PjxrZXl3b3JkPk1pY3Jvc2NvcHksIEVsZWN0cm9uL21ldGhvZHM8L2tleXdvcmQ+PGtleXdvcmQ+
TWl0b2dlbi1BY3RpdmF0ZWQgUHJvdGVpbiBLaW5hc2VzL3BoYXJtYWNvbG9neTwva2V5d29yZD48
a2V5d29yZD5QZXB0aWRlIEZyYWdtZW50cy9tZXRhYm9saXNtLypwaGFybWFjb2tpbmV0aWNzPC9r
ZXl3b3JkPjxrZXl3b3JkPlBlcmZ1c2lvbi9tZXRob2RzPC9rZXl3b3JkPjxrZXl3b3JkPlBlcm1l
YWJpbGl0eTwva2V5d29yZD48a2V5d29yZD5SZWdpb25hbCBCbG9vZCBGbG93L3BoeXNpb2xvZ3k8
L2tleXdvcmQ+PGtleXdvcmQ+UmVzZWFyY2ggU3VwcG9ydCwgVS5TLiBHb3YmYXBvczt0LCBQLkgu
Uy48L2tleXdvcmQ+PGtleXdvcmQ+U3BlY3RydW0gQW5hbHlzaXMsIE1hc3MvbWV0aG9kczwva2V5
d29yZD48L2tleXdvcmRzPjxkYXRlcz48eWVhcj4yMDA0PC95ZWFyPjxwdWItZGF0ZXM+PGRhdGU+
U2VwIDMwPC9kYXRlPjwvcHViLWRhdGVzPjwvZGF0ZXM+PGFjY2Vzc2lvbi1udW0+MTUzMjUxMzI8
L2FjY2Vzc2lvbi1udW0+PHVybHM+PHJlbGF0ZWQtdXJscz48dXJsPmh0dHA6Ly93d3cubmNiaS5u
bG0ubmloLmdvdi9lbnRyZXovcXVlcnkuZmNnaT9jbWQ9UmV0cmlldmUmYW1wO2RiPVB1Yk1lZCZh
bXA7ZG9wdD1DaXRhdGlvbiZhbXA7bGlzdF91aWRzPTE1MzI1MTMyIDwvdXJsPjwvcmVsYXRlZC11
cmxzPjwvdXJscz48L3JlY29yZD48L0NpdGU+PC9FbmROb3RlPn==
</w:fldData>
        </w:fldChar>
      </w:r>
      <w:r w:rsidR="00496991">
        <w:rPr>
          <w:b w:val="0"/>
          <w:sz w:val="24"/>
        </w:rPr>
        <w:instrText xml:space="preserve"> ADDIN EN.CITE </w:instrText>
      </w:r>
      <w:r w:rsidR="00496991">
        <w:rPr>
          <w:b w:val="0"/>
          <w:sz w:val="24"/>
        </w:rPr>
        <w:fldChar w:fldCharType="begin">
          <w:fldData xml:space="preserve">PEVuZE5vdGU+PENpdGU+PEF1dGhvcj5MYVJ1ZTwvQXV0aG9yPjxZZWFyPjIwMDQ8L1llYXI+PFJl
Y051bT4xMzMwPC9SZWNOdW0+PERpc3BsYXlUZXh0Pls3XTwvRGlzcGxheVRleHQ+PHJlY29yZD48
cmVjLW51bWJlcj4xMzMwPC9yZWMtbnVtYmVyPjxmb3JlaWduLWtleXM+PGtleSBhcHA9IkVOIiBk
Yi1pZD0icHMyMHR3cjk2dndwdDdlZmRzcDUwd3JlcDk5MDB0ZDBlc3ZyIiB0aW1lc3RhbXA9IjAi
PjEzMzA8L2tleT48L2ZvcmVpZ24ta2V5cz48cmVmLXR5cGUgbmFtZT0iSm91cm5hbCBBcnRpY2xl
Ij4xNzwvcmVmLXR5cGU+PGNvbnRyaWJ1dG9ycz48YXV0aG9ycz48YXV0aG9yPkxhUnVlLCBCLjwv
YXV0aG9yPjxhdXRob3I+SG9nZywgRS48L2F1dGhvcj48YXV0aG9yPlNhZ2FyZSwgQS48L2F1dGhv
cj48YXV0aG9yPkpvdmFub3ZpYywgUy48L2F1dGhvcj48YXV0aG9yPk1hbmVzcywgTC48L2F1dGhv
cj48YXV0aG9yPk1hdXJlciwgQy48L2F1dGhvcj48YXV0aG9yPkRlYW5lLCBSLjwvYXV0aG9yPjxh
dXRob3I+Wmxva292aWMsIEIuIFYuPC9hdXRob3I+PC9hdXRob3JzPjwvY29udHJpYnV0b3JzPjxh
dXRoLWFkZHJlc3M+RGVwYXJ0bWVudCBvZiBOZXVyb3N1cmdlcnksIEZyYW5rIFAuIFNtaXRoIE5l
dXJvc3VyZ2ljYWwgUmVzZWFyY2ggTGFib3JhdG9yeSwgQ2VudGVyIG9mIEFnaW5nICZhbXA7IERl
dmVsb3BtZW50YWwgQmlvbG9neSwgVW5pdmVyc2l0eSBvZiBSb2NoZXN0ZXIgTWVkaWNhbCBDZW50
ZXIsIDYwMSBFbG13b29kIEF2ZW51ZSwgQm94IDY3MCwgUm9jaGVzdGVyLCBOWSAxNDY0MiwgVVNB
LjwvYXV0aC1hZGRyZXNzPjx0aXRsZXM+PHRpdGxlPk1ldGhvZCBmb3IgbWVhc3VyZW1lbnQgb2Yg
dGhlIGJsb29kLWJyYWluIGJhcnJpZXIgcGVybWVhYmlsaXR5IGluIHRoZSBwZXJmdXNlZCBtb3Vz
ZSBicmFpbjogYXBwbGljYXRpb24gdG8gYW15bG9pZC1iZXRhIHBlcHRpZGUgaW4gd2lsZCB0eXBl
IGFuZCBBbHpoZWltZXImYXBvcztzIFRnMjU3NiBtaWNlPC90aXRsZT48c2Vjb25kYXJ5LXRpdGxl
PkogTmV1cm9zY2kgTWV0aG9kczwvc2Vjb25kYXJ5LXRpdGxlPjwvdGl0bGVzPjxwZXJpb2RpY2Fs
PjxmdWxsLXRpdGxlPkogTmV1cm9zY2kgTWV0aG9kczwvZnVsbC10aXRsZT48L3BlcmlvZGljYWw+
PHBhZ2VzPjIzMy00MjwvcGFnZXM+PHZvbHVtZT4xMzg8L3ZvbHVtZT48bnVtYmVyPjEtMjwvbnVt
YmVyPjxrZXl3b3Jkcz48a2V5d29yZD5BZGVub3NpbmUgVHJpcGhvc3BoYXRlL21ldGFib2xpc208
L2tleXdvcmQ+PGtleXdvcmQ+QWx6aGVpbWVyIERpc2Vhc2UvKm1ldGFib2xpc208L2tleXdvcmQ+
PGtleXdvcmQ+QW15bG9pZCBiZXRhLVByb3RlaW4vbWV0YWJvbGlzbS8qcGhhcm1hY29raW5ldGlj
czwva2V5d29yZD48a2V5d29yZD5BbmltYWxzPC9rZXl3b3JkPjxrZXl3b3JkPkF1dG9yYWRpb2dy
YXBoeS9tZXRob2RzPC9rZXl3b3JkPjxrZXl3b3JkPkJsb29kLUJyYWluIEJhcnJpZXIvKm1ldGFi
b2xpc20vdWx0cmFzdHJ1Y3R1cmU8L2tleXdvcmQ+PGtleXdvcmQ+QnJhaW4gQ2hlbWlzdHJ5L2Ry
dWcgZWZmZWN0cy9waHlzaW9sb2d5PC9rZXl3b3JkPjxrZXl3b3JkPkNhcGlsbGFyeSBQZXJtZWFi
aWxpdHkvZHJ1ZyBlZmZlY3RzLypwaHlzaW9sb2d5PC9rZXl3b3JkPjxrZXl3b3JkPkNlcmVicm92
YXNjdWxhciBDaXJjdWxhdGlvbi9kcnVnIGVmZmVjdHM8L2tleXdvcmQ+PGtleXdvcmQ+Q2hyb21h
dG9ncmFwaHksIEhpZ2ggUHJlc3N1cmUgTGlxdWlkL21ldGhvZHM8L2tleXdvcmQ+PGtleXdvcmQ+
Q29tcGFyYXRpdmUgU3R1ZHk8L2tleXdvcmQ+PGtleXdvcmQ+RGlzZWFzZSBNb2RlbHMsIEFuaW1h
bDwva2V5d29yZD48a2V5d29yZD5IdW1hbnM8L2tleXdvcmQ+PGtleXdvcmQ+SW9kaW5lIElzb3Rv
cGVzL3BoYXJtYWNva2luZXRpY3M8L2tleXdvcmQ+PGtleXdvcmQ+TGFjdGljIEFjaWQvbWV0YWJv
bGlzbTwva2V5d29yZD48a2V5d29yZD5MYXRlcmFsaXR5PC9rZXl3b3JkPjxrZXl3b3JkPk1hbGU8
L2tleXdvcmQ+PGtleXdvcmQ+TWljZTwva2V5d29yZD48a2V5d29yZD5NaWNlLCBJbmJyZWQgQzU3
Qkw8L2tleXdvcmQ+PGtleXdvcmQ+TWljZSwgVHJhbnNnZW5pYy9waHlzaW9sb2d5PC9rZXl3b3Jk
PjxrZXl3b3JkPk1pY3Jvc2NvcHksIEVsZWN0cm9uL21ldGhvZHM8L2tleXdvcmQ+PGtleXdvcmQ+
TWl0b2dlbi1BY3RpdmF0ZWQgUHJvdGVpbiBLaW5hc2VzL3BoYXJtYWNvbG9neTwva2V5d29yZD48
a2V5d29yZD5QZXB0aWRlIEZyYWdtZW50cy9tZXRhYm9saXNtLypwaGFybWFjb2tpbmV0aWNzPC9r
ZXl3b3JkPjxrZXl3b3JkPlBlcmZ1c2lvbi9tZXRob2RzPC9rZXl3b3JkPjxrZXl3b3JkPlBlcm1l
YWJpbGl0eTwva2V5d29yZD48a2V5d29yZD5SZWdpb25hbCBCbG9vZCBGbG93L3BoeXNpb2xvZ3k8
L2tleXdvcmQ+PGtleXdvcmQ+UmVzZWFyY2ggU3VwcG9ydCwgVS5TLiBHb3YmYXBvczt0LCBQLkgu
Uy48L2tleXdvcmQ+PGtleXdvcmQ+U3BlY3RydW0gQW5hbHlzaXMsIE1hc3MvbWV0aG9kczwva2V5
d29yZD48L2tleXdvcmRzPjxkYXRlcz48eWVhcj4yMDA0PC95ZWFyPjxwdWItZGF0ZXM+PGRhdGU+
U2VwIDMwPC9kYXRlPjwvcHViLWRhdGVzPjwvZGF0ZXM+PGFjY2Vzc2lvbi1udW0+MTUzMjUxMzI8
L2FjY2Vzc2lvbi1udW0+PHVybHM+PHJlbGF0ZWQtdXJscz48dXJsPmh0dHA6Ly93d3cubmNiaS5u
bG0ubmloLmdvdi9lbnRyZXovcXVlcnkuZmNnaT9jbWQ9UmV0cmlldmUmYW1wO2RiPVB1Yk1lZCZh
bXA7ZG9wdD1DaXRhdGlvbiZhbXA7bGlzdF91aWRzPTE1MzI1MTMyIDwvdXJsPjwvcmVsYXRlZC11
cmxzPjwvdXJscz48L3JlY29yZD48L0NpdGU+PC9FbmROb3RlPn==
</w:fldData>
        </w:fldChar>
      </w:r>
      <w:r w:rsidR="00496991">
        <w:rPr>
          <w:b w:val="0"/>
          <w:sz w:val="24"/>
        </w:rPr>
        <w:instrText xml:space="preserve"> ADDIN EN.CITE.DATA </w:instrText>
      </w:r>
      <w:r w:rsidR="00496991">
        <w:rPr>
          <w:b w:val="0"/>
          <w:sz w:val="24"/>
        </w:rPr>
      </w:r>
      <w:r w:rsidR="00496991">
        <w:rPr>
          <w:b w:val="0"/>
          <w:sz w:val="24"/>
        </w:rPr>
        <w:fldChar w:fldCharType="end"/>
      </w:r>
      <w:r>
        <w:rPr>
          <w:b w:val="0"/>
          <w:sz w:val="24"/>
        </w:rPr>
      </w:r>
      <w:r>
        <w:rPr>
          <w:b w:val="0"/>
          <w:sz w:val="24"/>
        </w:rPr>
        <w:fldChar w:fldCharType="separate"/>
      </w:r>
      <w:r w:rsidR="00496991">
        <w:rPr>
          <w:b w:val="0"/>
          <w:noProof/>
          <w:sz w:val="24"/>
        </w:rPr>
        <w:t>[7]</w:t>
      </w:r>
      <w:r>
        <w:rPr>
          <w:b w:val="0"/>
          <w:sz w:val="24"/>
        </w:rPr>
        <w:fldChar w:fldCharType="end"/>
      </w:r>
      <w:r w:rsidRPr="00C1410C">
        <w:rPr>
          <w:b w:val="0"/>
          <w:sz w:val="24"/>
        </w:rPr>
        <w:t xml:space="preserve"> (generous gift of R. Deane and B. </w:t>
      </w:r>
      <w:proofErr w:type="spellStart"/>
      <w:r w:rsidRPr="00C1410C">
        <w:rPr>
          <w:b w:val="0"/>
          <w:sz w:val="24"/>
        </w:rPr>
        <w:t>Zlokovic</w:t>
      </w:r>
      <w:proofErr w:type="spellEnd"/>
      <w:r w:rsidRPr="00C1410C">
        <w:rPr>
          <w:b w:val="0"/>
          <w:sz w:val="24"/>
        </w:rPr>
        <w:t xml:space="preserve">) were mixed in a 1:10 ratio with the corresponding unlabeled Aß peptides, and degradation was quantified by trichloroacetic acid precipitation, as described </w:t>
      </w:r>
      <w:r>
        <w:rPr>
          <w:b w:val="0"/>
          <w:sz w:val="24"/>
          <w:szCs w:val="24"/>
        </w:rPr>
        <w:fldChar w:fldCharType="begin"/>
      </w:r>
      <w:r w:rsidR="00496991">
        <w:rPr>
          <w:b w:val="0"/>
          <w:sz w:val="24"/>
          <w:szCs w:val="24"/>
        </w:rPr>
        <w:instrText xml:space="preserve"> ADDIN EN.CITE &lt;EndNote&gt;&lt;Cite&gt;&lt;Author&gt;Leissring&lt;/Author&gt;&lt;Year&gt;2003&lt;/Year&gt;&lt;RecNum&gt;1461&lt;/RecNum&gt;&lt;DisplayText&gt;[8]&lt;/DisplayText&gt;&lt;record&gt;&lt;rec-number&gt;1461&lt;/rec-number&gt;&lt;foreign-keys&gt;&lt;key app="EN" db-id="ps20twr96vwpt7efdsp50wrep9900td0esvr" timestamp="0"&gt;1461&lt;/key&gt;&lt;/foreign-keys&gt;&lt;ref-type name="Journal Article"&gt;17&lt;/ref-type&gt;&lt;contributors&gt;&lt;authors&gt;&lt;author&gt;Leissring, M. A.&lt;/author&gt;&lt;author&gt;Lu, A.&lt;/author&gt;&lt;author&gt;Condron, M. M.&lt;/author&gt;&lt;author&gt;Teplow, D. B.&lt;/author&gt;&lt;author&gt;Stein, R. L.&lt;/author&gt;&lt;author&gt;Farris, W.&lt;/author&gt;&lt;author&gt;Selkoe, D. J.&lt;/author&gt;&lt;/authors&gt;&lt;/contributors&gt;&lt;auth-address&gt;Center for Neurologic Diseases, Harvard Medical School and Brigham and Women&amp;apos;s Hospital, Boston, Massachusetts 02115, USA.&lt;/auth-address&gt;&lt;titles&gt;&lt;title&gt;Kinetics of amyloid beta-protein degradation determined by novel fluorescence- and fluorescence polarization-based assays&lt;/title&gt;&lt;secondary-title&gt;J Biol Chem&lt;/secondary-title&gt;&lt;alt-title&gt;The Journal of biological chemistry&lt;/alt-title&gt;&lt;/titles&gt;&lt;periodical&gt;&lt;full-title&gt;J Biol Chem&lt;/full-title&gt;&lt;/periodical&gt;&lt;pages&gt;37314-20&lt;/pages&gt;&lt;volume&gt;278&lt;/volume&gt;&lt;number&gt;39&lt;/number&gt;&lt;keywords&gt;&lt;keyword&gt;Amino Acid Sequence&lt;/keyword&gt;&lt;keyword&gt;Amyloid beta-Protein/chemistry/*metabolism&lt;/keyword&gt;&lt;keyword&gt;Fluorescence&lt;/keyword&gt;&lt;keyword&gt;Fluorescence Polarization&lt;/keyword&gt;&lt;keyword&gt;Insulysin/physiology&lt;/keyword&gt;&lt;keyword&gt;Kinetics&lt;/keyword&gt;&lt;keyword&gt;Molecular Sequence Data&lt;/keyword&gt;&lt;keyword&gt;Neprilysin/physiology&lt;/keyword&gt;&lt;keyword&gt;Plasmin/physiology&lt;/keyword&gt;&lt;/keywords&gt;&lt;dates&gt;&lt;year&gt;2003&lt;/year&gt;&lt;pub-dates&gt;&lt;date&gt;Sep 26&lt;/date&gt;&lt;/pub-dates&gt;&lt;/dates&gt;&lt;isbn&gt;0021-9258 (Print)&amp;#xD;0021-9258 (Linking)&lt;/isbn&gt;&lt;accession-num&gt;12867419&lt;/accession-num&gt;&lt;urls&gt;&lt;related-urls&gt;&lt;url&gt;http://www.ncbi.nlm.nih.gov/entrez/query.fcgi?cmd=Retrieve&amp;amp;db=PubMed&amp;amp;dopt=Citation&amp;amp;list_uids=12867419 &lt;/url&gt;&lt;/related-urls&gt;&lt;/urls&gt;&lt;electronic-resource-num&gt;10.1074/jbc.M305627200&lt;/electronic-resource-num&gt;&lt;/record&gt;&lt;/Cite&gt;&lt;/EndNote&gt;</w:instrText>
      </w:r>
      <w:r>
        <w:rPr>
          <w:b w:val="0"/>
          <w:sz w:val="24"/>
          <w:szCs w:val="24"/>
        </w:rPr>
        <w:fldChar w:fldCharType="separate"/>
      </w:r>
      <w:r w:rsidR="00496991">
        <w:rPr>
          <w:b w:val="0"/>
          <w:noProof/>
          <w:sz w:val="24"/>
          <w:szCs w:val="24"/>
        </w:rPr>
        <w:t>[8]</w:t>
      </w:r>
      <w:r>
        <w:rPr>
          <w:b w:val="0"/>
          <w:sz w:val="24"/>
          <w:szCs w:val="24"/>
        </w:rPr>
        <w:fldChar w:fldCharType="end"/>
      </w:r>
      <w:r w:rsidRPr="00791AFE">
        <w:rPr>
          <w:b w:val="0"/>
          <w:sz w:val="24"/>
          <w:szCs w:val="24"/>
        </w:rPr>
        <w:t xml:space="preserve">.  Kinetic parameters </w:t>
      </w:r>
      <w:r w:rsidRPr="00791AFE">
        <w:rPr>
          <w:b w:val="0"/>
          <w:sz w:val="24"/>
          <w:szCs w:val="24"/>
        </w:rPr>
        <w:lastRenderedPageBreak/>
        <w:t xml:space="preserve">obtained from “silent substrate” experiments with the fluorogenic substrate were carried out and calculated from the resulting data as described </w:t>
      </w:r>
      <w:r>
        <w:rPr>
          <w:b w:val="0"/>
          <w:sz w:val="24"/>
          <w:szCs w:val="24"/>
        </w:rPr>
        <w:fldChar w:fldCharType="begin"/>
      </w:r>
      <w:r w:rsidR="00496991">
        <w:rPr>
          <w:b w:val="0"/>
          <w:sz w:val="24"/>
          <w:szCs w:val="24"/>
        </w:rPr>
        <w:instrText xml:space="preserve"> ADDIN EN.CITE &lt;EndNote&gt;&lt;Cite&gt;&lt;Author&gt;Case&lt;/Author&gt;&lt;Year&gt;2003&lt;/Year&gt;&lt;RecNum&gt;2661&lt;/RecNum&gt;&lt;DisplayText&gt;[9]&lt;/DisplayText&gt;&lt;record&gt;&lt;rec-number&gt;2661&lt;/rec-number&gt;&lt;foreign-keys&gt;&lt;key app="EN" db-id="ps20twr96vwpt7efdsp50wrep9900td0esvr" timestamp="0"&gt;2661&lt;/key&gt;&lt;/foreign-keys&gt;&lt;ref-type name="Journal Article"&gt;17&lt;/ref-type&gt;&lt;contributors&gt;&lt;authors&gt;&lt;author&gt;Case, A.&lt;/author&gt;&lt;author&gt;Huskey, W. P.&lt;/author&gt;&lt;author&gt;Stein, R. L.&lt;/author&gt;&lt;/authors&gt;&lt;/contributors&gt;&lt;auth-address&gt;Laboratory for Drug Discovery in Neurodegeneration, Harvard Center for Neurodegeneration and Repair, 65 Landsdowne Street, Fourth Floor, Cambridge, Massachusetts 02139, USA.&lt;/auth-address&gt;&lt;titles&gt;&lt;title&gt;Enzymatic reaction of silent substrates: kinetic theory and application to the serine protease chymotrypsin&lt;/title&gt;&lt;secondary-title&gt;Biochemistry&lt;/secondary-title&gt;&lt;/titles&gt;&lt;periodical&gt;&lt;full-title&gt;Biochemistry&lt;/full-title&gt;&lt;/periodical&gt;&lt;pages&gt;4727-32&lt;/pages&gt;&lt;volume&gt;42&lt;/volume&gt;&lt;number&gt;16&lt;/number&gt;&lt;keywords&gt;&lt;keyword&gt;Chromatography, High Pressure Liquid&lt;/keyword&gt;&lt;keyword&gt;Chymotrypsin/*metabolism&lt;/keyword&gt;&lt;keyword&gt;Hydrolysis&lt;/keyword&gt;&lt;keyword&gt;Kinetics&lt;/keyword&gt;&lt;keyword&gt;*Models, Chemical&lt;/keyword&gt;&lt;keyword&gt;Oligopeptides/chemistry/metabolism&lt;/keyword&gt;&lt;keyword&gt;Substrate Specificity&lt;/keyword&gt;&lt;/keywords&gt;&lt;dates&gt;&lt;year&gt;2003&lt;/year&gt;&lt;pub-dates&gt;&lt;date&gt;Apr 29&lt;/date&gt;&lt;/pub-dates&gt;&lt;/dates&gt;&lt;accession-num&gt;12705836&lt;/accession-num&gt;&lt;urls&gt;&lt;related-urls&gt;&lt;url&gt;http://www.ncbi.nlm.nih.gov/entrez/query.fcgi?cmd=Retrieve&amp;amp;db=PubMed&amp;amp;dopt=Citation&amp;amp;list_uids=12705836 &lt;/url&gt;&lt;/related-urls&gt;&lt;/urls&gt;&lt;/record&gt;&lt;/Cite&gt;&lt;/EndNote&gt;</w:instrText>
      </w:r>
      <w:r>
        <w:rPr>
          <w:b w:val="0"/>
          <w:sz w:val="24"/>
          <w:szCs w:val="24"/>
        </w:rPr>
        <w:fldChar w:fldCharType="separate"/>
      </w:r>
      <w:r w:rsidR="00496991">
        <w:rPr>
          <w:b w:val="0"/>
          <w:noProof/>
          <w:sz w:val="24"/>
          <w:szCs w:val="24"/>
        </w:rPr>
        <w:t>[9]</w:t>
      </w:r>
      <w:r>
        <w:rPr>
          <w:b w:val="0"/>
          <w:sz w:val="24"/>
          <w:szCs w:val="24"/>
        </w:rPr>
        <w:fldChar w:fldCharType="end"/>
      </w:r>
      <w:r w:rsidRPr="00791AFE">
        <w:rPr>
          <w:b w:val="0"/>
          <w:sz w:val="24"/>
          <w:szCs w:val="24"/>
        </w:rPr>
        <w:t xml:space="preserve">.  Homogeneous time-resolved fluorescence (HTRF)-based </w:t>
      </w:r>
      <w:r>
        <w:rPr>
          <w:b w:val="0"/>
          <w:sz w:val="24"/>
          <w:szCs w:val="24"/>
        </w:rPr>
        <w:t xml:space="preserve">kinetic </w:t>
      </w:r>
      <w:r w:rsidRPr="00791AFE">
        <w:rPr>
          <w:b w:val="0"/>
          <w:sz w:val="24"/>
          <w:szCs w:val="24"/>
        </w:rPr>
        <w:t xml:space="preserve">experiments </w:t>
      </w:r>
      <w:r>
        <w:rPr>
          <w:b w:val="0"/>
          <w:sz w:val="24"/>
          <w:szCs w:val="24"/>
        </w:rPr>
        <w:t>were carried out using end-specific anti-Aß42 and -Aß40 antibodies (Wako) labeled with europium cryptate and N-terminal antibodies labeled with XL665 prepared and quantified according to manufacturer’s recommendations on a</w:t>
      </w:r>
      <w:r w:rsidRPr="00791AFE">
        <w:rPr>
          <w:b w:val="0"/>
          <w:sz w:val="24"/>
          <w:szCs w:val="24"/>
        </w:rPr>
        <w:t xml:space="preserve"> SpectraMax</w:t>
      </w:r>
      <w:r w:rsidRPr="00791AFE">
        <w:rPr>
          <w:b w:val="0"/>
          <w:sz w:val="24"/>
          <w:szCs w:val="24"/>
          <w:vertAlign w:val="superscript"/>
        </w:rPr>
        <w:t>®</w:t>
      </w:r>
      <w:r w:rsidRPr="00791AFE">
        <w:rPr>
          <w:b w:val="0"/>
          <w:sz w:val="24"/>
          <w:szCs w:val="24"/>
        </w:rPr>
        <w:t xml:space="preserve"> M5</w:t>
      </w:r>
      <w:r w:rsidRPr="00791AFE">
        <w:rPr>
          <w:b w:val="0"/>
          <w:sz w:val="24"/>
          <w:szCs w:val="24"/>
          <w:vertAlign w:val="superscript"/>
        </w:rPr>
        <w:t>e</w:t>
      </w:r>
      <w:r w:rsidRPr="00791AFE">
        <w:rPr>
          <w:b w:val="0"/>
          <w:sz w:val="24"/>
          <w:szCs w:val="24"/>
        </w:rPr>
        <w:t xml:space="preserve"> multilabel plate reader (Molecular Devices).</w:t>
      </w:r>
      <w:r>
        <w:rPr>
          <w:b w:val="0"/>
          <w:sz w:val="24"/>
          <w:szCs w:val="24"/>
        </w:rPr>
        <w:t xml:space="preserve"> Fibrils, protofibrils and SDS-induced oligomers of Aß42 were prepared and quantified as described</w:t>
      </w:r>
      <w:r w:rsidRPr="00DC4F5C">
        <w:t xml:space="preserve"> </w:t>
      </w:r>
      <w:r>
        <w:rPr>
          <w:b w:val="0"/>
          <w:sz w:val="24"/>
          <w:szCs w:val="24"/>
        </w:rPr>
        <w:fldChar w:fldCharType="begin"/>
      </w:r>
      <w:r w:rsidR="00496991">
        <w:rPr>
          <w:b w:val="0"/>
          <w:sz w:val="24"/>
          <w:szCs w:val="24"/>
        </w:rPr>
        <w:instrText xml:space="preserve"> ADDIN EN.CITE &lt;EndNote&gt;&lt;Cite&gt;&lt;Author&gt;Rangachari&lt;/Author&gt;&lt;Year&gt;2007&lt;/Year&gt;&lt;RecNum&gt;2637&lt;/RecNum&gt;&lt;DisplayText&gt;[10]&lt;/DisplayText&gt;&lt;record&gt;&lt;rec-number&gt;2637&lt;/rec-number&gt;&lt;foreign-keys&gt;&lt;key app="EN" db-id="ps20twr96vwpt7efdsp50wrep9900td0esvr" timestamp="0"&gt;2637&lt;/key&gt;&lt;/foreign-keys&gt;&lt;ref-type name="Journal Article"&gt;17&lt;/ref-type&gt;&lt;contributors&gt;&lt;authors&gt;&lt;author&gt;Rangachari, V.&lt;/author&gt;&lt;author&gt;Moore, B. D.&lt;/author&gt;&lt;author&gt;Reed, D. K.&lt;/author&gt;&lt;author&gt;Sonoda, L. K.&lt;/author&gt;&lt;author&gt;Bridges, A. W.&lt;/author&gt;&lt;author&gt;Conboy, E.&lt;/author&gt;&lt;author&gt;Hartigan, D.&lt;/author&gt;&lt;author&gt;Rosenberry, T. L.&lt;/author&gt;&lt;/authors&gt;&lt;/contributors&gt;&lt;auth-address&gt;Department of Neuroscience, Mayo Clinic College of Medicine, 4500 San Pablo Road, Jacksonville, Florida 32224, USA.&lt;/auth-address&gt;&lt;titles&gt;&lt;title&gt;Amyloid-beta(1-42) rapidly forms protofibrils and oligomers by distinct pathways in low concentrations of sodium dodecylsulfate&lt;/title&gt;&lt;secondary-title&gt;Biochemistry&lt;/secondary-title&gt;&lt;/titles&gt;&lt;periodical&gt;&lt;full-title&gt;Biochemistry&lt;/full-title&gt;&lt;/periodical&gt;&lt;pages&gt;12451-62&lt;/pages&gt;&lt;volume&gt;46&lt;/volume&gt;&lt;number&gt;43&lt;/number&gt;&lt;keywords&gt;&lt;keyword&gt;Amyloid beta-Protein/*chemistry&lt;/keyword&gt;&lt;keyword&gt;Biopolymers/*chemistry&lt;/keyword&gt;&lt;keyword&gt;Chromatography, Gel&lt;/keyword&gt;&lt;keyword&gt;Electrophoresis, Polyacrylamide Gel&lt;/keyword&gt;&lt;keyword&gt;Enzyme-Linked Immunosorbent Assay&lt;/keyword&gt;&lt;keyword&gt;Humans&lt;/keyword&gt;&lt;keyword&gt;Microscopy, Electron&lt;/keyword&gt;&lt;keyword&gt;Peptide Fragments/*chemistry&lt;/keyword&gt;&lt;keyword&gt;Sodium Dodecyl Sulfate/*chemistry&lt;/keyword&gt;&lt;/keywords&gt;&lt;dates&gt;&lt;year&gt;2007&lt;/year&gt;&lt;pub-dates&gt;&lt;date&gt;Oct 30&lt;/date&gt;&lt;/pub-dates&gt;&lt;/dates&gt;&lt;accession-num&gt;17910477&lt;/accession-num&gt;&lt;urls&gt;&lt;related-urls&gt;&lt;url&gt;http://www.ncbi.nlm.nih.gov/entrez/query.fcgi?cmd=Retrieve&amp;amp;db=PubMed&amp;amp;dopt=Citation&amp;amp;list_uids=17910477 &lt;/url&gt;&lt;/related-urls&gt;&lt;/urls&gt;&lt;/record&gt;&lt;/Cite&gt;&lt;/EndNote&gt;</w:instrText>
      </w:r>
      <w:r>
        <w:rPr>
          <w:b w:val="0"/>
          <w:sz w:val="24"/>
          <w:szCs w:val="24"/>
        </w:rPr>
        <w:fldChar w:fldCharType="separate"/>
      </w:r>
      <w:r w:rsidR="00496991">
        <w:rPr>
          <w:b w:val="0"/>
          <w:noProof/>
          <w:sz w:val="24"/>
          <w:szCs w:val="24"/>
        </w:rPr>
        <w:t>[10]</w:t>
      </w:r>
      <w:r>
        <w:rPr>
          <w:b w:val="0"/>
          <w:sz w:val="24"/>
          <w:szCs w:val="24"/>
        </w:rPr>
        <w:fldChar w:fldCharType="end"/>
      </w:r>
      <w:r>
        <w:rPr>
          <w:b w:val="0"/>
          <w:sz w:val="24"/>
          <w:szCs w:val="24"/>
        </w:rPr>
        <w:t>.</w:t>
      </w:r>
    </w:p>
    <w:p w:rsidR="005A39D6" w:rsidRDefault="005A39D6" w:rsidP="005A39D6"/>
    <w:p w:rsidR="005A39D6" w:rsidRPr="000F79DF" w:rsidRDefault="005A39D6" w:rsidP="005A39D6">
      <w:pPr>
        <w:spacing w:line="360" w:lineRule="auto"/>
        <w:rPr>
          <w:rFonts w:ascii="Arial" w:hAnsi="Arial" w:cs="Arial"/>
        </w:rPr>
      </w:pPr>
    </w:p>
    <w:p w:rsidR="005A39D6" w:rsidRDefault="005A39D6" w:rsidP="005A39D6">
      <w:pPr>
        <w:rPr>
          <w:rFonts w:ascii="Arial" w:hAnsi="Arial" w:cs="Arial"/>
          <w:b/>
          <w:sz w:val="32"/>
        </w:rPr>
      </w:pPr>
      <w:r w:rsidRPr="00156C44">
        <w:rPr>
          <w:rFonts w:ascii="Arial" w:hAnsi="Arial" w:cs="Arial"/>
        </w:rPr>
        <w:br w:type="page"/>
      </w:r>
      <w:r w:rsidRPr="000F79DF">
        <w:rPr>
          <w:rFonts w:ascii="Arial" w:hAnsi="Arial" w:cs="Arial"/>
          <w:b/>
          <w:sz w:val="32"/>
        </w:rPr>
        <w:lastRenderedPageBreak/>
        <w:t>Supplemental References</w:t>
      </w:r>
      <w:r>
        <w:rPr>
          <w:rFonts w:ascii="Arial" w:hAnsi="Arial" w:cs="Arial"/>
          <w:b/>
          <w:sz w:val="32"/>
        </w:rPr>
        <w:t xml:space="preserve"> </w:t>
      </w:r>
    </w:p>
    <w:p w:rsidR="005A39D6" w:rsidRDefault="005A39D6" w:rsidP="005A39D6">
      <w:pPr>
        <w:rPr>
          <w:rFonts w:ascii="Arial" w:hAnsi="Arial" w:cs="Arial"/>
        </w:rPr>
      </w:pPr>
    </w:p>
    <w:p w:rsidR="00496991" w:rsidRPr="00496991" w:rsidRDefault="005A39D6" w:rsidP="00496991">
      <w:pPr>
        <w:pStyle w:val="EndNoteBibliography"/>
        <w:spacing w:after="180"/>
        <w:ind w:left="547" w:hanging="547"/>
        <w:rPr>
          <w:rFonts w:ascii="Arial" w:hAnsi="Arial" w:cs="Arial"/>
          <w:noProof/>
        </w:rPr>
      </w:pPr>
      <w:r w:rsidRPr="00496991">
        <w:rPr>
          <w:rFonts w:ascii="Arial" w:hAnsi="Arial" w:cs="Arial"/>
          <w:b/>
        </w:rPr>
        <w:fldChar w:fldCharType="begin"/>
      </w:r>
      <w:r w:rsidRPr="00496991">
        <w:rPr>
          <w:rFonts w:ascii="Arial" w:hAnsi="Arial" w:cs="Arial"/>
          <w:b/>
        </w:rPr>
        <w:instrText xml:space="preserve"> ADDIN EN.REFLIST </w:instrText>
      </w:r>
      <w:r w:rsidRPr="00496991">
        <w:rPr>
          <w:rFonts w:ascii="Arial" w:hAnsi="Arial" w:cs="Arial"/>
          <w:b/>
        </w:rPr>
        <w:fldChar w:fldCharType="separate"/>
      </w:r>
      <w:r w:rsidR="00496991" w:rsidRPr="00496991">
        <w:rPr>
          <w:rFonts w:ascii="Arial" w:hAnsi="Arial" w:cs="Arial"/>
          <w:noProof/>
        </w:rPr>
        <w:t>1.</w:t>
      </w:r>
      <w:r w:rsidR="00496991" w:rsidRPr="00496991">
        <w:rPr>
          <w:rFonts w:ascii="Arial" w:hAnsi="Arial" w:cs="Arial"/>
          <w:noProof/>
        </w:rPr>
        <w:tab/>
        <w:t>Bertram L, McQueen MB, Mullin K, Blacker D, Tanzi RE. Systematic meta-analyses of Alzheimer disease genetic association studies: the AlzGene database. Nat Genet. 2007;39(1):17-23.</w:t>
      </w:r>
    </w:p>
    <w:p w:rsidR="00496991" w:rsidRPr="00496991" w:rsidRDefault="00496991" w:rsidP="00496991">
      <w:pPr>
        <w:pStyle w:val="EndNoteBibliography"/>
        <w:spacing w:after="180"/>
        <w:ind w:left="547" w:hanging="547"/>
        <w:rPr>
          <w:rFonts w:ascii="Arial" w:hAnsi="Arial" w:cs="Arial"/>
          <w:noProof/>
        </w:rPr>
      </w:pPr>
      <w:r w:rsidRPr="00496991">
        <w:rPr>
          <w:rFonts w:ascii="Arial" w:hAnsi="Arial" w:cs="Arial"/>
          <w:noProof/>
        </w:rPr>
        <w:t>2.</w:t>
      </w:r>
      <w:r w:rsidRPr="00496991">
        <w:rPr>
          <w:rFonts w:ascii="Arial" w:hAnsi="Arial" w:cs="Arial"/>
          <w:noProof/>
        </w:rPr>
        <w:tab/>
        <w:t>Leissring MA, Farris W, Chang AY, Walsh DM, Wu X, Sun X, et al. Enhanced proteolysis of beta-amyloid in APP transgenic mice prevents plaque formation, secondary pathology, and premature death. Neuron. 2003;40(6):1087-93.</w:t>
      </w:r>
    </w:p>
    <w:p w:rsidR="00496991" w:rsidRPr="00496991" w:rsidRDefault="00496991" w:rsidP="00496991">
      <w:pPr>
        <w:pStyle w:val="EndNoteBibliography"/>
        <w:spacing w:after="180"/>
        <w:ind w:left="547" w:hanging="547"/>
        <w:rPr>
          <w:rFonts w:ascii="Arial" w:hAnsi="Arial" w:cs="Arial"/>
          <w:noProof/>
        </w:rPr>
      </w:pPr>
      <w:r w:rsidRPr="00496991">
        <w:rPr>
          <w:rFonts w:ascii="Arial" w:hAnsi="Arial" w:cs="Arial"/>
          <w:noProof/>
        </w:rPr>
        <w:t>3.</w:t>
      </w:r>
      <w:r w:rsidRPr="00496991">
        <w:rPr>
          <w:rFonts w:ascii="Arial" w:hAnsi="Arial" w:cs="Arial"/>
          <w:noProof/>
        </w:rPr>
        <w:tab/>
        <w:t>Vekrellis K, Ye Z, Qiu WQ, Walsh D, Hartley D, Chesneau V, et al. Neurons regulate extracellular levels of amyloid beta-protein via proteolysis by insulin-degrading enzyme. J Neurosci. 2000;20(5):1657-65.</w:t>
      </w:r>
    </w:p>
    <w:p w:rsidR="00496991" w:rsidRPr="00496991" w:rsidRDefault="00496991" w:rsidP="00496991">
      <w:pPr>
        <w:pStyle w:val="EndNoteBibliography"/>
        <w:spacing w:after="180"/>
        <w:ind w:left="547" w:hanging="547"/>
        <w:rPr>
          <w:rFonts w:ascii="Arial" w:hAnsi="Arial" w:cs="Arial"/>
          <w:noProof/>
        </w:rPr>
      </w:pPr>
      <w:r w:rsidRPr="00496991">
        <w:rPr>
          <w:rFonts w:ascii="Arial" w:hAnsi="Arial" w:cs="Arial"/>
          <w:noProof/>
        </w:rPr>
        <w:t>4.</w:t>
      </w:r>
      <w:r w:rsidRPr="00496991">
        <w:rPr>
          <w:rFonts w:ascii="Arial" w:hAnsi="Arial" w:cs="Arial"/>
          <w:noProof/>
        </w:rPr>
        <w:tab/>
        <w:t>Dickson DW, Bergeron C, Chin SS, Duyckaerts C, Horoupian D, Ikeda K, et al. Office of Rare Diseases neuropathologic criteria for corticobasal degeneration. J Neuropathol Exp Neurol. 2002;61(11):935-46.</w:t>
      </w:r>
    </w:p>
    <w:p w:rsidR="00496991" w:rsidRPr="00496991" w:rsidRDefault="00496991" w:rsidP="00496991">
      <w:pPr>
        <w:pStyle w:val="EndNoteBibliography"/>
        <w:spacing w:after="180"/>
        <w:ind w:left="547" w:hanging="547"/>
        <w:rPr>
          <w:rFonts w:ascii="Arial" w:hAnsi="Arial" w:cs="Arial"/>
          <w:noProof/>
        </w:rPr>
      </w:pPr>
      <w:r w:rsidRPr="00496991">
        <w:rPr>
          <w:rFonts w:ascii="Arial" w:hAnsi="Arial" w:cs="Arial"/>
          <w:noProof/>
        </w:rPr>
        <w:t>5.</w:t>
      </w:r>
      <w:r w:rsidRPr="00496991">
        <w:rPr>
          <w:rFonts w:ascii="Arial" w:hAnsi="Arial" w:cs="Arial"/>
          <w:noProof/>
        </w:rPr>
        <w:tab/>
        <w:t>Farris W, Mansourian S, Leissring MA, Eckman EA, Bertram L, Eckman CB, et al. Partial loss-of-function mutations in insulin-degrading enzyme that induce diabetes also impair degradation of amyloid beta-protein. Am J Pathol. 2004;164(4):1425-34.</w:t>
      </w:r>
    </w:p>
    <w:p w:rsidR="00496991" w:rsidRPr="00496991" w:rsidRDefault="00496991" w:rsidP="00496991">
      <w:pPr>
        <w:pStyle w:val="EndNoteBibliography"/>
        <w:spacing w:after="180"/>
        <w:ind w:left="547" w:hanging="547"/>
        <w:rPr>
          <w:rFonts w:ascii="Arial" w:hAnsi="Arial" w:cs="Arial"/>
          <w:noProof/>
        </w:rPr>
      </w:pPr>
      <w:r w:rsidRPr="00496991">
        <w:rPr>
          <w:rFonts w:ascii="Arial" w:hAnsi="Arial" w:cs="Arial"/>
          <w:noProof/>
        </w:rPr>
        <w:t>6.</w:t>
      </w:r>
      <w:r w:rsidRPr="00496991">
        <w:rPr>
          <w:rFonts w:ascii="Arial" w:hAnsi="Arial" w:cs="Arial"/>
          <w:noProof/>
        </w:rPr>
        <w:tab/>
        <w:t>Abdul-Hay SO, Sahara T, McBride M, Kang D, Leissring MA. Identification of BACE2 as an avid ß-amyloid-degrading protease. Mol Neurodegener. 2012;7(1):46.</w:t>
      </w:r>
    </w:p>
    <w:p w:rsidR="00496991" w:rsidRPr="00496991" w:rsidRDefault="00496991" w:rsidP="00496991">
      <w:pPr>
        <w:pStyle w:val="EndNoteBibliography"/>
        <w:spacing w:after="180"/>
        <w:ind w:left="547" w:hanging="547"/>
        <w:rPr>
          <w:rFonts w:ascii="Arial" w:hAnsi="Arial" w:cs="Arial"/>
          <w:noProof/>
        </w:rPr>
      </w:pPr>
      <w:r w:rsidRPr="00496991">
        <w:rPr>
          <w:rFonts w:ascii="Arial" w:hAnsi="Arial" w:cs="Arial"/>
          <w:noProof/>
        </w:rPr>
        <w:t>7.</w:t>
      </w:r>
      <w:r w:rsidRPr="00496991">
        <w:rPr>
          <w:rFonts w:ascii="Arial" w:hAnsi="Arial" w:cs="Arial"/>
          <w:noProof/>
        </w:rPr>
        <w:tab/>
        <w:t>LaRue B, Hogg E, Sagare A, Jovanovic S, Maness L, Maurer C, et al. Method for measurement of the blood-brain barrier permeability in the perfused mouse brain: application to amyloid-beta peptide in wild type and Alzheimer's Tg2576 mice. J Neurosci Methods. 2004;138(1-2):233-42.</w:t>
      </w:r>
    </w:p>
    <w:p w:rsidR="00496991" w:rsidRPr="00496991" w:rsidRDefault="00496991" w:rsidP="00496991">
      <w:pPr>
        <w:pStyle w:val="EndNoteBibliography"/>
        <w:spacing w:after="180"/>
        <w:ind w:left="547" w:hanging="547"/>
        <w:rPr>
          <w:rFonts w:ascii="Arial" w:hAnsi="Arial" w:cs="Arial"/>
          <w:noProof/>
        </w:rPr>
      </w:pPr>
      <w:r w:rsidRPr="00496991">
        <w:rPr>
          <w:rFonts w:ascii="Arial" w:hAnsi="Arial" w:cs="Arial"/>
          <w:noProof/>
        </w:rPr>
        <w:t>8.</w:t>
      </w:r>
      <w:r w:rsidRPr="00496991">
        <w:rPr>
          <w:rFonts w:ascii="Arial" w:hAnsi="Arial" w:cs="Arial"/>
          <w:noProof/>
        </w:rPr>
        <w:tab/>
        <w:t>Leissring MA, Lu A, Condron MM, Teplow DB, Stein RL, Farris W, et al. Kinetics of amyloid beta-protein degradation determined by novel fluorescence- and fluorescence polarization-based assays. J Biol Chem. 2003;278(39):37314-20.</w:t>
      </w:r>
    </w:p>
    <w:p w:rsidR="00496991" w:rsidRPr="00496991" w:rsidRDefault="00496991" w:rsidP="00496991">
      <w:pPr>
        <w:pStyle w:val="EndNoteBibliography"/>
        <w:spacing w:after="180"/>
        <w:ind w:left="547" w:hanging="547"/>
        <w:rPr>
          <w:rFonts w:ascii="Arial" w:hAnsi="Arial" w:cs="Arial"/>
          <w:noProof/>
        </w:rPr>
      </w:pPr>
      <w:r w:rsidRPr="00496991">
        <w:rPr>
          <w:rFonts w:ascii="Arial" w:hAnsi="Arial" w:cs="Arial"/>
          <w:noProof/>
        </w:rPr>
        <w:t>9.</w:t>
      </w:r>
      <w:r w:rsidRPr="00496991">
        <w:rPr>
          <w:rFonts w:ascii="Arial" w:hAnsi="Arial" w:cs="Arial"/>
          <w:noProof/>
        </w:rPr>
        <w:tab/>
        <w:t>Case A, Huskey WP, Stein RL. Enzymatic reaction of silent substrates: kinetic theory and application to the serine protease chymotrypsin. Biochemistry. 2003;42(16):4727-32.</w:t>
      </w:r>
    </w:p>
    <w:p w:rsidR="00496991" w:rsidRPr="00496991" w:rsidRDefault="00496991" w:rsidP="00496991">
      <w:pPr>
        <w:pStyle w:val="EndNoteBibliography"/>
        <w:spacing w:after="180"/>
        <w:ind w:left="547" w:hanging="547"/>
        <w:rPr>
          <w:rFonts w:ascii="Arial" w:hAnsi="Arial" w:cs="Arial"/>
          <w:noProof/>
        </w:rPr>
      </w:pPr>
      <w:r w:rsidRPr="00496991">
        <w:rPr>
          <w:rFonts w:ascii="Arial" w:hAnsi="Arial" w:cs="Arial"/>
          <w:noProof/>
        </w:rPr>
        <w:t>10.</w:t>
      </w:r>
      <w:r w:rsidRPr="00496991">
        <w:rPr>
          <w:rFonts w:ascii="Arial" w:hAnsi="Arial" w:cs="Arial"/>
          <w:noProof/>
        </w:rPr>
        <w:tab/>
        <w:t>Rangachari V, Moore BD, Reed DK, Sonoda LK, Bridges AW, Conboy E, et al. Amyloid-beta(1-42) rapidly forms protofibrils and oligomers by distinct pathways in low concentrations of sodium dodecylsulfate. Biochemistry. 2007;46(43):12451-62.</w:t>
      </w:r>
    </w:p>
    <w:p w:rsidR="005A39D6" w:rsidRPr="00631827" w:rsidRDefault="005A39D6" w:rsidP="00496991">
      <w:pPr>
        <w:pStyle w:val="Methods"/>
        <w:spacing w:before="0" w:after="180" w:line="240" w:lineRule="auto"/>
        <w:ind w:left="547" w:hanging="547"/>
        <w:rPr>
          <w:b/>
        </w:rPr>
      </w:pPr>
      <w:r w:rsidRPr="00496991">
        <w:rPr>
          <w:rFonts w:cs="Arial"/>
          <w:b/>
        </w:rPr>
        <w:fldChar w:fldCharType="end"/>
      </w:r>
    </w:p>
    <w:p w:rsidR="005A39D6" w:rsidRDefault="005A39D6" w:rsidP="005A39D6">
      <w:pPr>
        <w:rPr>
          <w:rFonts w:ascii="Arial" w:hAnsi="Arial"/>
          <w:b/>
        </w:rPr>
      </w:pPr>
    </w:p>
    <w:p w:rsidR="000813B5" w:rsidRDefault="000813B5" w:rsidP="00100A6B">
      <w:pPr>
        <w:rPr>
          <w:rFonts w:ascii="Arial" w:hAnsi="Arial"/>
          <w:b/>
        </w:rPr>
      </w:pPr>
    </w:p>
    <w:sectPr w:rsidR="000813B5" w:rsidSect="00C140A2">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4A5A" w:rsidRDefault="00754A5A">
      <w:r>
        <w:separator/>
      </w:r>
    </w:p>
  </w:endnote>
  <w:endnote w:type="continuationSeparator" w:id="0">
    <w:p w:rsidR="00754A5A" w:rsidRDefault="00754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6353" w:rsidRPr="00B118E3" w:rsidRDefault="00E26353" w:rsidP="00C140A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4A5A" w:rsidRDefault="00754A5A">
      <w:r>
        <w:separator/>
      </w:r>
    </w:p>
  </w:footnote>
  <w:footnote w:type="continuationSeparator" w:id="0">
    <w:p w:rsidR="00754A5A" w:rsidRDefault="00754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A1EFD"/>
    <w:multiLevelType w:val="hybridMultilevel"/>
    <w:tmpl w:val="157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20twr96vwpt7efdsp50wrep9900td0esvr&quot;&gt;ALL-EndNote Copy June 27 2011&lt;record-ids&gt;&lt;item&gt;541&lt;/item&gt;&lt;item&gt;615&lt;/item&gt;&lt;item&gt;1330&lt;/item&gt;&lt;item&gt;1461&lt;/item&gt;&lt;item&gt;2540&lt;/item&gt;&lt;item&gt;2637&lt;/item&gt;&lt;item&gt;2659&lt;/item&gt;&lt;item&gt;2661&lt;/item&gt;&lt;item&gt;3822&lt;/item&gt;&lt;item&gt;4359&lt;/item&gt;&lt;/record-ids&gt;&lt;/item&gt;&lt;/Libraries&gt;"/>
  </w:docVars>
  <w:rsids>
    <w:rsidRoot w:val="008E6D70"/>
    <w:rsid w:val="000039DD"/>
    <w:rsid w:val="0000489C"/>
    <w:rsid w:val="00014EDF"/>
    <w:rsid w:val="00021643"/>
    <w:rsid w:val="000601EA"/>
    <w:rsid w:val="000714FB"/>
    <w:rsid w:val="00077D17"/>
    <w:rsid w:val="000813B5"/>
    <w:rsid w:val="0009638F"/>
    <w:rsid w:val="000A747F"/>
    <w:rsid w:val="000C7578"/>
    <w:rsid w:val="000D1138"/>
    <w:rsid w:val="000D2645"/>
    <w:rsid w:val="000D661A"/>
    <w:rsid w:val="00100A6B"/>
    <w:rsid w:val="00133F88"/>
    <w:rsid w:val="00137CD3"/>
    <w:rsid w:val="00147D3C"/>
    <w:rsid w:val="00150A16"/>
    <w:rsid w:val="00184316"/>
    <w:rsid w:val="00196A7B"/>
    <w:rsid w:val="001A6562"/>
    <w:rsid w:val="001C6664"/>
    <w:rsid w:val="001D16F1"/>
    <w:rsid w:val="001E6E27"/>
    <w:rsid w:val="00202AD6"/>
    <w:rsid w:val="00216247"/>
    <w:rsid w:val="00221396"/>
    <w:rsid w:val="00223FD1"/>
    <w:rsid w:val="00224E13"/>
    <w:rsid w:val="00234C66"/>
    <w:rsid w:val="002449C7"/>
    <w:rsid w:val="00250BE9"/>
    <w:rsid w:val="002533C2"/>
    <w:rsid w:val="00253E73"/>
    <w:rsid w:val="00257013"/>
    <w:rsid w:val="00267A7D"/>
    <w:rsid w:val="0028191B"/>
    <w:rsid w:val="00284108"/>
    <w:rsid w:val="002931A5"/>
    <w:rsid w:val="002B603A"/>
    <w:rsid w:val="002D3DD1"/>
    <w:rsid w:val="002F03F2"/>
    <w:rsid w:val="002F04FC"/>
    <w:rsid w:val="002F3D9A"/>
    <w:rsid w:val="003016F7"/>
    <w:rsid w:val="00303B22"/>
    <w:rsid w:val="003368D0"/>
    <w:rsid w:val="0035158D"/>
    <w:rsid w:val="0036260C"/>
    <w:rsid w:val="00384C5A"/>
    <w:rsid w:val="003A5829"/>
    <w:rsid w:val="003B3DB1"/>
    <w:rsid w:val="003B4081"/>
    <w:rsid w:val="003E2C52"/>
    <w:rsid w:val="003F6FF4"/>
    <w:rsid w:val="0040320C"/>
    <w:rsid w:val="00404F07"/>
    <w:rsid w:val="00441B9F"/>
    <w:rsid w:val="00446BC3"/>
    <w:rsid w:val="00450F58"/>
    <w:rsid w:val="00456B18"/>
    <w:rsid w:val="0046658F"/>
    <w:rsid w:val="004768A6"/>
    <w:rsid w:val="00496991"/>
    <w:rsid w:val="004B0136"/>
    <w:rsid w:val="004B5E6F"/>
    <w:rsid w:val="004D0FC3"/>
    <w:rsid w:val="004E0CA9"/>
    <w:rsid w:val="004E50A1"/>
    <w:rsid w:val="00511012"/>
    <w:rsid w:val="00512641"/>
    <w:rsid w:val="0052403A"/>
    <w:rsid w:val="0052635E"/>
    <w:rsid w:val="00536B5A"/>
    <w:rsid w:val="00547F6C"/>
    <w:rsid w:val="00565746"/>
    <w:rsid w:val="00576E8F"/>
    <w:rsid w:val="00585685"/>
    <w:rsid w:val="00587051"/>
    <w:rsid w:val="005A39D6"/>
    <w:rsid w:val="005A505A"/>
    <w:rsid w:val="005B598C"/>
    <w:rsid w:val="005C2C1D"/>
    <w:rsid w:val="005C2DF8"/>
    <w:rsid w:val="005F4FE2"/>
    <w:rsid w:val="00613738"/>
    <w:rsid w:val="00615CAD"/>
    <w:rsid w:val="006201E1"/>
    <w:rsid w:val="00621C5B"/>
    <w:rsid w:val="00637A3B"/>
    <w:rsid w:val="006416C4"/>
    <w:rsid w:val="00647DCB"/>
    <w:rsid w:val="00652279"/>
    <w:rsid w:val="006679C1"/>
    <w:rsid w:val="00672FC7"/>
    <w:rsid w:val="00674672"/>
    <w:rsid w:val="00674767"/>
    <w:rsid w:val="00692CF8"/>
    <w:rsid w:val="006977CC"/>
    <w:rsid w:val="006A382F"/>
    <w:rsid w:val="006C2B41"/>
    <w:rsid w:val="006C2CA7"/>
    <w:rsid w:val="006D056B"/>
    <w:rsid w:val="006D1DCE"/>
    <w:rsid w:val="006D39B3"/>
    <w:rsid w:val="0072403E"/>
    <w:rsid w:val="007507DA"/>
    <w:rsid w:val="007541C9"/>
    <w:rsid w:val="00754A5A"/>
    <w:rsid w:val="00776B0D"/>
    <w:rsid w:val="00786AAC"/>
    <w:rsid w:val="00791867"/>
    <w:rsid w:val="00795488"/>
    <w:rsid w:val="007A35B1"/>
    <w:rsid w:val="007B0245"/>
    <w:rsid w:val="007B4408"/>
    <w:rsid w:val="007F1893"/>
    <w:rsid w:val="00806FC3"/>
    <w:rsid w:val="00816C37"/>
    <w:rsid w:val="008327EC"/>
    <w:rsid w:val="008350F6"/>
    <w:rsid w:val="00836C7E"/>
    <w:rsid w:val="00857BD5"/>
    <w:rsid w:val="00873DF0"/>
    <w:rsid w:val="008877BA"/>
    <w:rsid w:val="008A0D44"/>
    <w:rsid w:val="008A4703"/>
    <w:rsid w:val="008C5E8A"/>
    <w:rsid w:val="008C6C56"/>
    <w:rsid w:val="008C7111"/>
    <w:rsid w:val="008D2CEE"/>
    <w:rsid w:val="008D2E94"/>
    <w:rsid w:val="008E417E"/>
    <w:rsid w:val="008E4584"/>
    <w:rsid w:val="008E51D5"/>
    <w:rsid w:val="008E6915"/>
    <w:rsid w:val="008E6D70"/>
    <w:rsid w:val="00900019"/>
    <w:rsid w:val="00930244"/>
    <w:rsid w:val="00934B4C"/>
    <w:rsid w:val="009621A9"/>
    <w:rsid w:val="00962BDD"/>
    <w:rsid w:val="0099269F"/>
    <w:rsid w:val="009A5079"/>
    <w:rsid w:val="009C12F3"/>
    <w:rsid w:val="009D077D"/>
    <w:rsid w:val="009E240A"/>
    <w:rsid w:val="009F2179"/>
    <w:rsid w:val="009F4BE3"/>
    <w:rsid w:val="009F7449"/>
    <w:rsid w:val="00A02717"/>
    <w:rsid w:val="00A14D09"/>
    <w:rsid w:val="00A304BD"/>
    <w:rsid w:val="00A46619"/>
    <w:rsid w:val="00A46DB1"/>
    <w:rsid w:val="00A549CF"/>
    <w:rsid w:val="00A570C4"/>
    <w:rsid w:val="00A82027"/>
    <w:rsid w:val="00A8517D"/>
    <w:rsid w:val="00AA1E59"/>
    <w:rsid w:val="00AA3E4D"/>
    <w:rsid w:val="00AA650A"/>
    <w:rsid w:val="00AD3F75"/>
    <w:rsid w:val="00AE0044"/>
    <w:rsid w:val="00AE7948"/>
    <w:rsid w:val="00B40B70"/>
    <w:rsid w:val="00B55A3C"/>
    <w:rsid w:val="00B715C8"/>
    <w:rsid w:val="00B71C04"/>
    <w:rsid w:val="00BA52FF"/>
    <w:rsid w:val="00BC1326"/>
    <w:rsid w:val="00BC17CD"/>
    <w:rsid w:val="00BD5ECF"/>
    <w:rsid w:val="00BF31CE"/>
    <w:rsid w:val="00BF6D7E"/>
    <w:rsid w:val="00BF7758"/>
    <w:rsid w:val="00C0098C"/>
    <w:rsid w:val="00C04870"/>
    <w:rsid w:val="00C140A2"/>
    <w:rsid w:val="00C31E87"/>
    <w:rsid w:val="00C33E02"/>
    <w:rsid w:val="00C4115E"/>
    <w:rsid w:val="00C41A1E"/>
    <w:rsid w:val="00C73C94"/>
    <w:rsid w:val="00C9470C"/>
    <w:rsid w:val="00CA2A1D"/>
    <w:rsid w:val="00CA3693"/>
    <w:rsid w:val="00CC0EB0"/>
    <w:rsid w:val="00CE1932"/>
    <w:rsid w:val="00CF216F"/>
    <w:rsid w:val="00CF7719"/>
    <w:rsid w:val="00CF79C7"/>
    <w:rsid w:val="00D1360A"/>
    <w:rsid w:val="00D14763"/>
    <w:rsid w:val="00D1643D"/>
    <w:rsid w:val="00D41677"/>
    <w:rsid w:val="00D560A2"/>
    <w:rsid w:val="00D67A40"/>
    <w:rsid w:val="00D72750"/>
    <w:rsid w:val="00D756DC"/>
    <w:rsid w:val="00D75D26"/>
    <w:rsid w:val="00D8587D"/>
    <w:rsid w:val="00D93E6E"/>
    <w:rsid w:val="00D94B9B"/>
    <w:rsid w:val="00DA0DCD"/>
    <w:rsid w:val="00DA614B"/>
    <w:rsid w:val="00DB470C"/>
    <w:rsid w:val="00DB4CD5"/>
    <w:rsid w:val="00DC7655"/>
    <w:rsid w:val="00DC7EB0"/>
    <w:rsid w:val="00DD1B95"/>
    <w:rsid w:val="00DF30C7"/>
    <w:rsid w:val="00DF342D"/>
    <w:rsid w:val="00E106A4"/>
    <w:rsid w:val="00E14F78"/>
    <w:rsid w:val="00E15DE9"/>
    <w:rsid w:val="00E23C00"/>
    <w:rsid w:val="00E26353"/>
    <w:rsid w:val="00E37AEC"/>
    <w:rsid w:val="00E414AB"/>
    <w:rsid w:val="00E460DB"/>
    <w:rsid w:val="00E52B5F"/>
    <w:rsid w:val="00E54DCD"/>
    <w:rsid w:val="00E6350E"/>
    <w:rsid w:val="00E92A0C"/>
    <w:rsid w:val="00E94315"/>
    <w:rsid w:val="00E97D78"/>
    <w:rsid w:val="00EB3255"/>
    <w:rsid w:val="00EB6086"/>
    <w:rsid w:val="00ED4B28"/>
    <w:rsid w:val="00ED6E9A"/>
    <w:rsid w:val="00EE1904"/>
    <w:rsid w:val="00EE2470"/>
    <w:rsid w:val="00EE7FD7"/>
    <w:rsid w:val="00EF36F6"/>
    <w:rsid w:val="00F06CDC"/>
    <w:rsid w:val="00F13EA0"/>
    <w:rsid w:val="00F1448B"/>
    <w:rsid w:val="00F22ABD"/>
    <w:rsid w:val="00F267AE"/>
    <w:rsid w:val="00F31BF9"/>
    <w:rsid w:val="00F445CD"/>
    <w:rsid w:val="00F530C2"/>
    <w:rsid w:val="00F56B24"/>
    <w:rsid w:val="00F6140C"/>
    <w:rsid w:val="00F624F7"/>
    <w:rsid w:val="00F62EC6"/>
    <w:rsid w:val="00F6390C"/>
    <w:rsid w:val="00F667BC"/>
    <w:rsid w:val="00F75FA2"/>
    <w:rsid w:val="00F82EBC"/>
    <w:rsid w:val="00F845E5"/>
    <w:rsid w:val="00F84D89"/>
    <w:rsid w:val="00F92544"/>
    <w:rsid w:val="00FA22B3"/>
    <w:rsid w:val="00FA3F5F"/>
    <w:rsid w:val="00FB55C8"/>
    <w:rsid w:val="00FD3863"/>
    <w:rsid w:val="00FD4A1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BE42694A-E392-B842-ABCC-8FF88428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rsid w:val="00872344"/>
    <w:pPr>
      <w:keepNext/>
      <w:spacing w:before="240" w:after="60"/>
      <w:outlineLvl w:val="0"/>
    </w:pPr>
    <w:rPr>
      <w:rFonts w:ascii="Arial" w:hAnsi="Arial"/>
      <w:b/>
      <w:kern w:val="32"/>
      <w:sz w:val="32"/>
      <w:szCs w:val="32"/>
    </w:rPr>
  </w:style>
  <w:style w:type="paragraph" w:styleId="Heading2">
    <w:name w:val="heading 2"/>
    <w:basedOn w:val="Normal"/>
    <w:next w:val="Normal"/>
    <w:qFormat/>
    <w:rsid w:val="00CE15CC"/>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CE15CC"/>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872344"/>
    <w:rPr>
      <w:b/>
    </w:rPr>
  </w:style>
  <w:style w:type="paragraph" w:styleId="BalloonText">
    <w:name w:val="Balloon Text"/>
    <w:basedOn w:val="Normal"/>
    <w:semiHidden/>
    <w:rsid w:val="006F202A"/>
    <w:rPr>
      <w:rFonts w:ascii="Tahoma" w:hAnsi="Tahoma" w:cs="Tahoma"/>
      <w:sz w:val="16"/>
      <w:szCs w:val="16"/>
    </w:rPr>
  </w:style>
  <w:style w:type="character" w:styleId="CommentReference">
    <w:name w:val="annotation reference"/>
    <w:semiHidden/>
    <w:rsid w:val="008B1D37"/>
    <w:rPr>
      <w:sz w:val="16"/>
      <w:szCs w:val="16"/>
    </w:rPr>
  </w:style>
  <w:style w:type="paragraph" w:styleId="CommentText">
    <w:name w:val="annotation text"/>
    <w:basedOn w:val="Normal"/>
    <w:semiHidden/>
    <w:rsid w:val="008B1D37"/>
    <w:rPr>
      <w:sz w:val="20"/>
      <w:szCs w:val="20"/>
    </w:rPr>
  </w:style>
  <w:style w:type="paragraph" w:styleId="CommentSubject">
    <w:name w:val="annotation subject"/>
    <w:basedOn w:val="CommentText"/>
    <w:next w:val="CommentText"/>
    <w:semiHidden/>
    <w:rsid w:val="008B1D37"/>
    <w:rPr>
      <w:b/>
      <w:bCs/>
    </w:rPr>
  </w:style>
  <w:style w:type="paragraph" w:customStyle="1" w:styleId="Methods">
    <w:name w:val="Methods"/>
    <w:basedOn w:val="Heading3"/>
    <w:rsid w:val="00081AD4"/>
    <w:pPr>
      <w:spacing w:line="360" w:lineRule="auto"/>
    </w:pPr>
    <w:rPr>
      <w:b w:val="0"/>
      <w:sz w:val="24"/>
    </w:rPr>
  </w:style>
  <w:style w:type="paragraph" w:styleId="Header">
    <w:name w:val="header"/>
    <w:basedOn w:val="Normal"/>
    <w:rsid w:val="00B118E3"/>
    <w:pPr>
      <w:tabs>
        <w:tab w:val="center" w:pos="4320"/>
        <w:tab w:val="right" w:pos="8640"/>
      </w:tabs>
    </w:pPr>
  </w:style>
  <w:style w:type="paragraph" w:styleId="Footer">
    <w:name w:val="footer"/>
    <w:basedOn w:val="Normal"/>
    <w:semiHidden/>
    <w:rsid w:val="00B118E3"/>
    <w:pPr>
      <w:tabs>
        <w:tab w:val="center" w:pos="4320"/>
        <w:tab w:val="right" w:pos="8640"/>
      </w:tabs>
    </w:pPr>
  </w:style>
  <w:style w:type="character" w:styleId="PageNumber">
    <w:name w:val="page number"/>
    <w:basedOn w:val="DefaultParagraphFont"/>
    <w:rsid w:val="00B118E3"/>
  </w:style>
  <w:style w:type="table" w:styleId="TableGrid">
    <w:name w:val="Table Grid"/>
    <w:basedOn w:val="TableNormal"/>
    <w:rsid w:val="00C20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100A6B"/>
    <w:rPr>
      <w:rFonts w:ascii="Arial" w:hAnsi="Arial"/>
      <w:b/>
      <w:sz w:val="26"/>
      <w:szCs w:val="26"/>
    </w:rPr>
  </w:style>
  <w:style w:type="paragraph" w:customStyle="1" w:styleId="EndNoteBibliographyTitle">
    <w:name w:val="EndNote Bibliography Title"/>
    <w:basedOn w:val="Normal"/>
    <w:link w:val="EndNoteBibliographyTitleChar"/>
    <w:rsid w:val="00D1643D"/>
    <w:pPr>
      <w:jc w:val="center"/>
    </w:pPr>
  </w:style>
  <w:style w:type="character" w:customStyle="1" w:styleId="EndNoteBibliographyTitleChar">
    <w:name w:val="EndNote Bibliography Title Char"/>
    <w:link w:val="EndNoteBibliographyTitle"/>
    <w:rsid w:val="00D1643D"/>
    <w:rPr>
      <w:sz w:val="24"/>
      <w:szCs w:val="24"/>
    </w:rPr>
  </w:style>
  <w:style w:type="paragraph" w:customStyle="1" w:styleId="EndNoteBibliography">
    <w:name w:val="EndNote Bibliography"/>
    <w:basedOn w:val="Normal"/>
    <w:link w:val="EndNoteBibliographyChar"/>
    <w:rsid w:val="00D1643D"/>
  </w:style>
  <w:style w:type="character" w:customStyle="1" w:styleId="EndNoteBibliographyChar">
    <w:name w:val="EndNote Bibliography Char"/>
    <w:link w:val="EndNoteBibliography"/>
    <w:rsid w:val="00D1643D"/>
    <w:rPr>
      <w:sz w:val="24"/>
      <w:szCs w:val="24"/>
    </w:rPr>
  </w:style>
  <w:style w:type="paragraph" w:styleId="ListParagraph">
    <w:name w:val="List Paragraph"/>
    <w:basedOn w:val="Normal"/>
    <w:uiPriority w:val="72"/>
    <w:qFormat/>
    <w:rsid w:val="00E23C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884916">
      <w:bodyDiv w:val="1"/>
      <w:marLeft w:val="0"/>
      <w:marRight w:val="0"/>
      <w:marTop w:val="0"/>
      <w:marBottom w:val="0"/>
      <w:divBdr>
        <w:top w:val="none" w:sz="0" w:space="0" w:color="auto"/>
        <w:left w:val="none" w:sz="0" w:space="0" w:color="auto"/>
        <w:bottom w:val="none" w:sz="0" w:space="0" w:color="auto"/>
        <w:right w:val="none" w:sz="0" w:space="0" w:color="auto"/>
      </w:divBdr>
      <w:divsChild>
        <w:div w:id="1179927320">
          <w:marLeft w:val="0"/>
          <w:marRight w:val="0"/>
          <w:marTop w:val="0"/>
          <w:marBottom w:val="0"/>
          <w:divBdr>
            <w:top w:val="none" w:sz="0" w:space="0" w:color="auto"/>
            <w:left w:val="none" w:sz="0" w:space="0" w:color="auto"/>
            <w:bottom w:val="none" w:sz="0" w:space="0" w:color="auto"/>
            <w:right w:val="none" w:sz="0" w:space="0" w:color="auto"/>
          </w:divBdr>
        </w:div>
        <w:div w:id="173963206">
          <w:marLeft w:val="0"/>
          <w:marRight w:val="0"/>
          <w:marTop w:val="0"/>
          <w:marBottom w:val="0"/>
          <w:divBdr>
            <w:top w:val="none" w:sz="0" w:space="0" w:color="auto"/>
            <w:left w:val="none" w:sz="0" w:space="0" w:color="auto"/>
            <w:bottom w:val="none" w:sz="0" w:space="0" w:color="auto"/>
            <w:right w:val="none" w:sz="0" w:space="0" w:color="auto"/>
          </w:divBdr>
        </w:div>
        <w:div w:id="432096360">
          <w:marLeft w:val="0"/>
          <w:marRight w:val="0"/>
          <w:marTop w:val="0"/>
          <w:marBottom w:val="0"/>
          <w:divBdr>
            <w:top w:val="none" w:sz="0" w:space="0" w:color="auto"/>
            <w:left w:val="none" w:sz="0" w:space="0" w:color="auto"/>
            <w:bottom w:val="none" w:sz="0" w:space="0" w:color="auto"/>
            <w:right w:val="none" w:sz="0" w:space="0" w:color="auto"/>
          </w:divBdr>
        </w:div>
        <w:div w:id="1704817820">
          <w:marLeft w:val="0"/>
          <w:marRight w:val="0"/>
          <w:marTop w:val="0"/>
          <w:marBottom w:val="0"/>
          <w:divBdr>
            <w:top w:val="none" w:sz="0" w:space="0" w:color="auto"/>
            <w:left w:val="none" w:sz="0" w:space="0" w:color="auto"/>
            <w:bottom w:val="none" w:sz="0" w:space="0" w:color="auto"/>
            <w:right w:val="none" w:sz="0" w:space="0" w:color="auto"/>
          </w:divBdr>
        </w:div>
      </w:divsChild>
    </w:div>
    <w:div w:id="569074096">
      <w:bodyDiv w:val="1"/>
      <w:marLeft w:val="0"/>
      <w:marRight w:val="0"/>
      <w:marTop w:val="0"/>
      <w:marBottom w:val="0"/>
      <w:divBdr>
        <w:top w:val="none" w:sz="0" w:space="0" w:color="auto"/>
        <w:left w:val="none" w:sz="0" w:space="0" w:color="auto"/>
        <w:bottom w:val="none" w:sz="0" w:space="0" w:color="auto"/>
        <w:right w:val="none" w:sz="0" w:space="0" w:color="auto"/>
      </w:divBdr>
    </w:div>
    <w:div w:id="668144503">
      <w:bodyDiv w:val="1"/>
      <w:marLeft w:val="0"/>
      <w:marRight w:val="0"/>
      <w:marTop w:val="0"/>
      <w:marBottom w:val="0"/>
      <w:divBdr>
        <w:top w:val="none" w:sz="0" w:space="0" w:color="auto"/>
        <w:left w:val="none" w:sz="0" w:space="0" w:color="auto"/>
        <w:bottom w:val="none" w:sz="0" w:space="0" w:color="auto"/>
        <w:right w:val="none" w:sz="0" w:space="0" w:color="auto"/>
      </w:divBdr>
      <w:divsChild>
        <w:div w:id="1061058477">
          <w:marLeft w:val="0"/>
          <w:marRight w:val="0"/>
          <w:marTop w:val="0"/>
          <w:marBottom w:val="0"/>
          <w:divBdr>
            <w:top w:val="none" w:sz="0" w:space="0" w:color="auto"/>
            <w:left w:val="none" w:sz="0" w:space="0" w:color="auto"/>
            <w:bottom w:val="none" w:sz="0" w:space="0" w:color="auto"/>
            <w:right w:val="none" w:sz="0" w:space="0" w:color="auto"/>
          </w:divBdr>
        </w:div>
        <w:div w:id="1264652427">
          <w:marLeft w:val="0"/>
          <w:marRight w:val="0"/>
          <w:marTop w:val="0"/>
          <w:marBottom w:val="0"/>
          <w:divBdr>
            <w:top w:val="none" w:sz="0" w:space="0" w:color="auto"/>
            <w:left w:val="none" w:sz="0" w:space="0" w:color="auto"/>
            <w:bottom w:val="none" w:sz="0" w:space="0" w:color="auto"/>
            <w:right w:val="none" w:sz="0" w:space="0" w:color="auto"/>
          </w:divBdr>
        </w:div>
        <w:div w:id="1108936608">
          <w:marLeft w:val="0"/>
          <w:marRight w:val="0"/>
          <w:marTop w:val="0"/>
          <w:marBottom w:val="0"/>
          <w:divBdr>
            <w:top w:val="none" w:sz="0" w:space="0" w:color="auto"/>
            <w:left w:val="none" w:sz="0" w:space="0" w:color="auto"/>
            <w:bottom w:val="none" w:sz="0" w:space="0" w:color="auto"/>
            <w:right w:val="none" w:sz="0" w:space="0" w:color="auto"/>
          </w:divBdr>
        </w:div>
        <w:div w:id="119081077">
          <w:marLeft w:val="0"/>
          <w:marRight w:val="0"/>
          <w:marTop w:val="0"/>
          <w:marBottom w:val="0"/>
          <w:divBdr>
            <w:top w:val="none" w:sz="0" w:space="0" w:color="auto"/>
            <w:left w:val="none" w:sz="0" w:space="0" w:color="auto"/>
            <w:bottom w:val="none" w:sz="0" w:space="0" w:color="auto"/>
            <w:right w:val="none" w:sz="0" w:space="0" w:color="auto"/>
          </w:divBdr>
        </w:div>
        <w:div w:id="1624118060">
          <w:marLeft w:val="0"/>
          <w:marRight w:val="0"/>
          <w:marTop w:val="0"/>
          <w:marBottom w:val="0"/>
          <w:divBdr>
            <w:top w:val="none" w:sz="0" w:space="0" w:color="auto"/>
            <w:left w:val="none" w:sz="0" w:space="0" w:color="auto"/>
            <w:bottom w:val="none" w:sz="0" w:space="0" w:color="auto"/>
            <w:right w:val="none" w:sz="0" w:space="0" w:color="auto"/>
          </w:divBdr>
          <w:divsChild>
            <w:div w:id="57753568">
              <w:marLeft w:val="0"/>
              <w:marRight w:val="0"/>
              <w:marTop w:val="0"/>
              <w:marBottom w:val="0"/>
              <w:divBdr>
                <w:top w:val="none" w:sz="0" w:space="0" w:color="auto"/>
                <w:left w:val="none" w:sz="0" w:space="0" w:color="auto"/>
                <w:bottom w:val="none" w:sz="0" w:space="0" w:color="auto"/>
                <w:right w:val="none" w:sz="0" w:space="0" w:color="auto"/>
              </w:divBdr>
            </w:div>
            <w:div w:id="1801847676">
              <w:marLeft w:val="0"/>
              <w:marRight w:val="0"/>
              <w:marTop w:val="0"/>
              <w:marBottom w:val="0"/>
              <w:divBdr>
                <w:top w:val="none" w:sz="0" w:space="0" w:color="auto"/>
                <w:left w:val="none" w:sz="0" w:space="0" w:color="auto"/>
                <w:bottom w:val="none" w:sz="0" w:space="0" w:color="auto"/>
                <w:right w:val="none" w:sz="0" w:space="0" w:color="auto"/>
              </w:divBdr>
            </w:div>
            <w:div w:id="1178471933">
              <w:marLeft w:val="0"/>
              <w:marRight w:val="0"/>
              <w:marTop w:val="0"/>
              <w:marBottom w:val="0"/>
              <w:divBdr>
                <w:top w:val="none" w:sz="0" w:space="0" w:color="auto"/>
                <w:left w:val="none" w:sz="0" w:space="0" w:color="auto"/>
                <w:bottom w:val="none" w:sz="0" w:space="0" w:color="auto"/>
                <w:right w:val="none" w:sz="0" w:space="0" w:color="auto"/>
              </w:divBdr>
            </w:div>
            <w:div w:id="703409804">
              <w:marLeft w:val="0"/>
              <w:marRight w:val="0"/>
              <w:marTop w:val="0"/>
              <w:marBottom w:val="0"/>
              <w:divBdr>
                <w:top w:val="none" w:sz="0" w:space="0" w:color="auto"/>
                <w:left w:val="none" w:sz="0" w:space="0" w:color="auto"/>
                <w:bottom w:val="none" w:sz="0" w:space="0" w:color="auto"/>
                <w:right w:val="none" w:sz="0" w:space="0" w:color="auto"/>
              </w:divBdr>
            </w:div>
            <w:div w:id="1006638853">
              <w:marLeft w:val="0"/>
              <w:marRight w:val="0"/>
              <w:marTop w:val="0"/>
              <w:marBottom w:val="0"/>
              <w:divBdr>
                <w:top w:val="none" w:sz="0" w:space="0" w:color="auto"/>
                <w:left w:val="none" w:sz="0" w:space="0" w:color="auto"/>
                <w:bottom w:val="none" w:sz="0" w:space="0" w:color="auto"/>
                <w:right w:val="none" w:sz="0" w:space="0" w:color="auto"/>
              </w:divBdr>
            </w:div>
            <w:div w:id="539248183">
              <w:marLeft w:val="0"/>
              <w:marRight w:val="0"/>
              <w:marTop w:val="0"/>
              <w:marBottom w:val="0"/>
              <w:divBdr>
                <w:top w:val="none" w:sz="0" w:space="0" w:color="auto"/>
                <w:left w:val="none" w:sz="0" w:space="0" w:color="auto"/>
                <w:bottom w:val="none" w:sz="0" w:space="0" w:color="auto"/>
                <w:right w:val="none" w:sz="0" w:space="0" w:color="auto"/>
              </w:divBdr>
            </w:div>
            <w:div w:id="956988491">
              <w:marLeft w:val="0"/>
              <w:marRight w:val="0"/>
              <w:marTop w:val="0"/>
              <w:marBottom w:val="0"/>
              <w:divBdr>
                <w:top w:val="none" w:sz="0" w:space="0" w:color="auto"/>
                <w:left w:val="none" w:sz="0" w:space="0" w:color="auto"/>
                <w:bottom w:val="none" w:sz="0" w:space="0" w:color="auto"/>
                <w:right w:val="none" w:sz="0" w:space="0" w:color="auto"/>
              </w:divBdr>
            </w:div>
            <w:div w:id="2082292895">
              <w:marLeft w:val="0"/>
              <w:marRight w:val="0"/>
              <w:marTop w:val="0"/>
              <w:marBottom w:val="0"/>
              <w:divBdr>
                <w:top w:val="none" w:sz="0" w:space="0" w:color="auto"/>
                <w:left w:val="none" w:sz="0" w:space="0" w:color="auto"/>
                <w:bottom w:val="none" w:sz="0" w:space="0" w:color="auto"/>
                <w:right w:val="none" w:sz="0" w:space="0" w:color="auto"/>
              </w:divBdr>
            </w:div>
            <w:div w:id="818115251">
              <w:marLeft w:val="0"/>
              <w:marRight w:val="0"/>
              <w:marTop w:val="0"/>
              <w:marBottom w:val="0"/>
              <w:divBdr>
                <w:top w:val="none" w:sz="0" w:space="0" w:color="auto"/>
                <w:left w:val="none" w:sz="0" w:space="0" w:color="auto"/>
                <w:bottom w:val="none" w:sz="0" w:space="0" w:color="auto"/>
                <w:right w:val="none" w:sz="0" w:space="0" w:color="auto"/>
              </w:divBdr>
            </w:div>
          </w:divsChild>
        </w:div>
        <w:div w:id="2045136405">
          <w:marLeft w:val="0"/>
          <w:marRight w:val="0"/>
          <w:marTop w:val="0"/>
          <w:marBottom w:val="0"/>
          <w:divBdr>
            <w:top w:val="none" w:sz="0" w:space="0" w:color="auto"/>
            <w:left w:val="none" w:sz="0" w:space="0" w:color="auto"/>
            <w:bottom w:val="none" w:sz="0" w:space="0" w:color="auto"/>
            <w:right w:val="none" w:sz="0" w:space="0" w:color="auto"/>
          </w:divBdr>
        </w:div>
        <w:div w:id="593172242">
          <w:marLeft w:val="0"/>
          <w:marRight w:val="0"/>
          <w:marTop w:val="0"/>
          <w:marBottom w:val="0"/>
          <w:divBdr>
            <w:top w:val="none" w:sz="0" w:space="0" w:color="auto"/>
            <w:left w:val="none" w:sz="0" w:space="0" w:color="auto"/>
            <w:bottom w:val="none" w:sz="0" w:space="0" w:color="auto"/>
            <w:right w:val="none" w:sz="0" w:space="0" w:color="auto"/>
          </w:divBdr>
        </w:div>
      </w:divsChild>
    </w:div>
    <w:div w:id="815948985">
      <w:bodyDiv w:val="1"/>
      <w:marLeft w:val="0"/>
      <w:marRight w:val="0"/>
      <w:marTop w:val="0"/>
      <w:marBottom w:val="0"/>
      <w:divBdr>
        <w:top w:val="none" w:sz="0" w:space="0" w:color="auto"/>
        <w:left w:val="none" w:sz="0" w:space="0" w:color="auto"/>
        <w:bottom w:val="none" w:sz="0" w:space="0" w:color="auto"/>
        <w:right w:val="none" w:sz="0" w:space="0" w:color="auto"/>
      </w:divBdr>
    </w:div>
    <w:div w:id="2073846517">
      <w:bodyDiv w:val="1"/>
      <w:marLeft w:val="0"/>
      <w:marRight w:val="0"/>
      <w:marTop w:val="0"/>
      <w:marBottom w:val="0"/>
      <w:divBdr>
        <w:top w:val="none" w:sz="0" w:space="0" w:color="auto"/>
        <w:left w:val="none" w:sz="0" w:space="0" w:color="auto"/>
        <w:bottom w:val="none" w:sz="0" w:space="0" w:color="auto"/>
        <w:right w:val="none" w:sz="0" w:space="0" w:color="auto"/>
      </w:divBdr>
      <w:divsChild>
        <w:div w:id="1104616510">
          <w:marLeft w:val="0"/>
          <w:marRight w:val="0"/>
          <w:marTop w:val="0"/>
          <w:marBottom w:val="0"/>
          <w:divBdr>
            <w:top w:val="none" w:sz="0" w:space="0" w:color="auto"/>
            <w:left w:val="none" w:sz="0" w:space="0" w:color="auto"/>
            <w:bottom w:val="none" w:sz="0" w:space="0" w:color="auto"/>
            <w:right w:val="none" w:sz="0" w:space="0" w:color="auto"/>
          </w:divBdr>
        </w:div>
        <w:div w:id="219100264">
          <w:marLeft w:val="0"/>
          <w:marRight w:val="0"/>
          <w:marTop w:val="0"/>
          <w:marBottom w:val="0"/>
          <w:divBdr>
            <w:top w:val="none" w:sz="0" w:space="0" w:color="auto"/>
            <w:left w:val="none" w:sz="0" w:space="0" w:color="auto"/>
            <w:bottom w:val="none" w:sz="0" w:space="0" w:color="auto"/>
            <w:right w:val="none" w:sz="0" w:space="0" w:color="auto"/>
          </w:divBdr>
        </w:div>
        <w:div w:id="435060703">
          <w:marLeft w:val="0"/>
          <w:marRight w:val="0"/>
          <w:marTop w:val="0"/>
          <w:marBottom w:val="0"/>
          <w:divBdr>
            <w:top w:val="none" w:sz="0" w:space="0" w:color="auto"/>
            <w:left w:val="none" w:sz="0" w:space="0" w:color="auto"/>
            <w:bottom w:val="none" w:sz="0" w:space="0" w:color="auto"/>
            <w:right w:val="none" w:sz="0" w:space="0" w:color="auto"/>
          </w:divBdr>
        </w:div>
        <w:div w:id="694120092">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4143</Words>
  <Characters>23620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Cathepsin D is potently inhibited by Aß42 and regulates Aß42/Aß40 ratio in vivo</vt:lpstr>
    </vt:vector>
  </TitlesOfParts>
  <Company>Mayo Clinic</Company>
  <LinksUpToDate>false</LinksUpToDate>
  <CharactersWithSpaces>27708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Cathepsin D is potently inhibited by Aß42 and regulates Aß42/Aß40 ratio in vivo</dc:title>
  <dc:subject/>
  <dc:creator>Malcolm Leissring</dc:creator>
  <cp:keywords/>
  <cp:lastModifiedBy>Malcolm A. Leissring, Ph.D.</cp:lastModifiedBy>
  <cp:revision>2</cp:revision>
  <cp:lastPrinted>2010-11-17T01:52:00Z</cp:lastPrinted>
  <dcterms:created xsi:type="dcterms:W3CDTF">2020-06-10T14:01:00Z</dcterms:created>
  <dcterms:modified xsi:type="dcterms:W3CDTF">2020-06-10T14:01:00Z</dcterms:modified>
</cp:coreProperties>
</file>