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0" w:rsidRPr="000D5E4A" w:rsidRDefault="000B1FCA" w:rsidP="000D5E4A">
      <w:pPr>
        <w:jc w:val="center"/>
        <w:rPr>
          <w:sz w:val="72"/>
          <w:szCs w:val="96"/>
          <w:lang w:val="en-GB"/>
        </w:rPr>
      </w:pPr>
      <w:r>
        <w:rPr>
          <w:sz w:val="40"/>
          <w:szCs w:val="44"/>
          <w:lang w:val="en-GB"/>
        </w:rPr>
        <w:t>Additional</w:t>
      </w:r>
      <w:r w:rsidR="000D5E4A" w:rsidRPr="000D5E4A">
        <w:rPr>
          <w:sz w:val="40"/>
          <w:szCs w:val="44"/>
          <w:lang w:val="en-GB"/>
        </w:rPr>
        <w:t xml:space="preserve"> </w:t>
      </w:r>
      <w:r w:rsidR="0045383D">
        <w:rPr>
          <w:sz w:val="40"/>
          <w:szCs w:val="44"/>
          <w:lang w:val="en-GB"/>
        </w:rPr>
        <w:t>file</w:t>
      </w:r>
    </w:p>
    <w:p w:rsidR="000D5E4A" w:rsidRPr="0033683E" w:rsidRDefault="009744D0" w:rsidP="000D5E4A">
      <w:pPr>
        <w:jc w:val="both"/>
        <w:rPr>
          <w:lang w:val="en-GB"/>
        </w:rPr>
      </w:pPr>
      <w:r w:rsidRPr="00C000A9">
        <w:rPr>
          <w:lang w:val="en-GB"/>
        </w:rPr>
        <w:t xml:space="preserve"> </w:t>
      </w:r>
    </w:p>
    <w:tbl>
      <w:tblPr>
        <w:tblW w:w="0" w:type="auto"/>
        <w:tblLook w:val="04A0"/>
      </w:tblPr>
      <w:tblGrid>
        <w:gridCol w:w="3403"/>
        <w:gridCol w:w="259"/>
        <w:gridCol w:w="5580"/>
      </w:tblGrid>
      <w:tr w:rsidR="000D5E4A" w:rsidRPr="0033683E" w:rsidTr="00DA3DF2">
        <w:trPr>
          <w:trHeight w:val="5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4"/>
                <w:szCs w:val="4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</w:tr>
      <w:tr w:rsidR="000D5E4A" w:rsidRPr="0033683E" w:rsidTr="00DA3DF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0B1F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Table </w:t>
            </w:r>
            <w:proofErr w:type="spellStart"/>
            <w:r w:rsidR="000B1FCA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</w:t>
            </w:r>
            <w:r w:rsidRPr="009078B6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1</w:t>
            </w:r>
            <w:proofErr w:type="spellEnd"/>
            <w:r w:rsidRPr="009078B6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33683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ICD</w:t>
            </w:r>
            <w:proofErr w:type="spellEnd"/>
            <w:r w:rsidRPr="0033683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-10 codes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</w:tr>
      <w:tr w:rsidR="000D5E4A" w:rsidRPr="0033683E" w:rsidTr="00DA3D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I48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C00-C99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J42, J44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I11.0, I13.0, I42, I50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I10-I15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Ischemic heart disease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I20, I25 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Microvascular complications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lang w:val="en-GB"/>
              </w:rPr>
              <w:t>E11.2-11.8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I21, I22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Peripheral atherosclerosis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I70.2-I70.5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Renal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E01475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E01475">
              <w:rPr>
                <w:rFonts w:eastAsia="Times New Roman" w:cs="Times New Roman"/>
                <w:color w:val="000000"/>
                <w:sz w:val="22"/>
                <w:lang w:eastAsia="en-GB"/>
              </w:rPr>
              <w:t>N03-N08, N11, N14, N18, N19, N25-N29, I12, I13, Q61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I61, I63, I64</w:t>
            </w:r>
          </w:p>
        </w:tc>
      </w:tr>
      <w:tr w:rsidR="000D5E4A" w:rsidRPr="0033683E" w:rsidTr="00DA3D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</w:tr>
      <w:tr w:rsidR="000D5E4A" w:rsidRPr="0033683E" w:rsidTr="00DA3DF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</w:tr>
      <w:tr w:rsidR="000D5E4A" w:rsidRPr="0033683E" w:rsidTr="00DA3D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ATC codes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val="en-GB" w:eastAsia="en-GB"/>
              </w:rPr>
            </w:pP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Metformin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A10BA02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A10A</w:t>
            </w:r>
          </w:p>
        </w:tc>
      </w:tr>
      <w:tr w:rsidR="000D5E4A" w:rsidRPr="001C0DDD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GLP-1 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A10BJ01, A10BJ02, A10BJ03-6, A10BX04 A10BX07, A10BX10, A10BX13</w:t>
            </w:r>
          </w:p>
        </w:tc>
      </w:tr>
      <w:tr w:rsidR="000D5E4A" w:rsidRPr="001C0DDD" w:rsidTr="00DA3DF2">
        <w:trPr>
          <w:trHeight w:val="300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SGLT-2 inhibitor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A10BD15, A10BD20-21, A10BK01-02, A10BX09, A10BX11-12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DPP-4 inhibitor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A10BDO1-08, A10BD10-11, A10BD13</w:t>
            </w:r>
          </w:p>
        </w:tc>
      </w:tr>
      <w:tr w:rsidR="000D5E4A" w:rsidRPr="001C0DDD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Sulfonylurea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A10BB01, A10BB03, A10BB07, A10BB09, A10BB12, A10BX02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C10A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ACE inhibitor / Angiontensin re</w:t>
            </w: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ceptor blocker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C09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Mineralocorticoid receptor antagonist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C03D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Thiazide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C03A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Calcium channel blockers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C08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Beta blockers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C07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Platelet inhibitors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B01AC04, B01AC06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Digoxin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C01AA05</w:t>
            </w:r>
          </w:p>
        </w:tc>
      </w:tr>
      <w:tr w:rsidR="000D5E4A" w:rsidRPr="0033683E" w:rsidTr="00DA3D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9078B6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9078B6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Loop diuretics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D5E4A" w:rsidRPr="0033683E" w:rsidRDefault="000D5E4A" w:rsidP="00DA3D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33683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C03CA01</w:t>
            </w:r>
          </w:p>
        </w:tc>
      </w:tr>
    </w:tbl>
    <w:p w:rsidR="000D5E4A" w:rsidRPr="009078B6" w:rsidRDefault="000D5E4A" w:rsidP="000D5E4A">
      <w:pPr>
        <w:jc w:val="both"/>
        <w:rPr>
          <w:lang w:val="en-GB"/>
        </w:rPr>
      </w:pPr>
    </w:p>
    <w:p w:rsidR="000D5E4A" w:rsidRPr="0033683E" w:rsidRDefault="000D5E4A" w:rsidP="001C0DDD">
      <w:pPr>
        <w:jc w:val="both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  <w:r w:rsidRPr="0033683E">
        <w:rPr>
          <w:lang w:val="en-GB"/>
        </w:rPr>
        <w:lastRenderedPageBreak/>
        <w:t xml:space="preserve"> 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 xml:space="preserve">Table </w:t>
      </w:r>
      <w:proofErr w:type="spellStart"/>
      <w:r w:rsidR="000B1FCA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2</w:t>
      </w:r>
      <w:proofErr w:type="spellEnd"/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:</w:t>
      </w:r>
    </w:p>
    <w:p w:rsidR="000D5E4A" w:rsidRPr="0033683E" w:rsidRDefault="000D5E4A" w:rsidP="000D5E4A">
      <w:pPr>
        <w:spacing w:line="259" w:lineRule="auto"/>
        <w:rPr>
          <w:lang w:val="en-GB"/>
        </w:rPr>
      </w:pPr>
      <w:proofErr w:type="gramStart"/>
      <w:r w:rsidRPr="0033683E">
        <w:rPr>
          <w:lang w:val="en-GB"/>
        </w:rPr>
        <w:t>A sensitivity analysis, in which patients were followed until a prescription was filled for any anti-diabetic therapy different from the initial treatment.</w:t>
      </w:r>
      <w:proofErr w:type="gramEnd"/>
    </w:p>
    <w:tbl>
      <w:tblPr>
        <w:tblStyle w:val="TableGrid"/>
        <w:tblW w:w="9893" w:type="dxa"/>
        <w:tblLook w:val="04A0"/>
      </w:tblPr>
      <w:tblGrid>
        <w:gridCol w:w="1838"/>
        <w:gridCol w:w="2466"/>
        <w:gridCol w:w="2718"/>
        <w:gridCol w:w="2871"/>
      </w:tblGrid>
      <w:tr w:rsidR="000D5E4A" w:rsidRPr="001C0DDD" w:rsidTr="00DA3DF2">
        <w:trPr>
          <w:trHeight w:val="294"/>
        </w:trPr>
        <w:tc>
          <w:tcPr>
            <w:tcW w:w="9893" w:type="dxa"/>
            <w:gridSpan w:val="4"/>
            <w:shd w:val="clear" w:color="auto" w:fill="8496B0" w:themeFill="text2" w:themeFillTint="99"/>
            <w:vAlign w:val="center"/>
          </w:tcPr>
          <w:p w:rsidR="000D5E4A" w:rsidRPr="0033683E" w:rsidRDefault="000D5E4A" w:rsidP="00DA3DF2">
            <w:pPr>
              <w:rPr>
                <w:color w:val="000000"/>
                <w:lang w:val="en-GB"/>
              </w:rPr>
            </w:pPr>
            <w:r w:rsidRPr="0033683E">
              <w:rPr>
                <w:b/>
                <w:color w:val="000000"/>
                <w:lang w:val="en-GB"/>
              </w:rPr>
              <w:t>Follow-up until first change in treatment</w:t>
            </w:r>
          </w:p>
        </w:tc>
      </w:tr>
      <w:tr w:rsidR="000D5E4A" w:rsidRPr="001C0DDD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</w:tcPr>
          <w:p w:rsidR="000D5E4A" w:rsidRPr="009078B6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Treatment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Hospitalisation for HF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MACE (MI, Stroke, CV death)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All-cause mortality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1.11 (0.89-1.39), p=0.34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0.82 (0.67-0.97), p=0.0210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0.71 (0.57-0.89), p=0.003</w:t>
            </w:r>
          </w:p>
        </w:tc>
      </w:tr>
      <w:tr w:rsidR="000D5E4A" w:rsidRPr="0033683E" w:rsidTr="00DA3DF2">
        <w:trPr>
          <w:trHeight w:val="256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0.84 (0.52-1.36), p=0.48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0.79 (0.56-1.12), p=0.19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0.52 (0.32-0.87), p=0.013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0.98 (0.77-1.26), p=0.90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1.22 (1.03-1.44), p=0.0193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1.35 (1.13-1.60), p&lt;0.001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1.54 (1.25-1.90), p&lt;0.001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1.26 (1.07-1.47), p=0.0045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3.47 (3.01-4.00), p&lt;0.001</w:t>
            </w:r>
          </w:p>
        </w:tc>
      </w:tr>
    </w:tbl>
    <w:p w:rsidR="000D5E4A" w:rsidRPr="009078B6" w:rsidRDefault="000D5E4A" w:rsidP="000D5E4A">
      <w:pPr>
        <w:spacing w:line="259" w:lineRule="auto"/>
        <w:rPr>
          <w:lang w:val="en-GB"/>
        </w:rPr>
      </w:pPr>
    </w:p>
    <w:p w:rsidR="001C0DDD" w:rsidRDefault="001C0DDD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</w:p>
    <w:p w:rsidR="000D5E4A" w:rsidRPr="0033683E" w:rsidRDefault="000D5E4A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 xml:space="preserve">Table </w:t>
      </w:r>
      <w:proofErr w:type="spellStart"/>
      <w:r w:rsidR="000B1FCA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3</w:t>
      </w:r>
      <w:proofErr w:type="spellEnd"/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:</w:t>
      </w:r>
    </w:p>
    <w:p w:rsidR="000D5E4A" w:rsidRPr="0033683E" w:rsidRDefault="000D5E4A" w:rsidP="000D5E4A">
      <w:pPr>
        <w:spacing w:line="259" w:lineRule="auto"/>
        <w:rPr>
          <w:lang w:val="en-GB"/>
        </w:rPr>
      </w:pPr>
      <w:r w:rsidRPr="0033683E">
        <w:rPr>
          <w:lang w:val="en-GB"/>
        </w:rPr>
        <w:t>Follow-up was extended to three years instead of the initial two years in the primary analysis.</w:t>
      </w:r>
    </w:p>
    <w:tbl>
      <w:tblPr>
        <w:tblStyle w:val="TableGrid"/>
        <w:tblW w:w="9893" w:type="dxa"/>
        <w:tblLook w:val="04A0"/>
      </w:tblPr>
      <w:tblGrid>
        <w:gridCol w:w="1838"/>
        <w:gridCol w:w="2466"/>
        <w:gridCol w:w="2718"/>
        <w:gridCol w:w="2871"/>
      </w:tblGrid>
      <w:tr w:rsidR="000D5E4A" w:rsidRPr="0033683E" w:rsidTr="00DA3DF2">
        <w:trPr>
          <w:trHeight w:val="294"/>
        </w:trPr>
        <w:tc>
          <w:tcPr>
            <w:tcW w:w="9893" w:type="dxa"/>
            <w:gridSpan w:val="4"/>
            <w:shd w:val="clear" w:color="auto" w:fill="8496B0" w:themeFill="text2" w:themeFillTint="99"/>
            <w:vAlign w:val="center"/>
          </w:tcPr>
          <w:p w:rsidR="000D5E4A" w:rsidRPr="0033683E" w:rsidRDefault="000D5E4A" w:rsidP="00DA3DF2">
            <w:pPr>
              <w:rPr>
                <w:color w:val="000000"/>
                <w:lang w:val="en-GB"/>
              </w:rPr>
            </w:pPr>
            <w:r w:rsidRPr="0033683E">
              <w:rPr>
                <w:b/>
                <w:color w:val="000000"/>
                <w:lang w:val="en-GB"/>
              </w:rPr>
              <w:t>Three-year follow-up</w:t>
            </w:r>
          </w:p>
        </w:tc>
      </w:tr>
      <w:tr w:rsidR="000D5E4A" w:rsidRPr="001C0DDD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</w:tcPr>
          <w:p w:rsidR="000D5E4A" w:rsidRPr="009078B6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Treatment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Hospitalisation for HF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MACE (MI, Stroke, CV death)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All-cause mortality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1.10 (0.92-1.31), p=0.30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0.86 (0.74-0.99), p=0.018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0.90 (0.80-1.02), p=0.09</w:t>
            </w:r>
          </w:p>
        </w:tc>
      </w:tr>
      <w:tr w:rsidR="000D5E4A" w:rsidRPr="0033683E" w:rsidTr="00DA3DF2">
        <w:trPr>
          <w:trHeight w:val="256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0.91 (0.60-1.37), p=0.64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0.88 (0.65-1.20), p=0.42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0.77 (0.59-1.03), p=0.070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33683E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1.06 (0.87-1.30), p=0.58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1.21 (1.04-1.39), p=0.0119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1.08 (0.96-1.21), p=0.21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1.49 (1.25-1.78), p&lt;0.001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1.21 (1.21-1.39), p&lt;0.001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2.15 (1.95-2.37), p&lt;0.001</w:t>
            </w:r>
          </w:p>
        </w:tc>
      </w:tr>
    </w:tbl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0D5E4A" w:rsidRDefault="000D5E4A" w:rsidP="000D5E4A">
      <w:pPr>
        <w:spacing w:line="259" w:lineRule="auto"/>
        <w:rPr>
          <w:lang w:val="en-GB"/>
        </w:rPr>
      </w:pPr>
    </w:p>
    <w:p w:rsidR="001C0DDD" w:rsidRDefault="001C0DDD" w:rsidP="000D5E4A">
      <w:pPr>
        <w:spacing w:line="259" w:lineRule="auto"/>
        <w:rPr>
          <w:lang w:val="en-GB"/>
        </w:rPr>
      </w:pPr>
    </w:p>
    <w:p w:rsidR="001C0DDD" w:rsidRDefault="001C0DDD" w:rsidP="000D5E4A">
      <w:pPr>
        <w:spacing w:line="259" w:lineRule="auto"/>
        <w:rPr>
          <w:lang w:val="en-GB"/>
        </w:rPr>
      </w:pPr>
    </w:p>
    <w:p w:rsidR="000D5E4A" w:rsidRPr="0033683E" w:rsidRDefault="000D5E4A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lastRenderedPageBreak/>
        <w:t xml:space="preserve">Table </w:t>
      </w:r>
      <w:proofErr w:type="spellStart"/>
      <w:r w:rsidR="000B1FCA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4</w:t>
      </w:r>
      <w:proofErr w:type="spellEnd"/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:</w:t>
      </w:r>
    </w:p>
    <w:p w:rsidR="000D5E4A" w:rsidRPr="0033683E" w:rsidRDefault="000D5E4A" w:rsidP="000D5E4A">
      <w:pPr>
        <w:spacing w:line="259" w:lineRule="auto"/>
        <w:rPr>
          <w:lang w:val="en-GB"/>
        </w:rPr>
      </w:pPr>
      <w:r w:rsidRPr="0033683E">
        <w:rPr>
          <w:lang w:val="en-GB"/>
        </w:rPr>
        <w:t xml:space="preserve">Sensitivity analyses: (A) excluding patients a high or very high cardiovascular risk, (B) only including patients at high or very high cardiovascular risk (B). </w:t>
      </w:r>
    </w:p>
    <w:tbl>
      <w:tblPr>
        <w:tblStyle w:val="TableGrid"/>
        <w:tblW w:w="9893" w:type="dxa"/>
        <w:tblLook w:val="04A0"/>
      </w:tblPr>
      <w:tblGrid>
        <w:gridCol w:w="1838"/>
        <w:gridCol w:w="2466"/>
        <w:gridCol w:w="2718"/>
        <w:gridCol w:w="2871"/>
      </w:tblGrid>
      <w:tr w:rsidR="000D5E4A" w:rsidRPr="001C0DDD" w:rsidTr="00DA3DF2">
        <w:trPr>
          <w:trHeight w:val="294"/>
        </w:trPr>
        <w:tc>
          <w:tcPr>
            <w:tcW w:w="9893" w:type="dxa"/>
            <w:gridSpan w:val="4"/>
            <w:shd w:val="clear" w:color="auto" w:fill="8496B0" w:themeFill="text2" w:themeFillTint="99"/>
            <w:vAlign w:val="center"/>
          </w:tcPr>
          <w:p w:rsidR="000D5E4A" w:rsidRPr="0033683E" w:rsidRDefault="000D5E4A" w:rsidP="00DA3DF2">
            <w:pPr>
              <w:rPr>
                <w:color w:val="000000"/>
                <w:lang w:val="en-GB"/>
              </w:rPr>
            </w:pPr>
            <w:r w:rsidRPr="0033683E">
              <w:rPr>
                <w:b/>
                <w:color w:val="000000"/>
                <w:lang w:val="en-GB"/>
              </w:rPr>
              <w:t>A: Excluding patients at high and very high cardiovascular risk</w:t>
            </w:r>
          </w:p>
        </w:tc>
      </w:tr>
      <w:tr w:rsidR="000D5E4A" w:rsidRPr="001C0DDD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</w:tcPr>
          <w:p w:rsidR="000D5E4A" w:rsidRPr="009078B6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Treatment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Hospitalisation for HF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MACE (MI, Stroke, CV death)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All-cause mortality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1.41 (0.95-2.11), p=0.09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0.70 (0.54-0.96), p=0.0233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0.76 (0.79-1.17), p=0.67</w:t>
            </w:r>
          </w:p>
        </w:tc>
      </w:tr>
      <w:tr w:rsidR="000D5E4A" w:rsidRPr="0033683E" w:rsidTr="00DA3DF2">
        <w:trPr>
          <w:trHeight w:val="256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1.12 (0.53-2.382), p=0.76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0.66 (0.35-1.23), p=0.19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0.88 (0.59-1.33), p=0.56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1.02 (0.67-1.54), p=0.93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1.05 (0.81-1.62), p=0.73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1.25 (1.06-1.47), p=0.0095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1.53 (1.04-2.23), p=0.0296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1.27 (1.00-1.63), p=0.053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2.7 (2.34-3.12), p&lt;0.001</w:t>
            </w:r>
          </w:p>
        </w:tc>
      </w:tr>
      <w:tr w:rsidR="000D5E4A" w:rsidRPr="001C0DDD" w:rsidTr="00DA3DF2">
        <w:trPr>
          <w:trHeight w:val="268"/>
        </w:trPr>
        <w:tc>
          <w:tcPr>
            <w:tcW w:w="9893" w:type="dxa"/>
            <w:gridSpan w:val="4"/>
            <w:shd w:val="clear" w:color="auto" w:fill="548DD5"/>
            <w:vAlign w:val="center"/>
          </w:tcPr>
          <w:p w:rsidR="000D5E4A" w:rsidRPr="0033683E" w:rsidRDefault="000D5E4A" w:rsidP="00DA3DF2">
            <w:pPr>
              <w:rPr>
                <w:b/>
                <w:color w:val="000000"/>
                <w:lang w:val="en-GB"/>
              </w:rPr>
            </w:pPr>
            <w:r w:rsidRPr="009078B6">
              <w:rPr>
                <w:b/>
                <w:color w:val="000000"/>
                <w:lang w:val="en-GB"/>
              </w:rPr>
              <w:t>B: Only including patients at high and very high cardiovascular risk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0.98 (0.75-1.28), p=0.90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0.85 (0.69-1.05), p=0.12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0.83 (0.66-1.05), p=0.12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0.67 (0.34-1.26), p=0.21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0.82 (0.54-1.27), p=0.38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0.65 (0.41-1.05), p=0.076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0.96 (070-1.31), p=0.79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1.36 (1.90-1.70), p=0.0064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0.88 (0.66-1.16), p=0.36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1.49 (1.15-1.92), p=0.0022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1.21 (0.98-1.49), p=0.0749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1.73 (1.43-2.10), p&lt;0.001</w:t>
            </w:r>
          </w:p>
        </w:tc>
      </w:tr>
    </w:tbl>
    <w:p w:rsidR="000D5E4A" w:rsidRDefault="000D5E4A" w:rsidP="000D5E4A">
      <w:pPr>
        <w:jc w:val="both"/>
        <w:rPr>
          <w:rFonts w:cs="Times New Roman"/>
          <w:sz w:val="24"/>
          <w:szCs w:val="24"/>
          <w:lang w:val="en-GB"/>
        </w:rPr>
      </w:pPr>
      <w:r w:rsidRPr="009078B6">
        <w:rPr>
          <w:rFonts w:cs="Times New Roman"/>
          <w:sz w:val="24"/>
          <w:szCs w:val="24"/>
          <w:lang w:val="en-GB"/>
        </w:rPr>
        <w:t xml:space="preserve"> </w:t>
      </w:r>
    </w:p>
    <w:p w:rsidR="001C0DDD" w:rsidRPr="009078B6" w:rsidRDefault="001C0DDD" w:rsidP="000D5E4A">
      <w:pPr>
        <w:jc w:val="both"/>
        <w:rPr>
          <w:lang w:val="en-GB"/>
        </w:rPr>
      </w:pPr>
    </w:p>
    <w:p w:rsidR="000D5E4A" w:rsidRPr="0033683E" w:rsidRDefault="000D5E4A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 xml:space="preserve">Table </w:t>
      </w:r>
      <w:proofErr w:type="spellStart"/>
      <w:r w:rsidR="000B1FCA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5</w:t>
      </w:r>
      <w:proofErr w:type="spellEnd"/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:</w:t>
      </w:r>
    </w:p>
    <w:p w:rsidR="000D5E4A" w:rsidRPr="0033683E" w:rsidRDefault="000D5E4A" w:rsidP="000D5E4A">
      <w:pPr>
        <w:spacing w:line="259" w:lineRule="auto"/>
        <w:rPr>
          <w:lang w:val="en-GB"/>
        </w:rPr>
      </w:pPr>
      <w:r w:rsidRPr="0033683E">
        <w:rPr>
          <w:lang w:val="en-GB"/>
        </w:rPr>
        <w:t xml:space="preserve">Sensitivity analyses splitting the cohort in two according to the year of inclusion (A) Patients with a date of inclusion set between 2010 January - 2013 September, (B) Patients with a date of inclusion set between 2013 October - 2017August. </w:t>
      </w:r>
    </w:p>
    <w:p w:rsidR="000D5E4A" w:rsidRPr="0033683E" w:rsidRDefault="000D5E4A" w:rsidP="000D5E4A">
      <w:pPr>
        <w:jc w:val="both"/>
        <w:rPr>
          <w:lang w:val="en-GB"/>
        </w:rPr>
      </w:pPr>
    </w:p>
    <w:tbl>
      <w:tblPr>
        <w:tblStyle w:val="TableGrid"/>
        <w:tblW w:w="9893" w:type="dxa"/>
        <w:tblLook w:val="04A0"/>
      </w:tblPr>
      <w:tblGrid>
        <w:gridCol w:w="1838"/>
        <w:gridCol w:w="2466"/>
        <w:gridCol w:w="2718"/>
        <w:gridCol w:w="2871"/>
      </w:tblGrid>
      <w:tr w:rsidR="000D5E4A" w:rsidRPr="001C0DDD" w:rsidTr="00DA3DF2">
        <w:trPr>
          <w:trHeight w:val="294"/>
        </w:trPr>
        <w:tc>
          <w:tcPr>
            <w:tcW w:w="9893" w:type="dxa"/>
            <w:gridSpan w:val="4"/>
            <w:shd w:val="clear" w:color="auto" w:fill="8496B0" w:themeFill="text2" w:themeFillTint="99"/>
            <w:vAlign w:val="center"/>
          </w:tcPr>
          <w:p w:rsidR="000D5E4A" w:rsidRPr="0033683E" w:rsidRDefault="000D5E4A" w:rsidP="00DA3DF2">
            <w:pPr>
              <w:rPr>
                <w:color w:val="000000"/>
                <w:lang w:val="en-GB"/>
              </w:rPr>
            </w:pPr>
            <w:r w:rsidRPr="0033683E">
              <w:rPr>
                <w:b/>
                <w:color w:val="000000"/>
                <w:lang w:val="en-GB"/>
              </w:rPr>
              <w:t>A: First half of follow-up (2010 January - 2013 September)</w:t>
            </w:r>
          </w:p>
        </w:tc>
      </w:tr>
      <w:tr w:rsidR="000D5E4A" w:rsidRPr="001C0DDD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</w:tcPr>
          <w:p w:rsidR="000D5E4A" w:rsidRPr="009078B6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Treatment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Hospitalisation for HF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MACE (MI, Stroke, CV death)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All-cause mortality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1.11 (0.89-1.39), p=0.34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0.65 (0.55-0.88), p=0.002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1.05 (0.86-1.27), p=0.66</w:t>
            </w:r>
          </w:p>
        </w:tc>
      </w:tr>
      <w:tr w:rsidR="000D5E4A" w:rsidRPr="0033683E" w:rsidTr="00DA3DF2">
        <w:trPr>
          <w:trHeight w:val="256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-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-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-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0.84 (0.52-1.36), p=0.48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1.11 (0.88-1.39), p=0.39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1.15 (0.94-1.40), p=0.18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0.98 (0.76-1.26), p=0.90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1.21 (0.98-1.50), p=0.08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2.39 (2.01-2.84), p&lt;0.001</w:t>
            </w:r>
          </w:p>
        </w:tc>
      </w:tr>
      <w:tr w:rsidR="000D5E4A" w:rsidRPr="001C0DDD" w:rsidTr="00DA3DF2">
        <w:trPr>
          <w:trHeight w:val="268"/>
        </w:trPr>
        <w:tc>
          <w:tcPr>
            <w:tcW w:w="9893" w:type="dxa"/>
            <w:gridSpan w:val="4"/>
            <w:shd w:val="clear" w:color="auto" w:fill="548DD5"/>
            <w:vAlign w:val="center"/>
          </w:tcPr>
          <w:p w:rsidR="000D5E4A" w:rsidRPr="0033683E" w:rsidRDefault="000D5E4A" w:rsidP="00DA3DF2">
            <w:pPr>
              <w:rPr>
                <w:b/>
                <w:color w:val="000000"/>
                <w:lang w:val="en-GB"/>
              </w:rPr>
            </w:pPr>
            <w:r w:rsidRPr="009078B6">
              <w:rPr>
                <w:b/>
                <w:color w:val="000000"/>
                <w:lang w:val="en-GB"/>
              </w:rPr>
              <w:t>B: Second half of follow-up (2013 October</w:t>
            </w:r>
            <w:r w:rsidRPr="0033683E">
              <w:rPr>
                <w:b/>
                <w:color w:val="000000"/>
                <w:lang w:val="en-GB"/>
              </w:rPr>
              <w:t xml:space="preserve"> - 2017 August) 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DPP-4 inhibitors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GLP-1 RA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1.03 (0.74-1.45), p=0.85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0.83 (0.63-1.09), p=0.1762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0.91 (0.80-1.03), p=0.12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0.85 (0.52-1.39, p=052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0.81 (0.56-1.16), p=0.25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0.77 (0.58-1.03), p=0.073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Sulfonylurea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1.02 (0.73-1.43), p=0.91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1.36 (1.07-1.73), p=0.012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1.13 (1.04-1.28), p=0.043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1.51 (1.14-2.01), p=0.043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1.30 (1.03-1.66), p=0.030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2.32 (2.10-2.56), p&lt;0.001</w:t>
            </w:r>
          </w:p>
        </w:tc>
      </w:tr>
    </w:tbl>
    <w:p w:rsidR="000D5E4A" w:rsidRPr="009078B6" w:rsidRDefault="000D5E4A" w:rsidP="000D5E4A">
      <w:pPr>
        <w:jc w:val="both"/>
        <w:rPr>
          <w:lang w:val="en-GB"/>
        </w:rPr>
      </w:pPr>
    </w:p>
    <w:p w:rsidR="000D5E4A" w:rsidRDefault="000D5E4A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</w:p>
    <w:p w:rsidR="000D5E4A" w:rsidRPr="0033683E" w:rsidRDefault="000D5E4A" w:rsidP="000D5E4A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val="en-GB" w:eastAsia="en-GB"/>
        </w:rPr>
      </w:pP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 xml:space="preserve">Table </w:t>
      </w:r>
      <w:proofErr w:type="spellStart"/>
      <w:r w:rsidR="000B1FCA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6</w:t>
      </w:r>
      <w:proofErr w:type="spellEnd"/>
      <w:r w:rsidRPr="0033683E">
        <w:rPr>
          <w:rFonts w:eastAsia="Times New Roman" w:cs="Times New Roman"/>
          <w:b/>
          <w:bCs/>
          <w:color w:val="000000"/>
          <w:sz w:val="22"/>
          <w:lang w:val="en-GB" w:eastAsia="en-GB"/>
        </w:rPr>
        <w:t>:</w:t>
      </w:r>
    </w:p>
    <w:p w:rsidR="000D5E4A" w:rsidRPr="0033683E" w:rsidRDefault="000D5E4A" w:rsidP="000D5E4A">
      <w:pPr>
        <w:spacing w:line="259" w:lineRule="auto"/>
        <w:rPr>
          <w:lang w:val="en-GB"/>
        </w:rPr>
      </w:pPr>
      <w:r w:rsidRPr="0033683E">
        <w:rPr>
          <w:lang w:val="en-GB"/>
        </w:rPr>
        <w:t>A sensitivity analysis in which sulfonylurea was used as reference as opposed to DPP-4 inhibitors which was used in the primary analysis.</w:t>
      </w:r>
    </w:p>
    <w:p w:rsidR="000D5E4A" w:rsidRPr="0033683E" w:rsidRDefault="000D5E4A" w:rsidP="000D5E4A">
      <w:pPr>
        <w:jc w:val="both"/>
        <w:rPr>
          <w:lang w:val="en-GB"/>
        </w:rPr>
      </w:pPr>
    </w:p>
    <w:tbl>
      <w:tblPr>
        <w:tblStyle w:val="TableGrid"/>
        <w:tblW w:w="9893" w:type="dxa"/>
        <w:tblLook w:val="04A0"/>
      </w:tblPr>
      <w:tblGrid>
        <w:gridCol w:w="1838"/>
        <w:gridCol w:w="2466"/>
        <w:gridCol w:w="2718"/>
        <w:gridCol w:w="2871"/>
      </w:tblGrid>
      <w:tr w:rsidR="000D5E4A" w:rsidRPr="0033683E" w:rsidTr="00DA3DF2">
        <w:trPr>
          <w:trHeight w:val="294"/>
        </w:trPr>
        <w:tc>
          <w:tcPr>
            <w:tcW w:w="9893" w:type="dxa"/>
            <w:gridSpan w:val="4"/>
            <w:shd w:val="clear" w:color="auto" w:fill="8496B0" w:themeFill="text2" w:themeFillTint="99"/>
            <w:vAlign w:val="center"/>
          </w:tcPr>
          <w:p w:rsidR="000D5E4A" w:rsidRPr="0033683E" w:rsidRDefault="000D5E4A" w:rsidP="00DA3DF2">
            <w:pPr>
              <w:rPr>
                <w:color w:val="000000"/>
                <w:lang w:val="en-GB"/>
              </w:rPr>
            </w:pPr>
            <w:r w:rsidRPr="0033683E">
              <w:rPr>
                <w:b/>
                <w:color w:val="000000"/>
                <w:lang w:val="en-GB"/>
              </w:rPr>
              <w:t>Sulfonylurea as reference</w:t>
            </w:r>
          </w:p>
        </w:tc>
      </w:tr>
      <w:tr w:rsidR="000D5E4A" w:rsidRPr="001C0DDD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</w:tcPr>
          <w:p w:rsidR="000D5E4A" w:rsidRPr="009078B6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Treatment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Hospitalisation for HF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MACE (MI, Stroke, CV death)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color w:val="000000"/>
                <w:lang w:val="en-GB"/>
              </w:rPr>
              <w:t>All-cause mortality</w:t>
            </w:r>
          </w:p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color w:val="000000"/>
                <w:lang w:val="en-GB"/>
              </w:rPr>
              <w:t>HR (95% CI), p-value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 xml:space="preserve">Sulfonylurea </w:t>
            </w:r>
          </w:p>
        </w:tc>
        <w:tc>
          <w:tcPr>
            <w:tcW w:w="2466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718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  <w:tc>
          <w:tcPr>
            <w:tcW w:w="2871" w:type="dxa"/>
            <w:shd w:val="clear" w:color="auto" w:fill="auto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1.00 (Ref).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 xml:space="preserve">DPP-4 inhibitors </w:t>
            </w:r>
          </w:p>
        </w:tc>
        <w:tc>
          <w:tcPr>
            <w:tcW w:w="2466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1.01 (0.79-1.30), p=0.90</w:t>
            </w:r>
          </w:p>
        </w:tc>
        <w:tc>
          <w:tcPr>
            <w:tcW w:w="2718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0.82 (0.70-0.97), p=0.019</w:t>
            </w:r>
          </w:p>
        </w:tc>
        <w:tc>
          <w:tcPr>
            <w:tcW w:w="2871" w:type="dxa"/>
            <w:shd w:val="clear" w:color="auto" w:fill="EDEDED" w:themeFill="accent3" w:themeFillTint="33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0.88 (0.77-1.01), p=0.12</w:t>
            </w:r>
          </w:p>
        </w:tc>
      </w:tr>
      <w:tr w:rsidR="000D5E4A" w:rsidRPr="0033683E" w:rsidTr="00DA3DF2">
        <w:trPr>
          <w:trHeight w:val="256"/>
        </w:trPr>
        <w:tc>
          <w:tcPr>
            <w:tcW w:w="1838" w:type="dxa"/>
            <w:shd w:val="clear" w:color="auto" w:fill="DBDBDB" w:themeFill="accent3" w:themeFillTint="66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 xml:space="preserve">GLP-1 RA </w:t>
            </w:r>
          </w:p>
        </w:tc>
        <w:tc>
          <w:tcPr>
            <w:tcW w:w="2466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1.13 (0.86-1.49), p=0.37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0.68 (0.56-0.82), p&lt;0.001</w:t>
            </w:r>
          </w:p>
        </w:tc>
        <w:tc>
          <w:tcPr>
            <w:tcW w:w="2871" w:type="dxa"/>
            <w:shd w:val="clear" w:color="auto" w:fill="DBDBDB" w:themeFill="accent3" w:themeFillTint="66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0.80 (0.68-0.94), p=0.0082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shd w:val="clear" w:color="auto" w:fill="C9C9C9" w:themeFill="accent3" w:themeFillTint="99"/>
            <w:vAlign w:val="center"/>
          </w:tcPr>
          <w:p w:rsidR="000D5E4A" w:rsidRPr="0033683E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SGLT-2 inhibitors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0.86 (0.51-1.43), p=0.55</w:t>
            </w:r>
          </w:p>
        </w:tc>
        <w:tc>
          <w:tcPr>
            <w:tcW w:w="2718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0.65 (0.45-0.93), p=0.0205</w:t>
            </w:r>
          </w:p>
        </w:tc>
        <w:tc>
          <w:tcPr>
            <w:tcW w:w="2871" w:type="dxa"/>
            <w:shd w:val="clear" w:color="auto" w:fill="C9C9C9" w:themeFill="accent3" w:themeFillTint="99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0.69 (0.50-0.96), p=0.043</w:t>
            </w:r>
          </w:p>
        </w:tc>
      </w:tr>
      <w:tr w:rsidR="000D5E4A" w:rsidRPr="0033683E" w:rsidTr="00DA3DF2">
        <w:trPr>
          <w:trHeight w:val="268"/>
        </w:trPr>
        <w:tc>
          <w:tcPr>
            <w:tcW w:w="1838" w:type="dxa"/>
            <w:vAlign w:val="center"/>
          </w:tcPr>
          <w:p w:rsidR="000D5E4A" w:rsidRPr="009078B6" w:rsidRDefault="000D5E4A" w:rsidP="00DA3DF2">
            <w:pPr>
              <w:jc w:val="right"/>
              <w:rPr>
                <w:color w:val="000000"/>
                <w:lang w:val="en-GB"/>
              </w:rPr>
            </w:pPr>
            <w:r w:rsidRPr="009078B6">
              <w:rPr>
                <w:color w:val="000000"/>
                <w:lang w:val="en-GB"/>
              </w:rPr>
              <w:t>Insulin</w:t>
            </w:r>
          </w:p>
        </w:tc>
        <w:tc>
          <w:tcPr>
            <w:tcW w:w="2466" w:type="dxa"/>
          </w:tcPr>
          <w:p w:rsidR="000D5E4A" w:rsidRPr="0033683E" w:rsidRDefault="000D5E4A" w:rsidP="00DA3DF2">
            <w:pPr>
              <w:jc w:val="center"/>
              <w:rPr>
                <w:sz w:val="18"/>
                <w:lang w:val="en-GB"/>
              </w:rPr>
            </w:pPr>
            <w:r w:rsidRPr="0033683E">
              <w:rPr>
                <w:sz w:val="18"/>
                <w:lang w:val="en-GB"/>
              </w:rPr>
              <w:t>1.56 (1.21-2.03), p=0.0007</w:t>
            </w:r>
          </w:p>
        </w:tc>
        <w:tc>
          <w:tcPr>
            <w:tcW w:w="2718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1.03 (0.86-1.24), p=0.73</w:t>
            </w:r>
          </w:p>
        </w:tc>
        <w:tc>
          <w:tcPr>
            <w:tcW w:w="2871" w:type="dxa"/>
          </w:tcPr>
          <w:p w:rsidR="000D5E4A" w:rsidRPr="0033683E" w:rsidRDefault="000D5E4A" w:rsidP="00DA3DF2">
            <w:pPr>
              <w:jc w:val="center"/>
              <w:rPr>
                <w:color w:val="000000"/>
                <w:lang w:val="en-GB"/>
              </w:rPr>
            </w:pPr>
            <w:r w:rsidRPr="0033683E">
              <w:rPr>
                <w:sz w:val="18"/>
                <w:lang w:val="en-GB"/>
              </w:rPr>
              <w:t>2.05 (1.79-2.35), p&lt;0.001</w:t>
            </w:r>
          </w:p>
        </w:tc>
      </w:tr>
    </w:tbl>
    <w:p w:rsidR="000D5E4A" w:rsidRPr="009078B6" w:rsidRDefault="000D5E4A" w:rsidP="000D5E4A">
      <w:pPr>
        <w:jc w:val="both"/>
        <w:rPr>
          <w:lang w:val="en-GB"/>
        </w:rPr>
      </w:pPr>
    </w:p>
    <w:p w:rsidR="009744D0" w:rsidRPr="00C000A9" w:rsidRDefault="009744D0" w:rsidP="000D5E4A">
      <w:pPr>
        <w:jc w:val="both"/>
        <w:rPr>
          <w:lang w:val="en-GB"/>
        </w:rPr>
      </w:pPr>
    </w:p>
    <w:p w:rsidR="006C1404" w:rsidRDefault="006C1404"/>
    <w:sectPr w:rsidR="006C1404" w:rsidSect="009C6C3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4F" w:rsidRDefault="005D554F">
      <w:pPr>
        <w:spacing w:after="0" w:line="240" w:lineRule="auto"/>
      </w:pPr>
      <w:r>
        <w:separator/>
      </w:r>
    </w:p>
  </w:endnote>
  <w:endnote w:type="continuationSeparator" w:id="0">
    <w:p w:rsidR="005D554F" w:rsidRDefault="005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63503"/>
      <w:docPartObj>
        <w:docPartGallery w:val="Page Numbers (Bottom of Page)"/>
        <w:docPartUnique/>
      </w:docPartObj>
    </w:sdtPr>
    <w:sdtContent>
      <w:p w:rsidR="00EE7556" w:rsidRDefault="00011C53">
        <w:pPr>
          <w:pStyle w:val="Footer"/>
          <w:jc w:val="right"/>
        </w:pPr>
        <w:r>
          <w:fldChar w:fldCharType="begin"/>
        </w:r>
        <w:r w:rsidR="009744D0">
          <w:instrText>PAGE   \* MERGEFORMAT</w:instrText>
        </w:r>
        <w:r>
          <w:fldChar w:fldCharType="separate"/>
        </w:r>
        <w:r w:rsidR="00453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556" w:rsidRDefault="00453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4F" w:rsidRDefault="005D554F">
      <w:pPr>
        <w:spacing w:after="0" w:line="240" w:lineRule="auto"/>
      </w:pPr>
      <w:r>
        <w:separator/>
      </w:r>
    </w:p>
  </w:footnote>
  <w:footnote w:type="continuationSeparator" w:id="0">
    <w:p w:rsidR="005D554F" w:rsidRDefault="005D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D0"/>
    <w:rsid w:val="00011C53"/>
    <w:rsid w:val="00036514"/>
    <w:rsid w:val="000B1FCA"/>
    <w:rsid w:val="000D5E4A"/>
    <w:rsid w:val="001C0DDD"/>
    <w:rsid w:val="0026622F"/>
    <w:rsid w:val="0045383D"/>
    <w:rsid w:val="005D554F"/>
    <w:rsid w:val="006C1404"/>
    <w:rsid w:val="00711F7E"/>
    <w:rsid w:val="009744D0"/>
    <w:rsid w:val="009C6C32"/>
    <w:rsid w:val="00D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D0"/>
    <w:pPr>
      <w:spacing w:line="36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D0"/>
    <w:rPr>
      <w:rFonts w:ascii="Times New Roman" w:hAnsi="Times New Roman"/>
      <w:sz w:val="20"/>
    </w:rPr>
  </w:style>
  <w:style w:type="table" w:styleId="TableGrid">
    <w:name w:val="Table Grid"/>
    <w:basedOn w:val="TableNormal"/>
    <w:rsid w:val="009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7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744D0"/>
  </w:style>
  <w:style w:type="paragraph" w:styleId="Header">
    <w:name w:val="header"/>
    <w:basedOn w:val="Normal"/>
    <w:link w:val="HeaderChar"/>
    <w:uiPriority w:val="99"/>
    <w:semiHidden/>
    <w:unhideWhenUsed/>
    <w:rsid w:val="0045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3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Lund Kristensen</dc:creator>
  <cp:keywords/>
  <dc:description/>
  <cp:lastModifiedBy>CS0221</cp:lastModifiedBy>
  <cp:revision>10</cp:revision>
  <dcterms:created xsi:type="dcterms:W3CDTF">2020-06-09T23:37:00Z</dcterms:created>
  <dcterms:modified xsi:type="dcterms:W3CDTF">2020-07-03T05:26:00Z</dcterms:modified>
</cp:coreProperties>
</file>