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5A54" w14:textId="5A4594A8" w:rsidR="00E72B60" w:rsidRDefault="00E72B60"/>
    <w:p w14:paraId="381E345D" w14:textId="76FEEC89" w:rsidR="003501E4" w:rsidRPr="007F4FB9" w:rsidRDefault="00ED5AC0" w:rsidP="003501E4">
      <w:pPr>
        <w:pStyle w:val="Caption"/>
        <w:keepNext/>
        <w:spacing w:after="0"/>
        <w:rPr>
          <w:rFonts w:ascii="Arial" w:hAnsi="Arial" w:cs="Arial"/>
          <w:b/>
          <w:i w:val="0"/>
          <w:color w:val="000000" w:themeColor="text1"/>
          <w:sz w:val="20"/>
          <w:szCs w:val="20"/>
        </w:rPr>
      </w:pPr>
      <w:r>
        <w:rPr>
          <w:rFonts w:ascii="Arial" w:hAnsi="Arial" w:cs="Arial"/>
          <w:b/>
          <w:i w:val="0"/>
          <w:color w:val="000000" w:themeColor="text1"/>
          <w:sz w:val="20"/>
          <w:szCs w:val="20"/>
        </w:rPr>
        <w:t xml:space="preserve">Additional file </w:t>
      </w:r>
      <w:r w:rsidR="00F012E3">
        <w:rPr>
          <w:rFonts w:ascii="Arial" w:hAnsi="Arial" w:cs="Arial"/>
          <w:b/>
          <w:i w:val="0"/>
          <w:color w:val="000000" w:themeColor="text1"/>
          <w:sz w:val="20"/>
          <w:szCs w:val="20"/>
        </w:rPr>
        <w:t>9</w:t>
      </w:r>
      <w:r w:rsidR="003501E4" w:rsidRPr="007F4FB9">
        <w:rPr>
          <w:rFonts w:ascii="Arial" w:hAnsi="Arial" w:cs="Arial"/>
          <w:b/>
          <w:i w:val="0"/>
          <w:color w:val="000000" w:themeColor="text1"/>
          <w:sz w:val="20"/>
          <w:szCs w:val="20"/>
        </w:rPr>
        <w:t xml:space="preserve">. Summary of barriers </w:t>
      </w:r>
      <w:r w:rsidR="003501E4">
        <w:rPr>
          <w:rFonts w:ascii="Arial" w:hAnsi="Arial" w:cs="Arial"/>
          <w:b/>
          <w:i w:val="0"/>
          <w:color w:val="000000" w:themeColor="text1"/>
          <w:sz w:val="20"/>
          <w:szCs w:val="20"/>
        </w:rPr>
        <w:t xml:space="preserve">to </w:t>
      </w:r>
      <w:r w:rsidR="003501E4" w:rsidRPr="007F4FB9">
        <w:rPr>
          <w:rFonts w:ascii="Arial" w:hAnsi="Arial" w:cs="Arial"/>
          <w:b/>
          <w:i w:val="0"/>
          <w:color w:val="000000" w:themeColor="text1"/>
          <w:sz w:val="20"/>
          <w:szCs w:val="20"/>
        </w:rPr>
        <w:t>and facilitators of CAUTI-related behaviours</w:t>
      </w:r>
    </w:p>
    <w:tbl>
      <w:tblPr>
        <w:tblStyle w:val="TableGrid"/>
        <w:tblW w:w="13989" w:type="dxa"/>
        <w:tblLook w:val="04A0" w:firstRow="1" w:lastRow="0" w:firstColumn="1" w:lastColumn="0" w:noHBand="0" w:noVBand="1"/>
      </w:tblPr>
      <w:tblGrid>
        <w:gridCol w:w="2549"/>
        <w:gridCol w:w="3241"/>
        <w:gridCol w:w="1134"/>
        <w:gridCol w:w="1276"/>
        <w:gridCol w:w="2001"/>
        <w:gridCol w:w="3788"/>
      </w:tblGrid>
      <w:tr w:rsidR="003501E4" w:rsidRPr="007F4FB9" w14:paraId="1F608A1F" w14:textId="77777777" w:rsidTr="00F34E78">
        <w:trPr>
          <w:tblHeader/>
        </w:trPr>
        <w:tc>
          <w:tcPr>
            <w:tcW w:w="0" w:type="auto"/>
            <w:shd w:val="clear" w:color="auto" w:fill="D9D9D9" w:themeFill="background1" w:themeFillShade="D9"/>
          </w:tcPr>
          <w:p w14:paraId="79CBA24F"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 xml:space="preserve">COM-B </w:t>
            </w:r>
          </w:p>
        </w:tc>
        <w:tc>
          <w:tcPr>
            <w:tcW w:w="3241" w:type="dxa"/>
            <w:shd w:val="clear" w:color="auto" w:fill="D9D9D9" w:themeFill="background1" w:themeFillShade="D9"/>
          </w:tcPr>
          <w:p w14:paraId="141E9854"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Theme</w:t>
            </w:r>
          </w:p>
        </w:tc>
        <w:tc>
          <w:tcPr>
            <w:tcW w:w="1134" w:type="dxa"/>
            <w:shd w:val="clear" w:color="auto" w:fill="D9D9D9" w:themeFill="background1" w:themeFillShade="D9"/>
          </w:tcPr>
          <w:p w14:paraId="74C68A15"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Frequency</w:t>
            </w:r>
          </w:p>
          <w:p w14:paraId="7FAC30F9"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(n= 25 studies max)</w:t>
            </w:r>
          </w:p>
        </w:tc>
        <w:tc>
          <w:tcPr>
            <w:tcW w:w="1276" w:type="dxa"/>
            <w:shd w:val="clear" w:color="auto" w:fill="D9D9D9" w:themeFill="background1" w:themeFillShade="D9"/>
          </w:tcPr>
          <w:p w14:paraId="0BDFCFA6"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Barrier/ facilitator/ Mixed</w:t>
            </w:r>
          </w:p>
          <w:p w14:paraId="242DCB47" w14:textId="77777777" w:rsidR="003501E4" w:rsidRPr="007F4FB9" w:rsidRDefault="003501E4" w:rsidP="00F34E78">
            <w:pPr>
              <w:spacing w:line="240" w:lineRule="auto"/>
              <w:rPr>
                <w:rFonts w:ascii="Arial" w:hAnsi="Arial" w:cs="Arial"/>
                <w:b/>
                <w:color w:val="000000" w:themeColor="text1"/>
                <w:sz w:val="16"/>
                <w:szCs w:val="16"/>
              </w:rPr>
            </w:pPr>
          </w:p>
        </w:tc>
        <w:tc>
          <w:tcPr>
            <w:tcW w:w="2001" w:type="dxa"/>
            <w:shd w:val="clear" w:color="auto" w:fill="D9D9D9" w:themeFill="background1" w:themeFillShade="D9"/>
          </w:tcPr>
          <w:p w14:paraId="0BDC3092"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Behavioural phase</w:t>
            </w:r>
          </w:p>
        </w:tc>
        <w:tc>
          <w:tcPr>
            <w:tcW w:w="3788" w:type="dxa"/>
            <w:shd w:val="clear" w:color="auto" w:fill="D9D9D9" w:themeFill="background1" w:themeFillShade="D9"/>
          </w:tcPr>
          <w:p w14:paraId="19401959"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Example quote(s)</w:t>
            </w:r>
          </w:p>
          <w:p w14:paraId="4B1929AC" w14:textId="77777777" w:rsidR="003501E4" w:rsidRPr="007F4FB9" w:rsidRDefault="003501E4" w:rsidP="00F34E78">
            <w:pPr>
              <w:spacing w:line="240" w:lineRule="auto"/>
              <w:rPr>
                <w:rFonts w:ascii="Arial" w:hAnsi="Arial" w:cs="Arial"/>
                <w:b/>
                <w:color w:val="000000" w:themeColor="text1"/>
                <w:sz w:val="16"/>
                <w:szCs w:val="16"/>
              </w:rPr>
            </w:pPr>
            <w:r w:rsidRPr="007F4FB9">
              <w:rPr>
                <w:rFonts w:ascii="Arial" w:hAnsi="Arial" w:cs="Arial"/>
                <w:b/>
                <w:color w:val="000000" w:themeColor="text1"/>
                <w:sz w:val="16"/>
                <w:szCs w:val="16"/>
              </w:rPr>
              <w:t>[Setting; Study ID]</w:t>
            </w:r>
          </w:p>
        </w:tc>
      </w:tr>
      <w:tr w:rsidR="003501E4" w:rsidRPr="007F4FB9" w14:paraId="75B5BB32" w14:textId="77777777" w:rsidTr="00F34E78">
        <w:tc>
          <w:tcPr>
            <w:tcW w:w="0" w:type="auto"/>
            <w:vMerge w:val="restart"/>
          </w:tcPr>
          <w:p w14:paraId="559F8A8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CAPABILITY (PSYCHOLOGICAL)</w:t>
            </w:r>
          </w:p>
        </w:tc>
        <w:tc>
          <w:tcPr>
            <w:tcW w:w="11440" w:type="dxa"/>
            <w:gridSpan w:val="5"/>
            <w:shd w:val="clear" w:color="auto" w:fill="BFBFBF" w:themeFill="background1" w:themeFillShade="BF"/>
          </w:tcPr>
          <w:p w14:paraId="6492FB0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TDF Domain: Knowledge</w:t>
            </w:r>
          </w:p>
        </w:tc>
      </w:tr>
      <w:tr w:rsidR="003501E4" w:rsidRPr="007F4FB9" w14:paraId="39104626" w14:textId="77777777" w:rsidTr="00F34E78">
        <w:tc>
          <w:tcPr>
            <w:tcW w:w="0" w:type="auto"/>
            <w:vMerge/>
          </w:tcPr>
          <w:p w14:paraId="57DB6413"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169B10E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knowledge of clinical guidelines and local procedural documents</w:t>
            </w:r>
          </w:p>
        </w:tc>
        <w:tc>
          <w:tcPr>
            <w:tcW w:w="1134" w:type="dxa"/>
          </w:tcPr>
          <w:p w14:paraId="55E5671B" w14:textId="77777777" w:rsidR="003501E4" w:rsidRPr="007F4FB9" w:rsidRDefault="003501E4" w:rsidP="00F34E78">
            <w:pPr>
              <w:spacing w:line="240" w:lineRule="auto"/>
              <w:ind w:right="364"/>
              <w:rPr>
                <w:rFonts w:ascii="Arial" w:hAnsi="Arial" w:cs="Arial"/>
                <w:color w:val="000000" w:themeColor="text1"/>
                <w:sz w:val="16"/>
                <w:szCs w:val="16"/>
              </w:rPr>
            </w:pPr>
            <w:r w:rsidRPr="007F4FB9">
              <w:rPr>
                <w:rFonts w:ascii="Arial" w:hAnsi="Arial" w:cs="Arial"/>
                <w:color w:val="000000" w:themeColor="text1"/>
                <w:sz w:val="16"/>
                <w:szCs w:val="16"/>
              </w:rPr>
              <w:t xml:space="preserve">      3</w:t>
            </w:r>
          </w:p>
        </w:tc>
        <w:tc>
          <w:tcPr>
            <w:tcW w:w="1276" w:type="dxa"/>
          </w:tcPr>
          <w:p w14:paraId="5CB15F2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1B9D68E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00CDAC0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‘Nurses lack of knowledge of evidence-based guidelines for: routine catheter maintenance; urinary catheter indications; bladder scanning; and intermittent catheterization.’ [Secondary Care; S2]</w:t>
            </w:r>
          </w:p>
          <w:p w14:paraId="6D4C462D" w14:textId="77777777" w:rsidR="003501E4" w:rsidRPr="007F4FB9" w:rsidRDefault="003501E4" w:rsidP="00F34E78">
            <w:pPr>
              <w:spacing w:line="240" w:lineRule="auto"/>
              <w:rPr>
                <w:rFonts w:ascii="Arial" w:hAnsi="Arial" w:cs="Arial"/>
                <w:color w:val="000000" w:themeColor="text1"/>
                <w:sz w:val="16"/>
                <w:szCs w:val="16"/>
              </w:rPr>
            </w:pPr>
          </w:p>
          <w:p w14:paraId="222D25CF"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rPr>
              <w:t>‘</w:t>
            </w:r>
            <w:r w:rsidRPr="007F4FB9">
              <w:rPr>
                <w:rFonts w:ascii="Arial" w:hAnsi="Arial" w:cs="Arial"/>
                <w:color w:val="000000" w:themeColor="text1"/>
                <w:sz w:val="16"/>
                <w:szCs w:val="16"/>
                <w:lang w:val="en-US"/>
              </w:rPr>
              <w:t>40% of the Burn ICU nursing staff was not aware of the nurse driven catheter removal protocol that exists within our hospital.’ [Secondary Care; S19]</w:t>
            </w:r>
          </w:p>
        </w:tc>
      </w:tr>
      <w:tr w:rsidR="003501E4" w:rsidRPr="007F4FB9" w14:paraId="7E29FB08" w14:textId="77777777" w:rsidTr="00F34E78">
        <w:tc>
          <w:tcPr>
            <w:tcW w:w="0" w:type="auto"/>
            <w:vMerge/>
          </w:tcPr>
          <w:p w14:paraId="405FF260"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3BE22D2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Lack of information regarding placement and duration of catheter insertion </w:t>
            </w:r>
          </w:p>
        </w:tc>
        <w:tc>
          <w:tcPr>
            <w:tcW w:w="1134" w:type="dxa"/>
          </w:tcPr>
          <w:p w14:paraId="6EEB410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522AA02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484EE6B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Insertion, post-insertion maintenance </w:t>
            </w:r>
          </w:p>
        </w:tc>
        <w:tc>
          <w:tcPr>
            <w:tcW w:w="3788" w:type="dxa"/>
          </w:tcPr>
          <w:p w14:paraId="15F4C4B5"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rPr>
              <w:t>‘</w:t>
            </w:r>
            <w:r w:rsidRPr="007F4FB9">
              <w:rPr>
                <w:rFonts w:ascii="Arial" w:hAnsi="Arial" w:cs="Arial"/>
                <w:color w:val="000000" w:themeColor="text1"/>
                <w:sz w:val="16"/>
                <w:szCs w:val="16"/>
                <w:lang w:val="en-US"/>
              </w:rPr>
              <w:t>Physicians are often unaware that urinary catheterization</w:t>
            </w:r>
          </w:p>
          <w:p w14:paraId="6A2B1444"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lang w:val="en-US"/>
              </w:rPr>
              <w:t>has been excessively prolonged in their patients’ [Secondary Care; S11]</w:t>
            </w:r>
          </w:p>
          <w:p w14:paraId="11B55D9B" w14:textId="77777777" w:rsidR="003501E4" w:rsidRPr="007F4FB9" w:rsidRDefault="003501E4" w:rsidP="00F34E78">
            <w:pPr>
              <w:spacing w:line="240" w:lineRule="auto"/>
              <w:rPr>
                <w:rFonts w:ascii="Arial" w:hAnsi="Arial" w:cs="Arial"/>
                <w:color w:val="000000" w:themeColor="text1"/>
                <w:sz w:val="16"/>
                <w:szCs w:val="16"/>
                <w:lang w:val="en-US"/>
              </w:rPr>
            </w:pPr>
          </w:p>
          <w:p w14:paraId="75D4C22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lang w:val="en-US"/>
              </w:rPr>
              <w:t>‘</w:t>
            </w:r>
            <w:r w:rsidRPr="007F4FB9">
              <w:rPr>
                <w:rFonts w:ascii="Arial" w:hAnsi="Arial" w:cs="Arial"/>
                <w:color w:val="000000" w:themeColor="text1"/>
                <w:sz w:val="16"/>
                <w:szCs w:val="16"/>
              </w:rPr>
              <w:t>physicians were often not aware that patients had an indwelling catheter’ [Tertiary Care; T1]</w:t>
            </w:r>
          </w:p>
        </w:tc>
      </w:tr>
      <w:tr w:rsidR="003501E4" w:rsidRPr="007F4FB9" w14:paraId="119B6F16" w14:textId="77777777" w:rsidTr="00F34E78">
        <w:tc>
          <w:tcPr>
            <w:tcW w:w="0" w:type="auto"/>
            <w:vMerge/>
          </w:tcPr>
          <w:p w14:paraId="2B905539"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B22342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awareness of the risks associated with use of urinary catheters</w:t>
            </w:r>
          </w:p>
        </w:tc>
        <w:tc>
          <w:tcPr>
            <w:tcW w:w="1134" w:type="dxa"/>
          </w:tcPr>
          <w:p w14:paraId="4A37FB8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60B98D2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Barrier </w:t>
            </w:r>
          </w:p>
        </w:tc>
        <w:tc>
          <w:tcPr>
            <w:tcW w:w="2001" w:type="dxa"/>
          </w:tcPr>
          <w:p w14:paraId="4969484B"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lang w:val="en-US"/>
              </w:rPr>
              <w:t>All</w:t>
            </w:r>
          </w:p>
        </w:tc>
        <w:tc>
          <w:tcPr>
            <w:tcW w:w="3788" w:type="dxa"/>
          </w:tcPr>
          <w:p w14:paraId="67073C63"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lang w:val="en-US"/>
              </w:rPr>
              <w:t>“… so, it’s just making them [nurses] understand that</w:t>
            </w:r>
          </w:p>
          <w:p w14:paraId="1BA4855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lang w:val="en-US"/>
              </w:rPr>
              <w:t>there is a relationship between bladder infections and urinary tract infections and [urinary] catheter days…” [Secondary Care; S1]</w:t>
            </w:r>
          </w:p>
        </w:tc>
      </w:tr>
      <w:tr w:rsidR="003501E4" w:rsidRPr="007F4FB9" w14:paraId="0B67DB1D" w14:textId="77777777" w:rsidTr="00F34E78">
        <w:tc>
          <w:tcPr>
            <w:tcW w:w="0" w:type="auto"/>
            <w:vMerge/>
          </w:tcPr>
          <w:p w14:paraId="13015FBC"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36C2606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knowledge of how to manage patients without catheterisation</w:t>
            </w:r>
          </w:p>
        </w:tc>
        <w:tc>
          <w:tcPr>
            <w:tcW w:w="1134" w:type="dxa"/>
          </w:tcPr>
          <w:p w14:paraId="59F81BB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1E4D0BD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0CCBD2F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p w14:paraId="0269B08B" w14:textId="77777777" w:rsidR="003501E4" w:rsidRPr="007F4FB9" w:rsidRDefault="003501E4" w:rsidP="00F34E78">
            <w:pPr>
              <w:spacing w:line="240" w:lineRule="auto"/>
              <w:rPr>
                <w:rFonts w:ascii="Arial" w:hAnsi="Arial" w:cs="Arial"/>
                <w:color w:val="000000" w:themeColor="text1"/>
                <w:sz w:val="16"/>
                <w:szCs w:val="16"/>
              </w:rPr>
            </w:pPr>
          </w:p>
        </w:tc>
        <w:tc>
          <w:tcPr>
            <w:tcW w:w="3788" w:type="dxa"/>
          </w:tcPr>
          <w:p w14:paraId="2BA6714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‘Not knowing how to manage critically ill patients in ICU without using indwelling urinary catheter.’ [Secondary Care; S15]</w:t>
            </w:r>
          </w:p>
          <w:p w14:paraId="2B5588A5" w14:textId="77777777" w:rsidR="003501E4" w:rsidRPr="007F4FB9" w:rsidRDefault="003501E4" w:rsidP="00F34E78">
            <w:pPr>
              <w:spacing w:line="240" w:lineRule="auto"/>
              <w:rPr>
                <w:rFonts w:ascii="Arial" w:hAnsi="Arial" w:cs="Arial"/>
                <w:color w:val="000000" w:themeColor="text1"/>
                <w:sz w:val="16"/>
                <w:szCs w:val="16"/>
              </w:rPr>
            </w:pPr>
          </w:p>
        </w:tc>
      </w:tr>
      <w:tr w:rsidR="003501E4" w:rsidRPr="007F4FB9" w14:paraId="14B08899" w14:textId="77777777" w:rsidTr="00F34E78">
        <w:tc>
          <w:tcPr>
            <w:tcW w:w="0" w:type="auto"/>
            <w:vMerge/>
          </w:tcPr>
          <w:p w14:paraId="2A4DB1B7"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01A78C9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Knowledge of how to manage bacterial infections resulting from urinary catheterisation </w:t>
            </w:r>
          </w:p>
        </w:tc>
        <w:tc>
          <w:tcPr>
            <w:tcW w:w="1134" w:type="dxa"/>
          </w:tcPr>
          <w:p w14:paraId="13C8CE1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1997881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654D057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Post-insertion maintenance</w:t>
            </w:r>
          </w:p>
        </w:tc>
        <w:tc>
          <w:tcPr>
            <w:tcW w:w="3788" w:type="dxa"/>
          </w:tcPr>
          <w:p w14:paraId="56D7179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‘Knowledge of how to manage catheter-associated bacteriuria: “The mean knowledge score was 57.5%, or slightly more than one-half of the questions answered correctly. The mean knowledge score was 57.5%, or slightly more than one-half of the questions answered correctly.”’ [Tertiary Care; T3]</w:t>
            </w:r>
          </w:p>
        </w:tc>
      </w:tr>
      <w:tr w:rsidR="003501E4" w:rsidRPr="007F4FB9" w14:paraId="1C8C176F" w14:textId="77777777" w:rsidTr="00F34E78">
        <w:trPr>
          <w:trHeight w:val="153"/>
        </w:trPr>
        <w:tc>
          <w:tcPr>
            <w:tcW w:w="0" w:type="auto"/>
            <w:vMerge/>
          </w:tcPr>
          <w:p w14:paraId="53750469" w14:textId="77777777" w:rsidR="003501E4" w:rsidRPr="007F4FB9" w:rsidRDefault="003501E4" w:rsidP="00F34E78">
            <w:pPr>
              <w:spacing w:line="240" w:lineRule="auto"/>
              <w:rPr>
                <w:rFonts w:ascii="Arial" w:hAnsi="Arial" w:cs="Arial"/>
                <w:color w:val="000000" w:themeColor="text1"/>
                <w:sz w:val="16"/>
                <w:szCs w:val="16"/>
              </w:rPr>
            </w:pPr>
          </w:p>
        </w:tc>
        <w:tc>
          <w:tcPr>
            <w:tcW w:w="11440" w:type="dxa"/>
            <w:gridSpan w:val="5"/>
            <w:shd w:val="clear" w:color="auto" w:fill="BFBFBF" w:themeFill="background1" w:themeFillShade="BF"/>
          </w:tcPr>
          <w:p w14:paraId="4B371E2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TDF Domain: Memory, attention, decision </w:t>
            </w:r>
            <w:r>
              <w:rPr>
                <w:rFonts w:ascii="Arial" w:hAnsi="Arial" w:cs="Arial"/>
                <w:color w:val="000000" w:themeColor="text1"/>
                <w:sz w:val="16"/>
                <w:szCs w:val="16"/>
              </w:rPr>
              <w:t>processes</w:t>
            </w:r>
          </w:p>
        </w:tc>
      </w:tr>
      <w:tr w:rsidR="003501E4" w:rsidRPr="007F4FB9" w14:paraId="45C09BD2" w14:textId="77777777" w:rsidTr="00F34E78">
        <w:tc>
          <w:tcPr>
            <w:tcW w:w="0" w:type="auto"/>
            <w:vMerge/>
          </w:tcPr>
          <w:p w14:paraId="456BB452"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4FF1941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Pre-emptively deciding to insert a catheter due to likely subsequent catheterisation </w:t>
            </w:r>
          </w:p>
        </w:tc>
        <w:tc>
          <w:tcPr>
            <w:tcW w:w="1134" w:type="dxa"/>
          </w:tcPr>
          <w:p w14:paraId="01CA27B2"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3</w:t>
            </w:r>
          </w:p>
        </w:tc>
        <w:tc>
          <w:tcPr>
            <w:tcW w:w="1276" w:type="dxa"/>
          </w:tcPr>
          <w:p w14:paraId="43619122"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1109AB6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Insertion</w:t>
            </w:r>
          </w:p>
        </w:tc>
        <w:tc>
          <w:tcPr>
            <w:tcW w:w="3788" w:type="dxa"/>
          </w:tcPr>
          <w:p w14:paraId="3B018E6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‘Also, I think at the back of my mind is the likelihood is that they’re going to get catheterised in the near future any way when they hit the wards for a management reason’ [Secondary Care; S17]</w:t>
            </w:r>
          </w:p>
        </w:tc>
      </w:tr>
      <w:tr w:rsidR="003501E4" w:rsidRPr="007F4FB9" w14:paraId="678BED06" w14:textId="77777777" w:rsidTr="00F34E78">
        <w:tc>
          <w:tcPr>
            <w:tcW w:w="0" w:type="auto"/>
            <w:vMerge/>
          </w:tcPr>
          <w:p w14:paraId="0926AD0C"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2BC94C1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Catheterisation decisions based on non-medical criteria</w:t>
            </w:r>
          </w:p>
        </w:tc>
        <w:tc>
          <w:tcPr>
            <w:tcW w:w="1134" w:type="dxa"/>
          </w:tcPr>
          <w:p w14:paraId="6479316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1868F97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0E37E55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tc>
        <w:tc>
          <w:tcPr>
            <w:tcW w:w="3788" w:type="dxa"/>
          </w:tcPr>
          <w:p w14:paraId="1164EAA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‘Nonmedical criteria often determined urinary catheter placement decisions, with catheters being </w:t>
            </w:r>
            <w:r w:rsidRPr="007F4FB9">
              <w:rPr>
                <w:rFonts w:ascii="Arial" w:hAnsi="Arial" w:cs="Arial"/>
                <w:color w:val="000000" w:themeColor="text1"/>
                <w:sz w:val="16"/>
                <w:szCs w:val="16"/>
              </w:rPr>
              <w:lastRenderedPageBreak/>
              <w:t>used to manage patients with incontinence’ [Secondary Care; S6]</w:t>
            </w:r>
          </w:p>
        </w:tc>
      </w:tr>
      <w:tr w:rsidR="003501E4" w:rsidRPr="007F4FB9" w14:paraId="36DCF888" w14:textId="77777777" w:rsidTr="00F34E78">
        <w:tc>
          <w:tcPr>
            <w:tcW w:w="0" w:type="auto"/>
            <w:vMerge/>
          </w:tcPr>
          <w:p w14:paraId="7E10FAE2"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6C75AC08"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Patient symptoms prompt investigation and treatment of possible CAUTI</w:t>
            </w:r>
          </w:p>
        </w:tc>
        <w:tc>
          <w:tcPr>
            <w:tcW w:w="1134" w:type="dxa"/>
          </w:tcPr>
          <w:p w14:paraId="7955998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63EFBC2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7F12754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Post-insertion maintenance</w:t>
            </w:r>
          </w:p>
        </w:tc>
        <w:tc>
          <w:tcPr>
            <w:tcW w:w="3788" w:type="dxa"/>
          </w:tcPr>
          <w:p w14:paraId="022A968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‘I usually order a urine culture on catheterized patients when there is a change in urine colour, cloudiness, or odour.’ [Tertiary care; T3]</w:t>
            </w:r>
          </w:p>
        </w:tc>
      </w:tr>
      <w:tr w:rsidR="003501E4" w:rsidRPr="007F4FB9" w14:paraId="328BFC47" w14:textId="77777777" w:rsidTr="00F34E78">
        <w:tc>
          <w:tcPr>
            <w:tcW w:w="0" w:type="auto"/>
            <w:vMerge/>
          </w:tcPr>
          <w:p w14:paraId="56374430"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213FBA8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Absence of standardised CAUTI diagnostic criteria to help decision-making</w:t>
            </w:r>
          </w:p>
        </w:tc>
        <w:tc>
          <w:tcPr>
            <w:tcW w:w="1134" w:type="dxa"/>
          </w:tcPr>
          <w:p w14:paraId="24E4C09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76BE178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7598B33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Post-insertion maintenance</w:t>
            </w:r>
          </w:p>
          <w:p w14:paraId="7E20087D" w14:textId="77777777" w:rsidR="003501E4" w:rsidRPr="007F4FB9" w:rsidRDefault="003501E4" w:rsidP="00F34E78">
            <w:pPr>
              <w:spacing w:line="240" w:lineRule="auto"/>
              <w:rPr>
                <w:rFonts w:ascii="Arial" w:hAnsi="Arial" w:cs="Arial"/>
                <w:color w:val="000000" w:themeColor="text1"/>
                <w:sz w:val="16"/>
                <w:szCs w:val="16"/>
              </w:rPr>
            </w:pPr>
          </w:p>
        </w:tc>
        <w:tc>
          <w:tcPr>
            <w:tcW w:w="3788" w:type="dxa"/>
          </w:tcPr>
          <w:p w14:paraId="2DF2969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clear, standardised criteria used to define CAUTI, to distinguish between symptomatic and asymptomatic CAUTI and to report outcomes’ [Primary Care; p1]</w:t>
            </w:r>
          </w:p>
          <w:p w14:paraId="4E876649" w14:textId="77777777" w:rsidR="003501E4" w:rsidRPr="007F4FB9" w:rsidRDefault="003501E4" w:rsidP="00F34E78">
            <w:pPr>
              <w:spacing w:line="240" w:lineRule="auto"/>
              <w:rPr>
                <w:rFonts w:ascii="Arial" w:hAnsi="Arial" w:cs="Arial"/>
                <w:color w:val="000000" w:themeColor="text1"/>
                <w:sz w:val="16"/>
                <w:szCs w:val="16"/>
              </w:rPr>
            </w:pPr>
          </w:p>
          <w:p w14:paraId="3B6BD30A" w14:textId="77777777" w:rsidR="003501E4" w:rsidRPr="007F4FB9" w:rsidRDefault="003501E4" w:rsidP="00F34E78">
            <w:pPr>
              <w:spacing w:line="240" w:lineRule="auto"/>
              <w:rPr>
                <w:rFonts w:ascii="Arial" w:hAnsi="Arial" w:cs="Arial"/>
                <w:color w:val="000000" w:themeColor="text1"/>
                <w:sz w:val="16"/>
                <w:szCs w:val="16"/>
              </w:rPr>
            </w:pPr>
          </w:p>
        </w:tc>
      </w:tr>
      <w:tr w:rsidR="003501E4" w:rsidRPr="007F4FB9" w14:paraId="65A3BAA3" w14:textId="77777777" w:rsidTr="00F34E78">
        <w:tc>
          <w:tcPr>
            <w:tcW w:w="0" w:type="auto"/>
            <w:vMerge/>
          </w:tcPr>
          <w:p w14:paraId="3F59FADF"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79FA16F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Reminders and prompts</w:t>
            </w:r>
          </w:p>
        </w:tc>
        <w:tc>
          <w:tcPr>
            <w:tcW w:w="1134" w:type="dxa"/>
          </w:tcPr>
          <w:p w14:paraId="0A513A9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694243D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2E309E4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Removal</w:t>
            </w:r>
          </w:p>
        </w:tc>
        <w:tc>
          <w:tcPr>
            <w:tcW w:w="3788" w:type="dxa"/>
          </w:tcPr>
          <w:p w14:paraId="1A345B6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‘Hospital epidemiologist in post was significantly and positively associated with: </w:t>
            </w:r>
            <w:proofErr w:type="spellStart"/>
            <w:r w:rsidRPr="007F4FB9">
              <w:rPr>
                <w:rFonts w:ascii="Arial" w:hAnsi="Arial" w:cs="Arial"/>
                <w:color w:val="000000" w:themeColor="text1"/>
                <w:sz w:val="16"/>
                <w:szCs w:val="16"/>
              </w:rPr>
              <w:t>i</w:t>
            </w:r>
            <w:proofErr w:type="spellEnd"/>
            <w:r w:rsidRPr="007F4FB9">
              <w:rPr>
                <w:rFonts w:ascii="Arial" w:hAnsi="Arial" w:cs="Arial"/>
                <w:color w:val="000000" w:themeColor="text1"/>
                <w:sz w:val="16"/>
                <w:szCs w:val="16"/>
              </w:rPr>
              <w:t>) Urinary catheter reminder or stop-order/nurse- initiated catheter discontinuation’ [Secondary Care; S4]</w:t>
            </w:r>
          </w:p>
        </w:tc>
      </w:tr>
      <w:tr w:rsidR="003501E4" w:rsidRPr="007F4FB9" w14:paraId="301EDF1F" w14:textId="77777777" w:rsidTr="00F34E78">
        <w:tc>
          <w:tcPr>
            <w:tcW w:w="0" w:type="auto"/>
            <w:vMerge w:val="restart"/>
          </w:tcPr>
          <w:p w14:paraId="553BE3D8"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CAPABILITY (PSYCHOLOGICAL)</w:t>
            </w:r>
          </w:p>
        </w:tc>
        <w:tc>
          <w:tcPr>
            <w:tcW w:w="11440" w:type="dxa"/>
            <w:gridSpan w:val="5"/>
            <w:shd w:val="clear" w:color="auto" w:fill="BFBFBF" w:themeFill="background1" w:themeFillShade="BF"/>
          </w:tcPr>
          <w:p w14:paraId="75A0AD22"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TDF Domain: Behavioural regulation </w:t>
            </w:r>
          </w:p>
        </w:tc>
      </w:tr>
      <w:tr w:rsidR="003501E4" w:rsidRPr="007F4FB9" w14:paraId="299C1F38" w14:textId="77777777" w:rsidTr="00F34E78">
        <w:tc>
          <w:tcPr>
            <w:tcW w:w="0" w:type="auto"/>
            <w:vMerge/>
          </w:tcPr>
          <w:p w14:paraId="2B628626"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7DC12A2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Audit and feedback on CAUTI metrics</w:t>
            </w:r>
          </w:p>
        </w:tc>
        <w:tc>
          <w:tcPr>
            <w:tcW w:w="1134" w:type="dxa"/>
          </w:tcPr>
          <w:p w14:paraId="767A3B6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4A450122"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544949C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1AA0E5C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‘One hospital even made it a point to collect urinary tract infection (UTI) data on patients seven days post discharge to use as evidence for their staff that urinary catheters (and hence their actions related to the use of urinary catheters) do cause infections’ [Secondary Care; S1]</w:t>
            </w:r>
          </w:p>
        </w:tc>
      </w:tr>
      <w:tr w:rsidR="003501E4" w:rsidRPr="007F4FB9" w14:paraId="7BF8955E" w14:textId="77777777" w:rsidTr="00F34E78">
        <w:tc>
          <w:tcPr>
            <w:tcW w:w="0" w:type="auto"/>
            <w:vMerge/>
          </w:tcPr>
          <w:p w14:paraId="656680F5"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286E1A2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Inconsistent monitoring of compliance with guidelines</w:t>
            </w:r>
          </w:p>
        </w:tc>
        <w:tc>
          <w:tcPr>
            <w:tcW w:w="1134" w:type="dxa"/>
          </w:tcPr>
          <w:p w14:paraId="22ED701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09F288E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387B28F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67DF48C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‘Inconsistent monitoring of compliance with evidence-based guidelines.’ [Secondary Care; S2]</w:t>
            </w:r>
          </w:p>
        </w:tc>
      </w:tr>
      <w:tr w:rsidR="003501E4" w:rsidRPr="007F4FB9" w14:paraId="0993CB13" w14:textId="77777777" w:rsidTr="00F34E78">
        <w:tc>
          <w:tcPr>
            <w:tcW w:w="0" w:type="auto"/>
            <w:vMerge w:val="restart"/>
          </w:tcPr>
          <w:p w14:paraId="0A87407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CAPABILITY (PHYSICAL)</w:t>
            </w:r>
          </w:p>
        </w:tc>
        <w:tc>
          <w:tcPr>
            <w:tcW w:w="11440" w:type="dxa"/>
            <w:gridSpan w:val="5"/>
            <w:shd w:val="clear" w:color="auto" w:fill="BFBFBF" w:themeFill="background1" w:themeFillShade="BF"/>
          </w:tcPr>
          <w:p w14:paraId="01C1F9A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TDF Domain: Skills</w:t>
            </w:r>
          </w:p>
        </w:tc>
      </w:tr>
      <w:tr w:rsidR="003501E4" w:rsidRPr="007F4FB9" w14:paraId="0F07F54B" w14:textId="77777777" w:rsidTr="00F34E78">
        <w:tc>
          <w:tcPr>
            <w:tcW w:w="0" w:type="auto"/>
            <w:vMerge/>
          </w:tcPr>
          <w:p w14:paraId="05E242FE"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430BF6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Poor urinary catheter insertion technique</w:t>
            </w:r>
          </w:p>
        </w:tc>
        <w:tc>
          <w:tcPr>
            <w:tcW w:w="1134" w:type="dxa"/>
          </w:tcPr>
          <w:p w14:paraId="6D2B219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2AB494F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6CC4A6E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Insertion</w:t>
            </w:r>
          </w:p>
        </w:tc>
        <w:tc>
          <w:tcPr>
            <w:tcW w:w="3788" w:type="dxa"/>
          </w:tcPr>
          <w:p w14:paraId="4F446C9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‘Urinary catheters were being inserted by nursing staff that did not demonstrate proper insertion technique and by medical students and residents who were untrained in catheter placement’ [Secondary Care; S6]</w:t>
            </w:r>
          </w:p>
        </w:tc>
      </w:tr>
      <w:tr w:rsidR="003501E4" w:rsidRPr="007F4FB9" w14:paraId="1443FB3E" w14:textId="77777777" w:rsidTr="00F34E78">
        <w:tc>
          <w:tcPr>
            <w:tcW w:w="0" w:type="auto"/>
            <w:vMerge w:val="restart"/>
          </w:tcPr>
          <w:p w14:paraId="3F59F67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OPPORTUNITY (PHYSICAL)</w:t>
            </w:r>
          </w:p>
        </w:tc>
        <w:tc>
          <w:tcPr>
            <w:tcW w:w="11440" w:type="dxa"/>
            <w:gridSpan w:val="5"/>
            <w:shd w:val="clear" w:color="auto" w:fill="BFBFBF" w:themeFill="background1" w:themeFillShade="BF"/>
          </w:tcPr>
          <w:p w14:paraId="79502FB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TDF Domain: Environmental context and resources</w:t>
            </w:r>
          </w:p>
        </w:tc>
      </w:tr>
      <w:tr w:rsidR="003501E4" w:rsidRPr="007F4FB9" w14:paraId="292E19BE" w14:textId="77777777" w:rsidTr="00F34E78">
        <w:tc>
          <w:tcPr>
            <w:tcW w:w="0" w:type="auto"/>
            <w:vMerge/>
          </w:tcPr>
          <w:p w14:paraId="0F0A38FE"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163915F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Limited and inconsistent documentation and records </w:t>
            </w:r>
          </w:p>
        </w:tc>
        <w:tc>
          <w:tcPr>
            <w:tcW w:w="1134" w:type="dxa"/>
          </w:tcPr>
          <w:p w14:paraId="270D1062"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6</w:t>
            </w:r>
          </w:p>
        </w:tc>
        <w:tc>
          <w:tcPr>
            <w:tcW w:w="1276" w:type="dxa"/>
          </w:tcPr>
          <w:p w14:paraId="3B3A3D0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4444A6B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18BD6F0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medical documentation for use of urinary catheters was significantly associated with inappropriate catheter use’ [Secondary Care; S8]</w:t>
            </w:r>
          </w:p>
          <w:p w14:paraId="365985F6" w14:textId="77777777" w:rsidR="003501E4" w:rsidRPr="007F4FB9" w:rsidRDefault="003501E4" w:rsidP="00F34E78">
            <w:pPr>
              <w:spacing w:line="240" w:lineRule="auto"/>
              <w:rPr>
                <w:rFonts w:ascii="Arial" w:hAnsi="Arial" w:cs="Arial"/>
                <w:color w:val="000000" w:themeColor="text1"/>
                <w:sz w:val="16"/>
                <w:szCs w:val="16"/>
              </w:rPr>
            </w:pPr>
          </w:p>
          <w:p w14:paraId="2374F21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The level of detail recorded was variable both within and between service groups. Of the patients with a CAUTI, the date diagnosed, method of diagnosis (e.g. urine culture) and antibiotic treatment given were recorded in over 85% of cases, although the causative organism was reported in &lt;40%. However, it was rarely possible to confirm whether the CAUTI was symptomatic or asymptomatic. [Primary Care; P1]</w:t>
            </w:r>
          </w:p>
          <w:p w14:paraId="5878B113" w14:textId="77777777" w:rsidR="003501E4" w:rsidRPr="007F4FB9" w:rsidRDefault="003501E4" w:rsidP="00F34E78">
            <w:pPr>
              <w:spacing w:line="240" w:lineRule="auto"/>
              <w:rPr>
                <w:rFonts w:ascii="Arial" w:hAnsi="Arial" w:cs="Arial"/>
                <w:color w:val="000000" w:themeColor="text1"/>
                <w:sz w:val="16"/>
                <w:szCs w:val="16"/>
              </w:rPr>
            </w:pPr>
          </w:p>
        </w:tc>
      </w:tr>
      <w:tr w:rsidR="003501E4" w:rsidRPr="007F4FB9" w14:paraId="4E052D91" w14:textId="77777777" w:rsidTr="00F34E78">
        <w:tc>
          <w:tcPr>
            <w:tcW w:w="0" w:type="auto"/>
            <w:vMerge/>
          </w:tcPr>
          <w:p w14:paraId="689E60D1"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1EF5271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Transitions of care</w:t>
            </w:r>
          </w:p>
        </w:tc>
        <w:tc>
          <w:tcPr>
            <w:tcW w:w="1134" w:type="dxa"/>
          </w:tcPr>
          <w:p w14:paraId="3DEA60A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5</w:t>
            </w:r>
          </w:p>
        </w:tc>
        <w:tc>
          <w:tcPr>
            <w:tcW w:w="1276" w:type="dxa"/>
          </w:tcPr>
          <w:p w14:paraId="638B77D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7881F06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2BF1D76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‘Transferences to ward from intensive care unit accounted for 6% of inappropriate catheterisations’ [Secondary Care; S13]</w:t>
            </w:r>
          </w:p>
          <w:p w14:paraId="77E12E4E" w14:textId="77777777" w:rsidR="003501E4" w:rsidRPr="007F4FB9" w:rsidRDefault="003501E4" w:rsidP="00F34E78">
            <w:pPr>
              <w:spacing w:line="240" w:lineRule="auto"/>
              <w:rPr>
                <w:rFonts w:ascii="Arial" w:hAnsi="Arial" w:cs="Arial"/>
                <w:color w:val="000000" w:themeColor="text1"/>
                <w:sz w:val="16"/>
                <w:szCs w:val="16"/>
              </w:rPr>
            </w:pPr>
          </w:p>
          <w:p w14:paraId="14BA66C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‘Staff turnover barrier to implementation of CAUTI reduction program’ [Care homes; C1]</w:t>
            </w:r>
          </w:p>
        </w:tc>
      </w:tr>
      <w:tr w:rsidR="003501E4" w:rsidRPr="007F4FB9" w14:paraId="78F9BC73" w14:textId="77777777" w:rsidTr="00F34E78">
        <w:tc>
          <w:tcPr>
            <w:tcW w:w="0" w:type="auto"/>
            <w:vMerge/>
          </w:tcPr>
          <w:p w14:paraId="37B1EEA4"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401CD0A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Lack of time to perform alternatives to urinary catheterisation </w:t>
            </w:r>
          </w:p>
        </w:tc>
        <w:tc>
          <w:tcPr>
            <w:tcW w:w="1134" w:type="dxa"/>
          </w:tcPr>
          <w:p w14:paraId="2C7EB1E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3</w:t>
            </w:r>
          </w:p>
        </w:tc>
        <w:tc>
          <w:tcPr>
            <w:tcW w:w="1276" w:type="dxa"/>
          </w:tcPr>
          <w:p w14:paraId="137AB23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6513F1F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tc>
        <w:tc>
          <w:tcPr>
            <w:tcW w:w="3788" w:type="dxa"/>
          </w:tcPr>
          <w:p w14:paraId="4937B3C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‘Being too busy to be able to assist a patient to the bathroom’ [Secondary Care; S1]</w:t>
            </w:r>
          </w:p>
        </w:tc>
      </w:tr>
      <w:tr w:rsidR="003501E4" w:rsidRPr="007F4FB9" w14:paraId="10D780D0" w14:textId="77777777" w:rsidTr="00F34E78">
        <w:tc>
          <w:tcPr>
            <w:tcW w:w="0" w:type="auto"/>
            <w:vMerge/>
          </w:tcPr>
          <w:p w14:paraId="1FBF8715"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11ADFB7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Unavailability of medical alternatives to urinary catheterisation </w:t>
            </w:r>
          </w:p>
        </w:tc>
        <w:tc>
          <w:tcPr>
            <w:tcW w:w="1134" w:type="dxa"/>
          </w:tcPr>
          <w:p w14:paraId="5A95892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35BAA2F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540A876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tc>
        <w:tc>
          <w:tcPr>
            <w:tcW w:w="3788" w:type="dxa"/>
          </w:tcPr>
          <w:p w14:paraId="32F8E0D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medical alternatives, (e.g., a bladder scanner that could help determine the need for a catheter) that may be contributing to these decisions’ [Secondary Care; S1]</w:t>
            </w:r>
          </w:p>
        </w:tc>
      </w:tr>
      <w:tr w:rsidR="003501E4" w:rsidRPr="007F4FB9" w14:paraId="542E1273" w14:textId="77777777" w:rsidTr="00F34E78">
        <w:tc>
          <w:tcPr>
            <w:tcW w:w="0" w:type="auto"/>
            <w:vMerge/>
          </w:tcPr>
          <w:p w14:paraId="36756F13"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232F8A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Choice and availability of urinary catheters </w:t>
            </w:r>
          </w:p>
        </w:tc>
        <w:tc>
          <w:tcPr>
            <w:tcW w:w="1134" w:type="dxa"/>
          </w:tcPr>
          <w:p w14:paraId="0879125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27C0F23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Mixed</w:t>
            </w:r>
          </w:p>
        </w:tc>
        <w:tc>
          <w:tcPr>
            <w:tcW w:w="2001" w:type="dxa"/>
          </w:tcPr>
          <w:p w14:paraId="3017F4D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tc>
        <w:tc>
          <w:tcPr>
            <w:tcW w:w="3788" w:type="dxa"/>
          </w:tcPr>
          <w:p w14:paraId="2218373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‘Supply of urinary catheters being available in bedside supply carts added convenience and may have influenced their decision to insert one’ [Secondary Care; S18]</w:t>
            </w:r>
          </w:p>
          <w:p w14:paraId="160C1147" w14:textId="77777777" w:rsidR="003501E4" w:rsidRPr="007F4FB9" w:rsidRDefault="003501E4" w:rsidP="00F34E78">
            <w:pPr>
              <w:spacing w:line="240" w:lineRule="auto"/>
              <w:rPr>
                <w:rFonts w:ascii="Arial" w:hAnsi="Arial" w:cs="Arial"/>
                <w:color w:val="000000" w:themeColor="text1"/>
                <w:sz w:val="16"/>
                <w:szCs w:val="16"/>
              </w:rPr>
            </w:pPr>
          </w:p>
          <w:p w14:paraId="67FF9CC5"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rPr>
              <w:t>‘</w:t>
            </w:r>
            <w:r w:rsidRPr="007F4FB9">
              <w:rPr>
                <w:rFonts w:ascii="Arial" w:hAnsi="Arial" w:cs="Arial"/>
                <w:color w:val="000000" w:themeColor="text1"/>
                <w:sz w:val="16"/>
                <w:szCs w:val="16"/>
                <w:lang w:val="en-US"/>
              </w:rPr>
              <w:t>In acute care catheter availability was often limited to samples supplied by company representatives or the limited supply held in hospital pharmacies. In the community availability could be limited by a formulary. Of the prescribing nurses, 54% had unlimited choice of catheters, while 43% were restricted in their choice.’ [Secondary care; Community Care; SC20]</w:t>
            </w:r>
          </w:p>
        </w:tc>
      </w:tr>
      <w:tr w:rsidR="003501E4" w:rsidRPr="007F4FB9" w14:paraId="70BA27B0" w14:textId="77777777" w:rsidTr="00F34E78">
        <w:tc>
          <w:tcPr>
            <w:tcW w:w="0" w:type="auto"/>
            <w:vMerge w:val="restart"/>
          </w:tcPr>
          <w:p w14:paraId="06869A4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OPPORTUNITY (SOCIAL)</w:t>
            </w:r>
          </w:p>
        </w:tc>
        <w:tc>
          <w:tcPr>
            <w:tcW w:w="11440" w:type="dxa"/>
            <w:gridSpan w:val="5"/>
            <w:shd w:val="clear" w:color="auto" w:fill="BFBFBF" w:themeFill="background1" w:themeFillShade="BF"/>
          </w:tcPr>
          <w:p w14:paraId="74DA2B4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TDF Domain: Social influences</w:t>
            </w:r>
          </w:p>
        </w:tc>
      </w:tr>
      <w:tr w:rsidR="003501E4" w:rsidRPr="007F4FB9" w14:paraId="59842249" w14:textId="77777777" w:rsidTr="00F34E78">
        <w:tc>
          <w:tcPr>
            <w:tcW w:w="0" w:type="auto"/>
            <w:vMerge/>
          </w:tcPr>
          <w:p w14:paraId="30918B71"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A9F354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Requests from patients and their carers</w:t>
            </w:r>
          </w:p>
        </w:tc>
        <w:tc>
          <w:tcPr>
            <w:tcW w:w="1134" w:type="dxa"/>
          </w:tcPr>
          <w:p w14:paraId="28CCE79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5</w:t>
            </w:r>
          </w:p>
        </w:tc>
        <w:tc>
          <w:tcPr>
            <w:tcW w:w="1276" w:type="dxa"/>
          </w:tcPr>
          <w:p w14:paraId="57DCBE0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4A7210C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tc>
        <w:tc>
          <w:tcPr>
            <w:tcW w:w="3788" w:type="dxa"/>
          </w:tcPr>
          <w:p w14:paraId="14FA185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‘Pressure of requests by the patient or the family for catheters: “The family says, ‘Well my mom really needs it in. . . . Mom can’t get up, mom can’t walk, she’s incontinent [of urine]’ [Secondary Care; S1]</w:t>
            </w:r>
          </w:p>
        </w:tc>
      </w:tr>
      <w:tr w:rsidR="003501E4" w:rsidRPr="007F4FB9" w14:paraId="46395EC0" w14:textId="77777777" w:rsidTr="00F34E78">
        <w:tc>
          <w:tcPr>
            <w:tcW w:w="0" w:type="auto"/>
            <w:vMerge/>
          </w:tcPr>
          <w:p w14:paraId="3D242735"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2F00EA2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peer support and buy-in</w:t>
            </w:r>
          </w:p>
        </w:tc>
        <w:tc>
          <w:tcPr>
            <w:tcW w:w="1134" w:type="dxa"/>
          </w:tcPr>
          <w:p w14:paraId="5124BCF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4</w:t>
            </w:r>
          </w:p>
        </w:tc>
        <w:tc>
          <w:tcPr>
            <w:tcW w:w="1276" w:type="dxa"/>
          </w:tcPr>
          <w:p w14:paraId="0971B91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6AD6F9D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543B1C9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‘Facility leads new to their positions often found it hard to gain buy-in, mainly due to a lack of relationship with the staff’ [Care Homes; C1]</w:t>
            </w:r>
          </w:p>
          <w:p w14:paraId="7AC5DB19" w14:textId="77777777" w:rsidR="003501E4" w:rsidRPr="007F4FB9" w:rsidRDefault="003501E4" w:rsidP="00F34E78">
            <w:pPr>
              <w:spacing w:line="240" w:lineRule="auto"/>
              <w:rPr>
                <w:rFonts w:ascii="Arial" w:hAnsi="Arial" w:cs="Arial"/>
                <w:color w:val="000000" w:themeColor="text1"/>
                <w:sz w:val="16"/>
                <w:szCs w:val="16"/>
              </w:rPr>
            </w:pPr>
          </w:p>
          <w:p w14:paraId="1373380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‘As a charge nurse explained: “If you don’t have the doctors on board, you’re just going to be beating your head against the wall.’ [Secondary Care; S1]</w:t>
            </w:r>
          </w:p>
        </w:tc>
      </w:tr>
      <w:tr w:rsidR="003501E4" w:rsidRPr="007F4FB9" w14:paraId="354BD138" w14:textId="77777777" w:rsidTr="00F34E78">
        <w:tc>
          <w:tcPr>
            <w:tcW w:w="0" w:type="auto"/>
            <w:vMerge/>
          </w:tcPr>
          <w:p w14:paraId="21F4CF68"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47C5929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Physicians dictate nurses’ practice</w:t>
            </w:r>
          </w:p>
          <w:p w14:paraId="01955B1D" w14:textId="77777777" w:rsidR="003501E4" w:rsidRPr="007F4FB9" w:rsidRDefault="003501E4" w:rsidP="00F34E78">
            <w:pPr>
              <w:spacing w:line="240" w:lineRule="auto"/>
              <w:rPr>
                <w:rFonts w:ascii="Arial" w:hAnsi="Arial" w:cs="Arial"/>
                <w:color w:val="000000" w:themeColor="text1"/>
                <w:sz w:val="16"/>
                <w:szCs w:val="16"/>
              </w:rPr>
            </w:pPr>
          </w:p>
        </w:tc>
        <w:tc>
          <w:tcPr>
            <w:tcW w:w="1134" w:type="dxa"/>
          </w:tcPr>
          <w:p w14:paraId="59D51A1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3</w:t>
            </w:r>
          </w:p>
        </w:tc>
        <w:tc>
          <w:tcPr>
            <w:tcW w:w="1276" w:type="dxa"/>
          </w:tcPr>
          <w:p w14:paraId="5F57955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3E080E0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560E247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‘My supervising physician generally prefers to treat positive urine cultures in catheterized patients.’ [Tertiary Care; T3]</w:t>
            </w:r>
          </w:p>
          <w:p w14:paraId="7798C1FD" w14:textId="77777777" w:rsidR="003501E4" w:rsidRPr="007F4FB9" w:rsidRDefault="003501E4" w:rsidP="00F34E78">
            <w:pPr>
              <w:spacing w:line="240" w:lineRule="auto"/>
              <w:rPr>
                <w:rFonts w:ascii="Arial" w:hAnsi="Arial" w:cs="Arial"/>
                <w:color w:val="000000" w:themeColor="text1"/>
                <w:sz w:val="16"/>
                <w:szCs w:val="16"/>
              </w:rPr>
            </w:pPr>
          </w:p>
          <w:p w14:paraId="3A56F6E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lastRenderedPageBreak/>
              <w:t>[Nurse:]‘…You can keep asking, ‘Can I pull the Foley?’ and they’ll [physicians] just say, ‘leave it in.’ [Secondary Care; S1]</w:t>
            </w:r>
          </w:p>
        </w:tc>
      </w:tr>
      <w:tr w:rsidR="003501E4" w:rsidRPr="007F4FB9" w14:paraId="458F3DFF" w14:textId="77777777" w:rsidTr="00F34E78">
        <w:tc>
          <w:tcPr>
            <w:tcW w:w="0" w:type="auto"/>
            <w:vMerge/>
          </w:tcPr>
          <w:p w14:paraId="38A61322"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638C542"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Cultural norms regarding standard catheterisation practice for specific patient groups </w:t>
            </w:r>
          </w:p>
        </w:tc>
        <w:tc>
          <w:tcPr>
            <w:tcW w:w="1134" w:type="dxa"/>
          </w:tcPr>
          <w:p w14:paraId="5AF460D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3</w:t>
            </w:r>
          </w:p>
        </w:tc>
        <w:tc>
          <w:tcPr>
            <w:tcW w:w="1276" w:type="dxa"/>
          </w:tcPr>
          <w:p w14:paraId="6C353A6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510F6B9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 Insertion</w:t>
            </w:r>
          </w:p>
        </w:tc>
        <w:tc>
          <w:tcPr>
            <w:tcW w:w="3788" w:type="dxa"/>
          </w:tcPr>
          <w:p w14:paraId="57A08EB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‘The biggest challenge was changing the culture of practice of inserting indwelling urinary catheter in all ICU patients’ [Secondary Care; S15]</w:t>
            </w:r>
          </w:p>
        </w:tc>
      </w:tr>
      <w:tr w:rsidR="003501E4" w:rsidRPr="007F4FB9" w14:paraId="35AA538F" w14:textId="77777777" w:rsidTr="00F34E78">
        <w:tc>
          <w:tcPr>
            <w:tcW w:w="0" w:type="auto"/>
            <w:vMerge/>
          </w:tcPr>
          <w:p w14:paraId="234A38BB"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716F1048"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Local champions</w:t>
            </w:r>
          </w:p>
        </w:tc>
        <w:tc>
          <w:tcPr>
            <w:tcW w:w="1134" w:type="dxa"/>
          </w:tcPr>
          <w:p w14:paraId="4CD09CC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7A1A890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6707C77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307C8FE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‘Presence of an emergency physician champion to establish indications for urinary catheter placement resulted in fewer orders for catheters’ [Tertiary Care; T1]</w:t>
            </w:r>
          </w:p>
        </w:tc>
      </w:tr>
      <w:tr w:rsidR="003501E4" w:rsidRPr="007F4FB9" w14:paraId="5AFB4762" w14:textId="77777777" w:rsidTr="00F34E78">
        <w:tc>
          <w:tcPr>
            <w:tcW w:w="0" w:type="auto"/>
            <w:vMerge/>
          </w:tcPr>
          <w:p w14:paraId="62547455" w14:textId="77777777" w:rsidR="003501E4" w:rsidRPr="007F4FB9" w:rsidRDefault="003501E4" w:rsidP="00F34E78">
            <w:pPr>
              <w:spacing w:line="240" w:lineRule="auto"/>
              <w:rPr>
                <w:rFonts w:ascii="Arial" w:hAnsi="Arial" w:cs="Arial"/>
                <w:color w:val="000000" w:themeColor="text1"/>
                <w:sz w:val="16"/>
                <w:szCs w:val="16"/>
              </w:rPr>
            </w:pPr>
          </w:p>
        </w:tc>
        <w:tc>
          <w:tcPr>
            <w:tcW w:w="11440" w:type="dxa"/>
            <w:gridSpan w:val="5"/>
            <w:shd w:val="clear" w:color="auto" w:fill="BFBFBF" w:themeFill="background1" w:themeFillShade="BF"/>
          </w:tcPr>
          <w:p w14:paraId="5CFFC37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TDF Domain: Social professional role and identity </w:t>
            </w:r>
          </w:p>
        </w:tc>
      </w:tr>
      <w:tr w:rsidR="003501E4" w:rsidRPr="007F4FB9" w14:paraId="7D0DE9D2" w14:textId="77777777" w:rsidTr="00F34E78">
        <w:tc>
          <w:tcPr>
            <w:tcW w:w="0" w:type="auto"/>
            <w:vMerge/>
          </w:tcPr>
          <w:p w14:paraId="74EE648C"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789448E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Having a Hospital Epidemiologist in post</w:t>
            </w:r>
          </w:p>
        </w:tc>
        <w:tc>
          <w:tcPr>
            <w:tcW w:w="1134" w:type="dxa"/>
          </w:tcPr>
          <w:p w14:paraId="6BBE352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7B0A6558"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58DEE01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Removal</w:t>
            </w:r>
          </w:p>
        </w:tc>
        <w:tc>
          <w:tcPr>
            <w:tcW w:w="3788" w:type="dxa"/>
          </w:tcPr>
          <w:p w14:paraId="7948E88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‘Hospital epidemiologist in post was significantly and positively associated with: </w:t>
            </w:r>
            <w:proofErr w:type="spellStart"/>
            <w:r w:rsidRPr="007F4FB9">
              <w:rPr>
                <w:rFonts w:ascii="Arial" w:hAnsi="Arial" w:cs="Arial"/>
                <w:color w:val="000000" w:themeColor="text1"/>
                <w:sz w:val="16"/>
                <w:szCs w:val="16"/>
              </w:rPr>
              <w:t>i</w:t>
            </w:r>
            <w:proofErr w:type="spellEnd"/>
            <w:r w:rsidRPr="007F4FB9">
              <w:rPr>
                <w:rFonts w:ascii="Arial" w:hAnsi="Arial" w:cs="Arial"/>
                <w:color w:val="000000" w:themeColor="text1"/>
                <w:sz w:val="16"/>
                <w:szCs w:val="16"/>
              </w:rPr>
              <w:t>) Urinary catheter reminder or stop-order/nurse-initiated catheter discontinuation’ [Secondary Care; S4]</w:t>
            </w:r>
          </w:p>
        </w:tc>
      </w:tr>
      <w:tr w:rsidR="003501E4" w:rsidRPr="007F4FB9" w14:paraId="2D466149" w14:textId="77777777" w:rsidTr="00F34E78">
        <w:tc>
          <w:tcPr>
            <w:tcW w:w="0" w:type="auto"/>
            <w:vMerge/>
          </w:tcPr>
          <w:p w14:paraId="19D00884"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CE360B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Acceptance of responsibility for urinary catheterisation decision making </w:t>
            </w:r>
          </w:p>
        </w:tc>
        <w:tc>
          <w:tcPr>
            <w:tcW w:w="1134" w:type="dxa"/>
          </w:tcPr>
          <w:p w14:paraId="1A02C94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77F0F02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713AD572"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tc>
        <w:tc>
          <w:tcPr>
            <w:tcW w:w="3788" w:type="dxa"/>
          </w:tcPr>
          <w:p w14:paraId="791B743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‘Nurses felt that the decision to maintain an indwelling catheter was up to the physician and did not consider it within their scope of practice.’ [Tertiary Care; T2]</w:t>
            </w:r>
          </w:p>
        </w:tc>
      </w:tr>
      <w:tr w:rsidR="003501E4" w:rsidRPr="007F4FB9" w14:paraId="361C663E" w14:textId="77777777" w:rsidTr="00F34E78">
        <w:tc>
          <w:tcPr>
            <w:tcW w:w="0" w:type="auto"/>
            <w:vMerge/>
          </w:tcPr>
          <w:p w14:paraId="000EF861"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95B3FF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CAUTI guidelines not perceived as relevant across Hospital departments</w:t>
            </w:r>
          </w:p>
        </w:tc>
        <w:tc>
          <w:tcPr>
            <w:tcW w:w="1134" w:type="dxa"/>
          </w:tcPr>
          <w:p w14:paraId="1CB185F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616DA57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46723B78"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276057FE"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rPr>
              <w:t>‘</w:t>
            </w:r>
            <w:r w:rsidRPr="007F4FB9">
              <w:rPr>
                <w:rFonts w:ascii="Arial" w:hAnsi="Arial" w:cs="Arial"/>
                <w:color w:val="000000" w:themeColor="text1"/>
                <w:sz w:val="16"/>
                <w:szCs w:val="16"/>
                <w:lang w:val="en-US"/>
              </w:rPr>
              <w:t>I looked at the criteria set forward indications for [urinary] catheter use. I think my gut reaction was that perhaps some of those were not as applicable in the Emergency Department setting… that maybe they were more devised for the inpatient setting.’ [Secondary Care; S1]</w:t>
            </w:r>
          </w:p>
        </w:tc>
      </w:tr>
      <w:tr w:rsidR="003501E4" w:rsidRPr="007F4FB9" w14:paraId="044196D7" w14:textId="77777777" w:rsidTr="00F34E78">
        <w:tc>
          <w:tcPr>
            <w:tcW w:w="0" w:type="auto"/>
            <w:vMerge/>
          </w:tcPr>
          <w:p w14:paraId="7A8B307C"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48D00EB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Nurses leading change in urinary catheterisation practice</w:t>
            </w:r>
          </w:p>
        </w:tc>
        <w:tc>
          <w:tcPr>
            <w:tcW w:w="1134" w:type="dxa"/>
          </w:tcPr>
          <w:p w14:paraId="70D069B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0673EA3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27ED394B"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52BBA8A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‘We’re really changing it [practice] from the bottom up, which I think is a great idea. We’re the ones doing the work so we’re the ones that make that change’ [Secondary Care; S7]</w:t>
            </w:r>
          </w:p>
        </w:tc>
      </w:tr>
      <w:tr w:rsidR="003501E4" w:rsidRPr="007F4FB9" w14:paraId="5FC9A583" w14:textId="77777777" w:rsidTr="00F34E78">
        <w:tc>
          <w:tcPr>
            <w:tcW w:w="0" w:type="auto"/>
            <w:vMerge w:val="restart"/>
          </w:tcPr>
          <w:p w14:paraId="634461D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MOTIVATION (REFLECTIVE)</w:t>
            </w:r>
          </w:p>
          <w:p w14:paraId="516B381F" w14:textId="77777777" w:rsidR="003501E4" w:rsidRPr="007F4FB9" w:rsidRDefault="003501E4" w:rsidP="00F34E78">
            <w:pPr>
              <w:spacing w:line="240" w:lineRule="auto"/>
              <w:rPr>
                <w:rFonts w:ascii="Arial" w:hAnsi="Arial" w:cs="Arial"/>
                <w:color w:val="000000" w:themeColor="text1"/>
                <w:sz w:val="16"/>
                <w:szCs w:val="16"/>
              </w:rPr>
            </w:pPr>
          </w:p>
          <w:p w14:paraId="1954D920" w14:textId="77777777" w:rsidR="003501E4" w:rsidRPr="007F4FB9" w:rsidRDefault="003501E4" w:rsidP="00F34E78">
            <w:pPr>
              <w:spacing w:line="240" w:lineRule="auto"/>
              <w:rPr>
                <w:rFonts w:ascii="Arial" w:hAnsi="Arial" w:cs="Arial"/>
                <w:color w:val="000000" w:themeColor="text1"/>
                <w:sz w:val="16"/>
                <w:szCs w:val="16"/>
              </w:rPr>
            </w:pPr>
          </w:p>
          <w:p w14:paraId="671A6EA0" w14:textId="77777777" w:rsidR="003501E4" w:rsidRPr="007F4FB9" w:rsidRDefault="003501E4" w:rsidP="00F34E78">
            <w:pPr>
              <w:spacing w:line="240" w:lineRule="auto"/>
              <w:rPr>
                <w:rFonts w:ascii="Arial" w:hAnsi="Arial" w:cs="Arial"/>
                <w:color w:val="000000" w:themeColor="text1"/>
                <w:sz w:val="16"/>
                <w:szCs w:val="16"/>
              </w:rPr>
            </w:pPr>
          </w:p>
          <w:p w14:paraId="7C12CD55" w14:textId="77777777" w:rsidR="003501E4" w:rsidRPr="007F4FB9" w:rsidRDefault="003501E4" w:rsidP="00F34E78">
            <w:pPr>
              <w:spacing w:line="240" w:lineRule="auto"/>
              <w:rPr>
                <w:rFonts w:ascii="Arial" w:hAnsi="Arial" w:cs="Arial"/>
                <w:color w:val="000000" w:themeColor="text1"/>
                <w:sz w:val="16"/>
                <w:szCs w:val="16"/>
              </w:rPr>
            </w:pPr>
          </w:p>
          <w:p w14:paraId="785C3494" w14:textId="77777777" w:rsidR="003501E4" w:rsidRPr="007F4FB9" w:rsidRDefault="003501E4" w:rsidP="00F34E78">
            <w:pPr>
              <w:spacing w:line="240" w:lineRule="auto"/>
              <w:rPr>
                <w:rFonts w:ascii="Arial" w:hAnsi="Arial" w:cs="Arial"/>
                <w:color w:val="000000" w:themeColor="text1"/>
                <w:sz w:val="16"/>
                <w:szCs w:val="16"/>
              </w:rPr>
            </w:pPr>
          </w:p>
          <w:p w14:paraId="045A17F7" w14:textId="77777777" w:rsidR="003501E4" w:rsidRPr="007F4FB9" w:rsidRDefault="003501E4" w:rsidP="00F34E78">
            <w:pPr>
              <w:spacing w:line="240" w:lineRule="auto"/>
              <w:rPr>
                <w:rFonts w:ascii="Arial" w:hAnsi="Arial" w:cs="Arial"/>
                <w:color w:val="000000" w:themeColor="text1"/>
                <w:sz w:val="16"/>
                <w:szCs w:val="16"/>
              </w:rPr>
            </w:pPr>
          </w:p>
          <w:p w14:paraId="0F561E7F" w14:textId="77777777" w:rsidR="003501E4" w:rsidRPr="007F4FB9" w:rsidRDefault="003501E4" w:rsidP="00F34E78">
            <w:pPr>
              <w:spacing w:line="240" w:lineRule="auto"/>
              <w:rPr>
                <w:rFonts w:ascii="Arial" w:hAnsi="Arial" w:cs="Arial"/>
                <w:color w:val="000000" w:themeColor="text1"/>
                <w:sz w:val="16"/>
                <w:szCs w:val="16"/>
              </w:rPr>
            </w:pPr>
          </w:p>
          <w:p w14:paraId="75DCB7B7" w14:textId="77777777" w:rsidR="003501E4" w:rsidRPr="007F4FB9" w:rsidRDefault="003501E4" w:rsidP="00F34E78">
            <w:pPr>
              <w:spacing w:line="240" w:lineRule="auto"/>
              <w:rPr>
                <w:rFonts w:ascii="Arial" w:hAnsi="Arial" w:cs="Arial"/>
                <w:color w:val="000000" w:themeColor="text1"/>
                <w:sz w:val="16"/>
                <w:szCs w:val="16"/>
              </w:rPr>
            </w:pPr>
          </w:p>
          <w:p w14:paraId="2F80CF8F" w14:textId="77777777" w:rsidR="003501E4" w:rsidRPr="007F4FB9" w:rsidRDefault="003501E4" w:rsidP="00F34E78">
            <w:pPr>
              <w:spacing w:line="240" w:lineRule="auto"/>
              <w:rPr>
                <w:rFonts w:ascii="Arial" w:hAnsi="Arial" w:cs="Arial"/>
                <w:color w:val="000000" w:themeColor="text1"/>
                <w:sz w:val="16"/>
                <w:szCs w:val="16"/>
              </w:rPr>
            </w:pPr>
          </w:p>
          <w:p w14:paraId="7BA75FF6" w14:textId="77777777" w:rsidR="003501E4" w:rsidRPr="007F4FB9" w:rsidRDefault="003501E4" w:rsidP="00F34E78">
            <w:pPr>
              <w:spacing w:line="240" w:lineRule="auto"/>
              <w:rPr>
                <w:rFonts w:ascii="Arial" w:hAnsi="Arial" w:cs="Arial"/>
                <w:color w:val="000000" w:themeColor="text1"/>
                <w:sz w:val="16"/>
                <w:szCs w:val="16"/>
              </w:rPr>
            </w:pPr>
          </w:p>
          <w:p w14:paraId="5F19575A" w14:textId="77777777" w:rsidR="003501E4" w:rsidRPr="007F4FB9" w:rsidRDefault="003501E4" w:rsidP="00F34E78">
            <w:pPr>
              <w:spacing w:line="240" w:lineRule="auto"/>
              <w:rPr>
                <w:rFonts w:ascii="Arial" w:hAnsi="Arial" w:cs="Arial"/>
                <w:color w:val="000000" w:themeColor="text1"/>
                <w:sz w:val="16"/>
                <w:szCs w:val="16"/>
              </w:rPr>
            </w:pPr>
          </w:p>
          <w:p w14:paraId="6A39029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MOTIVATION (REFLECTIVE)</w:t>
            </w:r>
          </w:p>
        </w:tc>
        <w:tc>
          <w:tcPr>
            <w:tcW w:w="11440" w:type="dxa"/>
            <w:gridSpan w:val="5"/>
            <w:shd w:val="clear" w:color="auto" w:fill="BFBFBF" w:themeFill="background1" w:themeFillShade="BF"/>
          </w:tcPr>
          <w:p w14:paraId="282648F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TDF Domain: Beliefs about consequences</w:t>
            </w:r>
          </w:p>
        </w:tc>
      </w:tr>
      <w:tr w:rsidR="003501E4" w:rsidRPr="007F4FB9" w14:paraId="588F20AB" w14:textId="77777777" w:rsidTr="00F34E78">
        <w:tc>
          <w:tcPr>
            <w:tcW w:w="0" w:type="auto"/>
            <w:vMerge/>
          </w:tcPr>
          <w:p w14:paraId="55DF6981"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76DF6EA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Convenience and ease of monitoring </w:t>
            </w:r>
          </w:p>
        </w:tc>
        <w:tc>
          <w:tcPr>
            <w:tcW w:w="1134" w:type="dxa"/>
          </w:tcPr>
          <w:p w14:paraId="74A5C38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5</w:t>
            </w:r>
          </w:p>
        </w:tc>
        <w:tc>
          <w:tcPr>
            <w:tcW w:w="1276" w:type="dxa"/>
          </w:tcPr>
          <w:p w14:paraId="164A11F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Mixed</w:t>
            </w:r>
          </w:p>
        </w:tc>
        <w:tc>
          <w:tcPr>
            <w:tcW w:w="2001" w:type="dxa"/>
          </w:tcPr>
          <w:p w14:paraId="32A106E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6693A12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‘Catheters inserted for convenience purposes, for example, to accurately measure a patient’s urine output or to avoid frequent transfers to a bedpan or a bedside commode’ [Secondary Care; S18]</w:t>
            </w:r>
          </w:p>
          <w:p w14:paraId="4899C343" w14:textId="77777777" w:rsidR="003501E4" w:rsidRPr="007F4FB9" w:rsidRDefault="003501E4" w:rsidP="00F34E78">
            <w:pPr>
              <w:spacing w:line="240" w:lineRule="auto"/>
              <w:rPr>
                <w:rFonts w:ascii="Arial" w:hAnsi="Arial" w:cs="Arial"/>
                <w:color w:val="000000" w:themeColor="text1"/>
                <w:sz w:val="16"/>
                <w:szCs w:val="16"/>
              </w:rPr>
            </w:pPr>
          </w:p>
          <w:p w14:paraId="4DE4AB5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‘Perception that urinary catheters are a potential source of harm not convenient and benign’ [Secondary Care; S7]</w:t>
            </w:r>
          </w:p>
        </w:tc>
      </w:tr>
      <w:tr w:rsidR="003501E4" w:rsidRPr="007F4FB9" w14:paraId="231E5E7C" w14:textId="77777777" w:rsidTr="00F34E78">
        <w:tc>
          <w:tcPr>
            <w:tcW w:w="0" w:type="auto"/>
            <w:vMerge/>
          </w:tcPr>
          <w:p w14:paraId="05E53311"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44E4B8B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Perceived severity of CAUTI </w:t>
            </w:r>
          </w:p>
        </w:tc>
        <w:tc>
          <w:tcPr>
            <w:tcW w:w="1134" w:type="dxa"/>
          </w:tcPr>
          <w:p w14:paraId="158F1E6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2E8DE15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Mixed</w:t>
            </w:r>
          </w:p>
        </w:tc>
        <w:tc>
          <w:tcPr>
            <w:tcW w:w="2001" w:type="dxa"/>
          </w:tcPr>
          <w:p w14:paraId="140A4F2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6A8B336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‘Perception by nursing staff of urinary catheters and urinary tract infections as benign was quite common’ [Secondary care; S1]</w:t>
            </w:r>
          </w:p>
          <w:p w14:paraId="793FE502" w14:textId="77777777" w:rsidR="003501E4" w:rsidRPr="007F4FB9" w:rsidRDefault="003501E4" w:rsidP="00F34E78">
            <w:pPr>
              <w:spacing w:line="240" w:lineRule="auto"/>
              <w:rPr>
                <w:rFonts w:ascii="Arial" w:hAnsi="Arial" w:cs="Arial"/>
                <w:color w:val="000000" w:themeColor="text1"/>
                <w:sz w:val="16"/>
                <w:szCs w:val="16"/>
              </w:rPr>
            </w:pPr>
          </w:p>
          <w:p w14:paraId="234181D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lastRenderedPageBreak/>
              <w:t>‘Perception that urinary catheters are a potential source of harm not convenient and benign’ [Secondary care’ S7]</w:t>
            </w:r>
          </w:p>
        </w:tc>
      </w:tr>
      <w:tr w:rsidR="003501E4" w:rsidRPr="007F4FB9" w14:paraId="34282184" w14:textId="77777777" w:rsidTr="00F34E78">
        <w:tc>
          <w:tcPr>
            <w:tcW w:w="0" w:type="auto"/>
            <w:vMerge/>
          </w:tcPr>
          <w:p w14:paraId="5F1B84ED"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3DC755A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Lack of perceived benefits to interventions targeting CAUTI</w:t>
            </w:r>
          </w:p>
        </w:tc>
        <w:tc>
          <w:tcPr>
            <w:tcW w:w="1134" w:type="dxa"/>
          </w:tcPr>
          <w:p w14:paraId="232EEF6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5AA2C0D8"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30CCFF6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436FD41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w:t>
            </w:r>
            <w:r w:rsidRPr="007F4FB9">
              <w:rPr>
                <w:rFonts w:ascii="Arial" w:hAnsi="Arial" w:cs="Arial"/>
                <w:color w:val="000000" w:themeColor="text1"/>
                <w:sz w:val="16"/>
                <w:szCs w:val="16"/>
                <w:lang w:val="en-US"/>
              </w:rPr>
              <w:t>physicians did not realize the value or benefits of supporting program implementation’ [Care Homes; C1]</w:t>
            </w:r>
          </w:p>
        </w:tc>
      </w:tr>
      <w:tr w:rsidR="003501E4" w:rsidRPr="007F4FB9" w14:paraId="765C8AA9" w14:textId="77777777" w:rsidTr="00F34E78">
        <w:tc>
          <w:tcPr>
            <w:tcW w:w="0" w:type="auto"/>
            <w:vMerge/>
          </w:tcPr>
          <w:p w14:paraId="029A9069"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7EA2BC3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Improved patient hygiene</w:t>
            </w:r>
          </w:p>
        </w:tc>
        <w:tc>
          <w:tcPr>
            <w:tcW w:w="1134" w:type="dxa"/>
          </w:tcPr>
          <w:p w14:paraId="441CAE4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1B55DDA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482490E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w:t>
            </w:r>
          </w:p>
        </w:tc>
        <w:tc>
          <w:tcPr>
            <w:tcW w:w="3788" w:type="dxa"/>
          </w:tcPr>
          <w:p w14:paraId="3DD6D956" w14:textId="77777777" w:rsidR="003501E4" w:rsidRPr="007F4FB9" w:rsidRDefault="003501E4" w:rsidP="00F34E78">
            <w:pPr>
              <w:spacing w:line="240" w:lineRule="auto"/>
              <w:rPr>
                <w:rFonts w:ascii="Arial" w:hAnsi="Arial" w:cs="Arial"/>
                <w:color w:val="000000" w:themeColor="text1"/>
                <w:sz w:val="16"/>
                <w:szCs w:val="16"/>
                <w:lang w:val="en-US"/>
              </w:rPr>
            </w:pPr>
            <w:r w:rsidRPr="007F4FB9">
              <w:rPr>
                <w:rFonts w:ascii="Arial" w:hAnsi="Arial" w:cs="Arial"/>
                <w:color w:val="000000" w:themeColor="text1"/>
                <w:sz w:val="16"/>
                <w:szCs w:val="16"/>
              </w:rPr>
              <w:t>‘</w:t>
            </w:r>
            <w:r w:rsidRPr="007F4FB9">
              <w:rPr>
                <w:rFonts w:ascii="Arial" w:hAnsi="Arial" w:cs="Arial"/>
                <w:color w:val="000000" w:themeColor="text1"/>
                <w:sz w:val="16"/>
                <w:szCs w:val="16"/>
                <w:lang w:val="en-US"/>
              </w:rPr>
              <w:t>you don’t want them lying in their own urine…It’s not a great for someone who’s wet with potential pressure areas and lying in their own wee (ED consultant physician).’ [Secondary Care; S17]</w:t>
            </w:r>
          </w:p>
        </w:tc>
      </w:tr>
      <w:tr w:rsidR="003501E4" w:rsidRPr="007F4FB9" w14:paraId="497307A6" w14:textId="77777777" w:rsidTr="00F34E78">
        <w:tc>
          <w:tcPr>
            <w:tcW w:w="0" w:type="auto"/>
            <w:vMerge/>
          </w:tcPr>
          <w:p w14:paraId="57406E1A"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DCCCD4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Pros and cons of reusable catheters</w:t>
            </w:r>
          </w:p>
        </w:tc>
        <w:tc>
          <w:tcPr>
            <w:tcW w:w="1134" w:type="dxa"/>
          </w:tcPr>
          <w:p w14:paraId="14EB59C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23E1253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Mixed </w:t>
            </w:r>
          </w:p>
        </w:tc>
        <w:tc>
          <w:tcPr>
            <w:tcW w:w="2001" w:type="dxa"/>
          </w:tcPr>
          <w:p w14:paraId="0F5D0EEA"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Pre-insertion, Insertion</w:t>
            </w:r>
          </w:p>
        </w:tc>
        <w:tc>
          <w:tcPr>
            <w:tcW w:w="3788" w:type="dxa"/>
          </w:tcPr>
          <w:p w14:paraId="0011E461"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w:t>
            </w:r>
            <w:r w:rsidRPr="007F4FB9">
              <w:rPr>
                <w:rFonts w:ascii="Arial" w:hAnsi="Arial" w:cs="Arial"/>
                <w:color w:val="000000" w:themeColor="text1"/>
                <w:sz w:val="16"/>
                <w:szCs w:val="16"/>
                <w:lang w:val="en-US"/>
              </w:rPr>
              <w:t>Major concerns included the perceived increased risk of urinary tract infection and increased patient burden. Potential advantages included increased patient choice, cost savings and reducing the fear/likelihood of running out of catheters’ [Secondary Care; Community care; SC20]</w:t>
            </w:r>
          </w:p>
        </w:tc>
      </w:tr>
      <w:tr w:rsidR="003501E4" w:rsidRPr="007F4FB9" w14:paraId="7849C719" w14:textId="77777777" w:rsidTr="00F34E78">
        <w:tc>
          <w:tcPr>
            <w:tcW w:w="0" w:type="auto"/>
            <w:vMerge/>
          </w:tcPr>
          <w:p w14:paraId="5CF93DCD" w14:textId="77777777" w:rsidR="003501E4" w:rsidRPr="007F4FB9" w:rsidRDefault="003501E4" w:rsidP="00F34E78">
            <w:pPr>
              <w:spacing w:line="240" w:lineRule="auto"/>
              <w:rPr>
                <w:rFonts w:ascii="Arial" w:hAnsi="Arial" w:cs="Arial"/>
                <w:color w:val="000000" w:themeColor="text1"/>
                <w:sz w:val="16"/>
                <w:szCs w:val="16"/>
              </w:rPr>
            </w:pPr>
          </w:p>
        </w:tc>
        <w:tc>
          <w:tcPr>
            <w:tcW w:w="11440" w:type="dxa"/>
            <w:gridSpan w:val="5"/>
            <w:shd w:val="clear" w:color="auto" w:fill="BFBFBF" w:themeFill="background1" w:themeFillShade="BF"/>
          </w:tcPr>
          <w:p w14:paraId="60C4C86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TDF Domain: Beliefs about capabilities </w:t>
            </w:r>
          </w:p>
        </w:tc>
      </w:tr>
      <w:tr w:rsidR="003501E4" w:rsidRPr="007F4FB9" w14:paraId="3E21285B" w14:textId="77777777" w:rsidTr="00F34E78">
        <w:tc>
          <w:tcPr>
            <w:tcW w:w="0" w:type="auto"/>
            <w:vMerge/>
          </w:tcPr>
          <w:p w14:paraId="4168118D"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07637A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Nurse empowerment </w:t>
            </w:r>
          </w:p>
        </w:tc>
        <w:tc>
          <w:tcPr>
            <w:tcW w:w="1134" w:type="dxa"/>
          </w:tcPr>
          <w:p w14:paraId="6241A495"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0B53DAB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2AF9AE17"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47987083"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‘Empowering nurses to identify and address CAUTI improvement opportunities: [We’re] really changing it [practice] from the bottom up, which I think is a great idea. We’re the ones doing the work so we’re the ones that make that change.’ [Secondary Care; S7]</w:t>
            </w:r>
          </w:p>
        </w:tc>
      </w:tr>
      <w:tr w:rsidR="003501E4" w:rsidRPr="007F4FB9" w14:paraId="01D94DCA" w14:textId="77777777" w:rsidTr="00F34E78">
        <w:tc>
          <w:tcPr>
            <w:tcW w:w="0" w:type="auto"/>
            <w:vMerge/>
          </w:tcPr>
          <w:p w14:paraId="191611F0"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7EBAE6B8"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Confidence in investigating and managing CAUTI</w:t>
            </w:r>
          </w:p>
        </w:tc>
        <w:tc>
          <w:tcPr>
            <w:tcW w:w="1134" w:type="dxa"/>
          </w:tcPr>
          <w:p w14:paraId="63322C6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1</w:t>
            </w:r>
          </w:p>
        </w:tc>
        <w:tc>
          <w:tcPr>
            <w:tcW w:w="1276" w:type="dxa"/>
          </w:tcPr>
          <w:p w14:paraId="16DF8774"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Facilitator</w:t>
            </w:r>
          </w:p>
        </w:tc>
        <w:tc>
          <w:tcPr>
            <w:tcW w:w="2001" w:type="dxa"/>
          </w:tcPr>
          <w:p w14:paraId="185C1A8D"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Post-insertion maintenance</w:t>
            </w:r>
          </w:p>
        </w:tc>
        <w:tc>
          <w:tcPr>
            <w:tcW w:w="3788" w:type="dxa"/>
          </w:tcPr>
          <w:p w14:paraId="2073498C"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‘I feel confident in knowing when to order a urine culture on catheterised patients, …how to manage bacteriuria in catheterised patients…and that I can apply asymptomatic bacteriuria guidelines to my patients.’ [Tertiary Care; T3]</w:t>
            </w:r>
          </w:p>
        </w:tc>
      </w:tr>
      <w:tr w:rsidR="003501E4" w:rsidRPr="007F4FB9" w14:paraId="73A31AD9" w14:textId="77777777" w:rsidTr="00F34E78">
        <w:tc>
          <w:tcPr>
            <w:tcW w:w="0" w:type="auto"/>
            <w:vMerge/>
          </w:tcPr>
          <w:p w14:paraId="0889EE44" w14:textId="77777777" w:rsidR="003501E4" w:rsidRPr="007F4FB9" w:rsidRDefault="003501E4" w:rsidP="00F34E78">
            <w:pPr>
              <w:spacing w:line="240" w:lineRule="auto"/>
              <w:rPr>
                <w:rFonts w:ascii="Arial" w:hAnsi="Arial" w:cs="Arial"/>
                <w:color w:val="000000" w:themeColor="text1"/>
                <w:sz w:val="16"/>
                <w:szCs w:val="16"/>
              </w:rPr>
            </w:pPr>
          </w:p>
        </w:tc>
        <w:tc>
          <w:tcPr>
            <w:tcW w:w="11440" w:type="dxa"/>
            <w:gridSpan w:val="5"/>
            <w:shd w:val="clear" w:color="auto" w:fill="BFBFBF" w:themeFill="background1" w:themeFillShade="BF"/>
          </w:tcPr>
          <w:p w14:paraId="2E865CC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TDF domains: Goals</w:t>
            </w:r>
          </w:p>
        </w:tc>
      </w:tr>
      <w:tr w:rsidR="003501E4" w:rsidRPr="007F4FB9" w14:paraId="3998436C" w14:textId="77777777" w:rsidTr="00F34E78">
        <w:tc>
          <w:tcPr>
            <w:tcW w:w="0" w:type="auto"/>
            <w:vMerge/>
          </w:tcPr>
          <w:p w14:paraId="5349E77C" w14:textId="77777777" w:rsidR="003501E4" w:rsidRPr="007F4FB9" w:rsidRDefault="003501E4" w:rsidP="00F34E78">
            <w:pPr>
              <w:spacing w:line="240" w:lineRule="auto"/>
              <w:rPr>
                <w:rFonts w:ascii="Arial" w:hAnsi="Arial" w:cs="Arial"/>
                <w:color w:val="000000" w:themeColor="text1"/>
                <w:sz w:val="16"/>
                <w:szCs w:val="16"/>
              </w:rPr>
            </w:pPr>
          </w:p>
        </w:tc>
        <w:tc>
          <w:tcPr>
            <w:tcW w:w="3241" w:type="dxa"/>
          </w:tcPr>
          <w:p w14:paraId="554270D0"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xml:space="preserve">CAUTI is not a priority </w:t>
            </w:r>
          </w:p>
        </w:tc>
        <w:tc>
          <w:tcPr>
            <w:tcW w:w="1134" w:type="dxa"/>
          </w:tcPr>
          <w:p w14:paraId="70EEC38F"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2</w:t>
            </w:r>
          </w:p>
        </w:tc>
        <w:tc>
          <w:tcPr>
            <w:tcW w:w="1276" w:type="dxa"/>
          </w:tcPr>
          <w:p w14:paraId="12D149A6"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Barrier</w:t>
            </w:r>
          </w:p>
        </w:tc>
        <w:tc>
          <w:tcPr>
            <w:tcW w:w="2001" w:type="dxa"/>
          </w:tcPr>
          <w:p w14:paraId="02033329"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All</w:t>
            </w:r>
          </w:p>
        </w:tc>
        <w:tc>
          <w:tcPr>
            <w:tcW w:w="3788" w:type="dxa"/>
          </w:tcPr>
          <w:p w14:paraId="4FCE54CE" w14:textId="77777777" w:rsidR="003501E4" w:rsidRPr="007F4FB9" w:rsidRDefault="003501E4" w:rsidP="00F34E78">
            <w:pPr>
              <w:spacing w:line="240" w:lineRule="auto"/>
              <w:rPr>
                <w:rFonts w:ascii="Arial" w:hAnsi="Arial" w:cs="Arial"/>
                <w:color w:val="000000" w:themeColor="text1"/>
                <w:sz w:val="16"/>
                <w:szCs w:val="16"/>
              </w:rPr>
            </w:pPr>
            <w:r w:rsidRPr="007F4FB9">
              <w:rPr>
                <w:rFonts w:ascii="Arial" w:hAnsi="Arial" w:cs="Arial"/>
                <w:color w:val="000000" w:themeColor="text1"/>
                <w:sz w:val="16"/>
                <w:szCs w:val="16"/>
              </w:rPr>
              <w:t>‘… it’s difficult to find people that are excited about getting Foleys out of patients; other things take higher priority like central lines and VAP’ [Secondary Care; S1]</w:t>
            </w:r>
          </w:p>
        </w:tc>
      </w:tr>
    </w:tbl>
    <w:p w14:paraId="215F55E3" w14:textId="77777777" w:rsidR="003501E4" w:rsidRDefault="003501E4" w:rsidP="003501E4">
      <w:pPr>
        <w:spacing w:line="240" w:lineRule="auto"/>
        <w:rPr>
          <w:rFonts w:ascii="Arial" w:hAnsi="Arial" w:cs="Arial"/>
          <w:b/>
          <w:i/>
          <w:noProof/>
          <w:color w:val="000000" w:themeColor="text1"/>
          <w:sz w:val="20"/>
          <w:szCs w:val="20"/>
        </w:rPr>
      </w:pPr>
    </w:p>
    <w:p w14:paraId="616E9C29" w14:textId="77777777" w:rsidR="003501E4" w:rsidRDefault="003501E4" w:rsidP="003501E4">
      <w:pPr>
        <w:spacing w:line="240" w:lineRule="auto"/>
        <w:rPr>
          <w:rFonts w:ascii="Arial" w:hAnsi="Arial" w:cs="Arial"/>
          <w:b/>
          <w:i/>
          <w:noProof/>
          <w:color w:val="000000" w:themeColor="text1"/>
          <w:sz w:val="20"/>
          <w:szCs w:val="20"/>
        </w:rPr>
      </w:pPr>
    </w:p>
    <w:p w14:paraId="6B69C1A9" w14:textId="77777777" w:rsidR="003501E4" w:rsidRDefault="003501E4" w:rsidP="003501E4">
      <w:pPr>
        <w:pStyle w:val="Caption"/>
        <w:spacing w:after="0"/>
        <w:rPr>
          <w:rFonts w:ascii="Arial" w:hAnsi="Arial" w:cs="Arial"/>
          <w:b/>
          <w:i w:val="0"/>
          <w:color w:val="000000" w:themeColor="text1"/>
          <w:sz w:val="20"/>
          <w:szCs w:val="20"/>
        </w:rPr>
      </w:pPr>
    </w:p>
    <w:p w14:paraId="3A64E8B1" w14:textId="77777777" w:rsidR="003501E4" w:rsidRDefault="003501E4"/>
    <w:sectPr w:rsidR="003501E4" w:rsidSect="003501E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E4"/>
    <w:rsid w:val="000128BA"/>
    <w:rsid w:val="00017932"/>
    <w:rsid w:val="00021C68"/>
    <w:rsid w:val="00022C5A"/>
    <w:rsid w:val="000250F8"/>
    <w:rsid w:val="00031A69"/>
    <w:rsid w:val="00032326"/>
    <w:rsid w:val="0004428F"/>
    <w:rsid w:val="00053F57"/>
    <w:rsid w:val="00053F9C"/>
    <w:rsid w:val="00063E0A"/>
    <w:rsid w:val="00066217"/>
    <w:rsid w:val="00070703"/>
    <w:rsid w:val="00082855"/>
    <w:rsid w:val="00095EE9"/>
    <w:rsid w:val="000C163F"/>
    <w:rsid w:val="000C7859"/>
    <w:rsid w:val="000D1863"/>
    <w:rsid w:val="000D2F7F"/>
    <w:rsid w:val="000D336C"/>
    <w:rsid w:val="000D67CC"/>
    <w:rsid w:val="000E719E"/>
    <w:rsid w:val="001030E9"/>
    <w:rsid w:val="00117C5E"/>
    <w:rsid w:val="00127E99"/>
    <w:rsid w:val="00143F1A"/>
    <w:rsid w:val="001445AE"/>
    <w:rsid w:val="00182034"/>
    <w:rsid w:val="0018378D"/>
    <w:rsid w:val="00192AA1"/>
    <w:rsid w:val="001C3E3F"/>
    <w:rsid w:val="001D1BC8"/>
    <w:rsid w:val="001D4392"/>
    <w:rsid w:val="001E126F"/>
    <w:rsid w:val="001E5DD7"/>
    <w:rsid w:val="001E78DD"/>
    <w:rsid w:val="00231636"/>
    <w:rsid w:val="00235188"/>
    <w:rsid w:val="002425DC"/>
    <w:rsid w:val="002477A7"/>
    <w:rsid w:val="00253053"/>
    <w:rsid w:val="0025590E"/>
    <w:rsid w:val="00263AA8"/>
    <w:rsid w:val="0027211D"/>
    <w:rsid w:val="002A3629"/>
    <w:rsid w:val="002B72C0"/>
    <w:rsid w:val="002D00BB"/>
    <w:rsid w:val="002D6497"/>
    <w:rsid w:val="002D64E6"/>
    <w:rsid w:val="002F407D"/>
    <w:rsid w:val="00307B48"/>
    <w:rsid w:val="00323BCE"/>
    <w:rsid w:val="00331F0F"/>
    <w:rsid w:val="003337AA"/>
    <w:rsid w:val="003361D3"/>
    <w:rsid w:val="00336F5E"/>
    <w:rsid w:val="00341D2B"/>
    <w:rsid w:val="00342018"/>
    <w:rsid w:val="00346231"/>
    <w:rsid w:val="003501E4"/>
    <w:rsid w:val="00352763"/>
    <w:rsid w:val="00362E7E"/>
    <w:rsid w:val="00365D44"/>
    <w:rsid w:val="00367B0C"/>
    <w:rsid w:val="003737D8"/>
    <w:rsid w:val="00376984"/>
    <w:rsid w:val="00387E0F"/>
    <w:rsid w:val="003A34B9"/>
    <w:rsid w:val="003A523D"/>
    <w:rsid w:val="003B6E04"/>
    <w:rsid w:val="003D1C35"/>
    <w:rsid w:val="003F7162"/>
    <w:rsid w:val="00410119"/>
    <w:rsid w:val="004121D8"/>
    <w:rsid w:val="00413402"/>
    <w:rsid w:val="00415779"/>
    <w:rsid w:val="004167DD"/>
    <w:rsid w:val="00417FB4"/>
    <w:rsid w:val="004247C4"/>
    <w:rsid w:val="00424979"/>
    <w:rsid w:val="004441BC"/>
    <w:rsid w:val="00447EDD"/>
    <w:rsid w:val="0045694B"/>
    <w:rsid w:val="00463ACD"/>
    <w:rsid w:val="004766DA"/>
    <w:rsid w:val="004926FD"/>
    <w:rsid w:val="00495532"/>
    <w:rsid w:val="00496515"/>
    <w:rsid w:val="004C5CED"/>
    <w:rsid w:val="004D5284"/>
    <w:rsid w:val="004E6205"/>
    <w:rsid w:val="00505CD4"/>
    <w:rsid w:val="00506AE2"/>
    <w:rsid w:val="00512904"/>
    <w:rsid w:val="00517715"/>
    <w:rsid w:val="00524671"/>
    <w:rsid w:val="00543545"/>
    <w:rsid w:val="005435B1"/>
    <w:rsid w:val="0056236F"/>
    <w:rsid w:val="005819C3"/>
    <w:rsid w:val="00582846"/>
    <w:rsid w:val="005A0059"/>
    <w:rsid w:val="005A7048"/>
    <w:rsid w:val="005B41E1"/>
    <w:rsid w:val="005C0295"/>
    <w:rsid w:val="005C5D34"/>
    <w:rsid w:val="005D74FF"/>
    <w:rsid w:val="00600AE0"/>
    <w:rsid w:val="00600AF8"/>
    <w:rsid w:val="006202C2"/>
    <w:rsid w:val="006216B8"/>
    <w:rsid w:val="006245AB"/>
    <w:rsid w:val="00650A15"/>
    <w:rsid w:val="006551FF"/>
    <w:rsid w:val="006675AB"/>
    <w:rsid w:val="0067225A"/>
    <w:rsid w:val="00686683"/>
    <w:rsid w:val="006A6313"/>
    <w:rsid w:val="006B2438"/>
    <w:rsid w:val="006B6524"/>
    <w:rsid w:val="006C5E53"/>
    <w:rsid w:val="006C65C4"/>
    <w:rsid w:val="006D1C9C"/>
    <w:rsid w:val="006E07C7"/>
    <w:rsid w:val="007255E6"/>
    <w:rsid w:val="00733E6E"/>
    <w:rsid w:val="00754C58"/>
    <w:rsid w:val="007567D3"/>
    <w:rsid w:val="00762571"/>
    <w:rsid w:val="007773C9"/>
    <w:rsid w:val="0078416F"/>
    <w:rsid w:val="007A2FE1"/>
    <w:rsid w:val="007A5D27"/>
    <w:rsid w:val="007B52DD"/>
    <w:rsid w:val="007C2A3D"/>
    <w:rsid w:val="007D6EE4"/>
    <w:rsid w:val="007D7A7C"/>
    <w:rsid w:val="007E412A"/>
    <w:rsid w:val="007F16A8"/>
    <w:rsid w:val="008064D3"/>
    <w:rsid w:val="0080739D"/>
    <w:rsid w:val="008103FA"/>
    <w:rsid w:val="00814502"/>
    <w:rsid w:val="0082003E"/>
    <w:rsid w:val="00831154"/>
    <w:rsid w:val="008657EA"/>
    <w:rsid w:val="008B2885"/>
    <w:rsid w:val="008B41BE"/>
    <w:rsid w:val="008B5277"/>
    <w:rsid w:val="008C016A"/>
    <w:rsid w:val="008D70BF"/>
    <w:rsid w:val="008E4400"/>
    <w:rsid w:val="00934531"/>
    <w:rsid w:val="00944197"/>
    <w:rsid w:val="00945865"/>
    <w:rsid w:val="00961B84"/>
    <w:rsid w:val="00965072"/>
    <w:rsid w:val="00977A72"/>
    <w:rsid w:val="009A0D48"/>
    <w:rsid w:val="009A1EB0"/>
    <w:rsid w:val="009B0BD2"/>
    <w:rsid w:val="009B7A02"/>
    <w:rsid w:val="009E0235"/>
    <w:rsid w:val="009F0286"/>
    <w:rsid w:val="00A03AD7"/>
    <w:rsid w:val="00A10E8D"/>
    <w:rsid w:val="00A24DC3"/>
    <w:rsid w:val="00A26EDE"/>
    <w:rsid w:val="00A27B0C"/>
    <w:rsid w:val="00A33EC4"/>
    <w:rsid w:val="00A50477"/>
    <w:rsid w:val="00A53F7E"/>
    <w:rsid w:val="00A61295"/>
    <w:rsid w:val="00A63429"/>
    <w:rsid w:val="00A671F8"/>
    <w:rsid w:val="00A67357"/>
    <w:rsid w:val="00A761E5"/>
    <w:rsid w:val="00A76213"/>
    <w:rsid w:val="00A85BAC"/>
    <w:rsid w:val="00AB3549"/>
    <w:rsid w:val="00AB79F0"/>
    <w:rsid w:val="00AC5975"/>
    <w:rsid w:val="00AD1F8F"/>
    <w:rsid w:val="00AE5D9D"/>
    <w:rsid w:val="00AF5235"/>
    <w:rsid w:val="00AF52B8"/>
    <w:rsid w:val="00B04562"/>
    <w:rsid w:val="00B04CB8"/>
    <w:rsid w:val="00B07015"/>
    <w:rsid w:val="00B15973"/>
    <w:rsid w:val="00B24613"/>
    <w:rsid w:val="00B300A3"/>
    <w:rsid w:val="00B301B9"/>
    <w:rsid w:val="00B3749E"/>
    <w:rsid w:val="00B427A4"/>
    <w:rsid w:val="00B50D95"/>
    <w:rsid w:val="00B55A7E"/>
    <w:rsid w:val="00B60C32"/>
    <w:rsid w:val="00B93B98"/>
    <w:rsid w:val="00B9574F"/>
    <w:rsid w:val="00BB4A31"/>
    <w:rsid w:val="00BD3B24"/>
    <w:rsid w:val="00BF09D1"/>
    <w:rsid w:val="00C0423A"/>
    <w:rsid w:val="00C152BA"/>
    <w:rsid w:val="00C40623"/>
    <w:rsid w:val="00C54EFA"/>
    <w:rsid w:val="00C5768D"/>
    <w:rsid w:val="00C63F72"/>
    <w:rsid w:val="00C65A28"/>
    <w:rsid w:val="00C87E75"/>
    <w:rsid w:val="00C910C5"/>
    <w:rsid w:val="00CA3953"/>
    <w:rsid w:val="00CA5C07"/>
    <w:rsid w:val="00CA7406"/>
    <w:rsid w:val="00CC4429"/>
    <w:rsid w:val="00CD0231"/>
    <w:rsid w:val="00CE5E50"/>
    <w:rsid w:val="00CF48AE"/>
    <w:rsid w:val="00CF7A9F"/>
    <w:rsid w:val="00D00547"/>
    <w:rsid w:val="00D122B7"/>
    <w:rsid w:val="00D372E2"/>
    <w:rsid w:val="00D42D9B"/>
    <w:rsid w:val="00D44FC3"/>
    <w:rsid w:val="00D53C61"/>
    <w:rsid w:val="00D703C7"/>
    <w:rsid w:val="00DA770D"/>
    <w:rsid w:val="00DA7EB9"/>
    <w:rsid w:val="00DB7A0D"/>
    <w:rsid w:val="00DC7436"/>
    <w:rsid w:val="00DD78DB"/>
    <w:rsid w:val="00DE0110"/>
    <w:rsid w:val="00DE2292"/>
    <w:rsid w:val="00DE3055"/>
    <w:rsid w:val="00E41A15"/>
    <w:rsid w:val="00E60AD5"/>
    <w:rsid w:val="00E629EF"/>
    <w:rsid w:val="00E64EB6"/>
    <w:rsid w:val="00E72B60"/>
    <w:rsid w:val="00E732D8"/>
    <w:rsid w:val="00E73C3F"/>
    <w:rsid w:val="00E75E2A"/>
    <w:rsid w:val="00E76872"/>
    <w:rsid w:val="00EA1753"/>
    <w:rsid w:val="00EB068D"/>
    <w:rsid w:val="00EB59F2"/>
    <w:rsid w:val="00ED342E"/>
    <w:rsid w:val="00ED5AC0"/>
    <w:rsid w:val="00EE039E"/>
    <w:rsid w:val="00EE5E18"/>
    <w:rsid w:val="00EF7AB6"/>
    <w:rsid w:val="00F012E3"/>
    <w:rsid w:val="00F038F5"/>
    <w:rsid w:val="00F07466"/>
    <w:rsid w:val="00F14BD3"/>
    <w:rsid w:val="00F173F9"/>
    <w:rsid w:val="00F258B0"/>
    <w:rsid w:val="00F3764A"/>
    <w:rsid w:val="00F4517F"/>
    <w:rsid w:val="00F4673D"/>
    <w:rsid w:val="00F477F6"/>
    <w:rsid w:val="00F51051"/>
    <w:rsid w:val="00F521D4"/>
    <w:rsid w:val="00F67592"/>
    <w:rsid w:val="00F72B3D"/>
    <w:rsid w:val="00F91303"/>
    <w:rsid w:val="00F9681C"/>
    <w:rsid w:val="00FA527A"/>
    <w:rsid w:val="00FB4B22"/>
    <w:rsid w:val="00FC48E1"/>
    <w:rsid w:val="00FD19EB"/>
    <w:rsid w:val="00FF1DC6"/>
    <w:rsid w:val="00F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534E74"/>
  <w14:defaultImageDpi w14:val="32767"/>
  <w15:chartTrackingRefBased/>
  <w15:docId w15:val="{76A2744E-5190-6649-9837-8B8EDB5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1E4"/>
    <w:pPr>
      <w:spacing w:line="360" w:lineRule="auto"/>
      <w:jc w:val="both"/>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3F9"/>
    <w:pPr>
      <w:spacing w:line="240" w:lineRule="auto"/>
      <w:jc w:val="left"/>
    </w:pPr>
    <w:rPr>
      <w:rFonts w:ascii="Times New Roman" w:eastAsiaTheme="minorHAnsi" w:hAnsi="Times New Roman" w:cs="Times New Roman"/>
      <w:sz w:val="18"/>
      <w:szCs w:val="18"/>
    </w:rPr>
  </w:style>
  <w:style w:type="character" w:customStyle="1" w:styleId="BalloonTextChar">
    <w:name w:val="Balloon Text Char"/>
    <w:basedOn w:val="DefaultParagraphFont"/>
    <w:link w:val="BalloonText"/>
    <w:uiPriority w:val="99"/>
    <w:semiHidden/>
    <w:rsid w:val="00F173F9"/>
    <w:rPr>
      <w:rFonts w:ascii="Times New Roman" w:hAnsi="Times New Roman" w:cs="Times New Roman"/>
      <w:sz w:val="18"/>
      <w:szCs w:val="18"/>
    </w:rPr>
  </w:style>
  <w:style w:type="table" w:styleId="TableGrid">
    <w:name w:val="Table Grid"/>
    <w:basedOn w:val="TableNormal"/>
    <w:uiPriority w:val="59"/>
    <w:rsid w:val="003501E4"/>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501E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1681</Words>
  <Characters>9582</Characters>
  <Application>Microsoft Office Word</Application>
  <DocSecurity>0</DocSecurity>
  <Lines>79</Lines>
  <Paragraphs>22</Paragraphs>
  <ScaleCrop>false</ScaleCrop>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Lou</dc:creator>
  <cp:keywords/>
  <dc:description/>
  <cp:lastModifiedBy>Atkins, Lou</cp:lastModifiedBy>
  <cp:revision>3</cp:revision>
  <dcterms:created xsi:type="dcterms:W3CDTF">2020-05-13T23:56:00Z</dcterms:created>
  <dcterms:modified xsi:type="dcterms:W3CDTF">2020-05-14T00:58:00Z</dcterms:modified>
</cp:coreProperties>
</file>