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E" w:rsidRPr="007637CC" w:rsidRDefault="007A5BFD">
      <w:pPr>
        <w:rPr>
          <w:rFonts w:ascii="Times New Roman" w:hAnsi="Times New Roman" w:cs="Times New Roman"/>
          <w:sz w:val="24"/>
        </w:rPr>
      </w:pPr>
      <w:r w:rsidRPr="007637CC">
        <w:rPr>
          <w:rFonts w:ascii="Times New Roman" w:hAnsi="Times New Roman" w:cs="Times New Roman"/>
          <w:sz w:val="24"/>
        </w:rPr>
        <w:t xml:space="preserve">Table S1. </w:t>
      </w:r>
      <w:r w:rsidR="0031761F" w:rsidRPr="007637CC">
        <w:rPr>
          <w:rFonts w:ascii="Times New Roman" w:hAnsi="Times New Roman" w:cs="Times New Roman"/>
          <w:sz w:val="24"/>
        </w:rPr>
        <w:t>C</w:t>
      </w:r>
      <w:r w:rsidR="0031761F" w:rsidRPr="007637CC">
        <w:rPr>
          <w:rFonts w:ascii="Times New Roman" w:hAnsi="Times New Roman" w:cs="Times New Roman" w:hint="eastAsia"/>
          <w:sz w:val="24"/>
        </w:rPr>
        <w:t>linical</w:t>
      </w:r>
      <w:r w:rsidR="0031761F" w:rsidRPr="007637CC">
        <w:rPr>
          <w:rFonts w:ascii="Times New Roman" w:hAnsi="Times New Roman" w:cs="Times New Roman"/>
          <w:sz w:val="24"/>
        </w:rPr>
        <w:t xml:space="preserve"> </w:t>
      </w:r>
      <w:r w:rsidR="0031761F" w:rsidRPr="007637CC">
        <w:rPr>
          <w:rFonts w:ascii="Times New Roman" w:hAnsi="Times New Roman" w:cs="Times New Roman" w:hint="eastAsia"/>
          <w:sz w:val="24"/>
        </w:rPr>
        <w:t>character</w:t>
      </w:r>
      <w:r w:rsidR="0031761F" w:rsidRPr="007637CC">
        <w:rPr>
          <w:rFonts w:ascii="Times New Roman" w:hAnsi="Times New Roman" w:cs="Times New Roman"/>
          <w:sz w:val="24"/>
        </w:rPr>
        <w:t xml:space="preserve">istics </w:t>
      </w:r>
      <w:r w:rsidR="007C0F89" w:rsidRPr="007637CC">
        <w:rPr>
          <w:rFonts w:ascii="Times New Roman" w:hAnsi="Times New Roman" w:cs="Times New Roman"/>
          <w:sz w:val="24"/>
        </w:rPr>
        <w:t>of d</w:t>
      </w:r>
      <w:r w:rsidRPr="007637CC">
        <w:rPr>
          <w:rFonts w:ascii="Times New Roman" w:hAnsi="Times New Roman" w:cs="Times New Roman"/>
          <w:sz w:val="24"/>
        </w:rPr>
        <w:t xml:space="preserve">onor and recipients in single and </w:t>
      </w:r>
      <w:r w:rsidRPr="007637CC">
        <w:rPr>
          <w:rFonts w:ascii="Times New Roman" w:hAnsi="Times New Roman" w:cs="Times New Roman"/>
          <w:i/>
          <w:sz w:val="24"/>
        </w:rPr>
        <w:t>en bloc</w:t>
      </w:r>
      <w:r w:rsidRPr="007637CC">
        <w:rPr>
          <w:rFonts w:ascii="Times New Roman" w:hAnsi="Times New Roman" w:cs="Times New Roman"/>
          <w:sz w:val="24"/>
        </w:rPr>
        <w:t xml:space="preserve"> kidney transplantation group.</w:t>
      </w:r>
    </w:p>
    <w:p w:rsidR="008A413E" w:rsidRPr="007637CC" w:rsidRDefault="008A413E">
      <w:pPr>
        <w:rPr>
          <w:rFonts w:ascii="Times New Roman" w:hAnsi="Times New Roman" w:cs="Times New Roman"/>
        </w:rPr>
      </w:pPr>
    </w:p>
    <w:p w:rsidR="008A413E" w:rsidRPr="007637CC" w:rsidRDefault="008A413E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771"/>
        <w:gridCol w:w="1774"/>
        <w:gridCol w:w="1143"/>
      </w:tblGrid>
      <w:tr w:rsidR="007637CC" w:rsidRPr="007637CC" w:rsidTr="007637CC">
        <w:tc>
          <w:tcPr>
            <w:tcW w:w="21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3E34" w:rsidRPr="007637CC" w:rsidRDefault="009B3E34" w:rsidP="009B3E34">
            <w:pPr>
              <w:adjustRightInd w:val="0"/>
              <w:snapToGrid w:val="0"/>
              <w:spacing w:line="48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Donor Characteristics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</w:tcPr>
          <w:p w:rsidR="009B3E34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Single</w:t>
            </w:r>
          </w:p>
          <w:p w:rsidR="009B3E34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B0DF7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n=32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8" w:type="pct"/>
            <w:tcBorders>
              <w:top w:val="single" w:sz="4" w:space="0" w:color="000000"/>
              <w:bottom w:val="single" w:sz="4" w:space="0" w:color="000000"/>
            </w:tcBorders>
          </w:tcPr>
          <w:p w:rsidR="009B3E34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En bloc</w:t>
            </w:r>
          </w:p>
          <w:p w:rsidR="009B3E34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(n=26)</w:t>
            </w:r>
          </w:p>
        </w:tc>
        <w:tc>
          <w:tcPr>
            <w:tcW w:w="688" w:type="pct"/>
            <w:tcBorders>
              <w:top w:val="single" w:sz="4" w:space="0" w:color="000000"/>
              <w:bottom w:val="single" w:sz="4" w:space="0" w:color="000000"/>
            </w:tcBorders>
          </w:tcPr>
          <w:p w:rsidR="009B3E34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P value</w:t>
            </w:r>
          </w:p>
        </w:tc>
      </w:tr>
      <w:tr w:rsidR="007637CC" w:rsidRPr="007637CC" w:rsidTr="007637CC">
        <w:tc>
          <w:tcPr>
            <w:tcW w:w="2178" w:type="pct"/>
            <w:tcBorders>
              <w:top w:val="single" w:sz="4" w:space="0" w:color="000000"/>
            </w:tcBorders>
          </w:tcPr>
          <w:p w:rsidR="00975F49" w:rsidRPr="007637CC" w:rsidRDefault="005E0780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Age, month (Range)</w:t>
            </w:r>
          </w:p>
        </w:tc>
        <w:tc>
          <w:tcPr>
            <w:tcW w:w="1066" w:type="pct"/>
            <w:tcBorders>
              <w:top w:val="single" w:sz="4" w:space="0" w:color="000000"/>
            </w:tcBorders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8.9 (0.3-41.3)</w:t>
            </w:r>
          </w:p>
        </w:tc>
        <w:tc>
          <w:tcPr>
            <w:tcW w:w="1068" w:type="pct"/>
            <w:tcBorders>
              <w:top w:val="single" w:sz="4" w:space="0" w:color="000000"/>
            </w:tcBorders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4.75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13.0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88" w:type="pct"/>
            <w:tcBorders>
              <w:top w:val="single" w:sz="4" w:space="0" w:color="000000"/>
            </w:tcBorders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0.043</w:t>
            </w: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Gender, male/female (%)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15 (46.9%)/ 17 (53.1%)</w:t>
            </w:r>
          </w:p>
        </w:tc>
        <w:tc>
          <w:tcPr>
            <w:tcW w:w="1068" w:type="pct"/>
          </w:tcPr>
          <w:p w:rsidR="00975F49" w:rsidRPr="007637CC" w:rsidRDefault="008B0DF7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21 (80.8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%)/ 5 (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19.2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688" w:type="pct"/>
          </w:tcPr>
          <w:p w:rsidR="00975F49" w:rsidRPr="007637CC" w:rsidRDefault="008B0DF7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0.008</w:t>
            </w: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5E0780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Body weight, kg (Range)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7.8 (3.0-10.0)</w:t>
            </w:r>
          </w:p>
        </w:tc>
        <w:tc>
          <w:tcPr>
            <w:tcW w:w="1068" w:type="pct"/>
          </w:tcPr>
          <w:p w:rsidR="00975F49" w:rsidRPr="007637CC" w:rsidRDefault="004A7425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6.7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2.65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9B3E34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.0)</w:t>
            </w:r>
          </w:p>
        </w:tc>
        <w:tc>
          <w:tcPr>
            <w:tcW w:w="68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3244" w:type="pct"/>
            <w:gridSpan w:val="2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Causes of death, number (%)</w:t>
            </w:r>
          </w:p>
        </w:tc>
        <w:tc>
          <w:tcPr>
            <w:tcW w:w="106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pct"/>
          </w:tcPr>
          <w:p w:rsidR="00975F49" w:rsidRPr="007637CC" w:rsidRDefault="008B0DF7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Brain injury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 (21.9%)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 (3.8)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Pneumonia or respiratory failure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 (18.8%)</w:t>
            </w:r>
          </w:p>
        </w:tc>
        <w:tc>
          <w:tcPr>
            <w:tcW w:w="106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 (</w:t>
            </w:r>
            <w:r w:rsidR="009B3E34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11.5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Cerebral hemorrhage or hernia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 (15.6%)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5.4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Intracranial infection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 (9.4%)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Brain tumor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 (6.3%)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 (7.7%)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Trauma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 (6.3%)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 (19.2%)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Congenital heart disease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 (3.1%)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975F49" w:rsidRPr="007637CC" w:rsidRDefault="00975F49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Unknown</w:t>
            </w:r>
          </w:p>
        </w:tc>
        <w:tc>
          <w:tcPr>
            <w:tcW w:w="1066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 (18.8%)</w:t>
            </w:r>
          </w:p>
        </w:tc>
        <w:tc>
          <w:tcPr>
            <w:tcW w:w="1068" w:type="pct"/>
          </w:tcPr>
          <w:p w:rsidR="00975F49" w:rsidRPr="007637CC" w:rsidRDefault="009B3E34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</w:t>
            </w: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9.5</w:t>
            </w:r>
            <w:r w:rsidR="00975F49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688" w:type="pct"/>
          </w:tcPr>
          <w:p w:rsidR="00975F49" w:rsidRPr="007637CC" w:rsidRDefault="00975F49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511E65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Donor type, number (%)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DBD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9 (28.1%)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 (19.2%)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DCD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19 (59.4%)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18 (69.2%)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DBCD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4 (12.5%)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 (11.5%)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Warm ischemia time, min (Range)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5.0 (0.0-12.0)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5.0 (0.0-30.0)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637CC">
        <w:tc>
          <w:tcPr>
            <w:tcW w:w="2178" w:type="pct"/>
            <w:tcBorders>
              <w:bottom w:val="single" w:sz="4" w:space="0" w:color="000000"/>
            </w:tcBorders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Cold ischemia time, hour (Range)</w:t>
            </w:r>
          </w:p>
        </w:tc>
        <w:tc>
          <w:tcPr>
            <w:tcW w:w="1066" w:type="pct"/>
            <w:tcBorders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8.0 (2.0</w:t>
            </w:r>
            <w:bookmarkStart w:id="0" w:name="_GoBack"/>
            <w:bookmarkEnd w:id="0"/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-23.5)</w:t>
            </w:r>
          </w:p>
        </w:tc>
        <w:tc>
          <w:tcPr>
            <w:tcW w:w="1068" w:type="pct"/>
            <w:tcBorders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12.0 (2.0-23.0)</w:t>
            </w:r>
          </w:p>
        </w:tc>
        <w:tc>
          <w:tcPr>
            <w:tcW w:w="688" w:type="pct"/>
            <w:tcBorders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0.001</w:t>
            </w:r>
          </w:p>
        </w:tc>
      </w:tr>
      <w:tr w:rsidR="007637CC" w:rsidRPr="007637CC" w:rsidTr="007637CC">
        <w:tc>
          <w:tcPr>
            <w:tcW w:w="21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Recipient characteristics</w: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Single</w:t>
            </w:r>
          </w:p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(n=56)</w:t>
            </w:r>
          </w:p>
        </w:tc>
        <w:tc>
          <w:tcPr>
            <w:tcW w:w="1068" w:type="pct"/>
            <w:tcBorders>
              <w:top w:val="single" w:sz="4" w:space="0" w:color="000000"/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En bloc</w:t>
            </w:r>
          </w:p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(n=26)</w:t>
            </w:r>
          </w:p>
        </w:tc>
        <w:tc>
          <w:tcPr>
            <w:tcW w:w="688" w:type="pct"/>
            <w:tcBorders>
              <w:top w:val="single" w:sz="4" w:space="0" w:color="000000"/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P value</w:t>
            </w:r>
          </w:p>
        </w:tc>
      </w:tr>
      <w:tr w:rsidR="007637CC" w:rsidRPr="007637CC" w:rsidTr="007637CC">
        <w:tc>
          <w:tcPr>
            <w:tcW w:w="2178" w:type="pct"/>
            <w:tcBorders>
              <w:top w:val="single" w:sz="4" w:space="0" w:color="000000"/>
            </w:tcBorders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Age, year (Range)</w:t>
            </w:r>
          </w:p>
        </w:tc>
        <w:tc>
          <w:tcPr>
            <w:tcW w:w="1066" w:type="pct"/>
            <w:tcBorders>
              <w:top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9.0 (1.4-17.0)</w:t>
            </w:r>
          </w:p>
        </w:tc>
        <w:tc>
          <w:tcPr>
            <w:tcW w:w="1068" w:type="pct"/>
            <w:tcBorders>
              <w:top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27.5 (7.3-51.6)</w:t>
            </w:r>
          </w:p>
        </w:tc>
        <w:tc>
          <w:tcPr>
            <w:tcW w:w="688" w:type="pct"/>
            <w:tcBorders>
              <w:top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Gender, male/female (%)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32 (42.9%)/24 (57.1%)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10 (38.5%)/ 16 (61.5%)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Body weight, kg (Range)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22.0 (6.5-44.0)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37.75 (20.5-81.0)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Donor/Recipient BW Ratio, (Range)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1:3.2</w:t>
            </w:r>
          </w:p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(1:0.7-1:9.1)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1:7.9</w:t>
            </w:r>
          </w:p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(1:2.6-1:15.0)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Waiting time since dialysis, month (Range)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8.0 (0.0-72.0)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15.9 (0.0-87.7)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0.028</w:t>
            </w:r>
          </w:p>
        </w:tc>
      </w:tr>
      <w:tr w:rsidR="007637CC" w:rsidRPr="007637CC" w:rsidTr="007A5BFD">
        <w:tc>
          <w:tcPr>
            <w:tcW w:w="3244" w:type="pct"/>
            <w:gridSpan w:val="2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Type of dialysis, number (%)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Preemptive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 (10.7%)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 (3.8%)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PD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20 (35.7%)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 (26.9%)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HD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25 (44.7%)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18 (69.2%)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PD + HD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 (8.9%)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HLA mismatch number (Range)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 (2-6)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 (3-6)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3244" w:type="pct"/>
            <w:gridSpan w:val="2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Primary disease, number (%)</w:t>
            </w:r>
          </w:p>
        </w:tc>
        <w:tc>
          <w:tcPr>
            <w:tcW w:w="106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Glomerulonephritis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35 (62.5%)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13 (50.0%)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FSGS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 (8.9%)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IgA nephropathy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3 (5.3%)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9 (34.6%)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7637CC" w:rsidRPr="007637CC" w:rsidTr="007A5BFD">
        <w:tc>
          <w:tcPr>
            <w:tcW w:w="2178" w:type="pct"/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Congenital renal dysplasia</w:t>
            </w:r>
          </w:p>
        </w:tc>
        <w:tc>
          <w:tcPr>
            <w:tcW w:w="1066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 (3.6%)</w:t>
            </w:r>
          </w:p>
        </w:tc>
        <w:tc>
          <w:tcPr>
            <w:tcW w:w="106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  <w:tr w:rsidR="007637CC" w:rsidRPr="007637CC" w:rsidTr="007637CC">
        <w:tc>
          <w:tcPr>
            <w:tcW w:w="2178" w:type="pct"/>
            <w:tcBorders>
              <w:bottom w:val="single" w:sz="4" w:space="0" w:color="000000"/>
            </w:tcBorders>
          </w:tcPr>
          <w:p w:rsidR="008A413E" w:rsidRPr="007637CC" w:rsidRDefault="008A413E" w:rsidP="008A413E">
            <w:pPr>
              <w:adjustRightInd w:val="0"/>
              <w:snapToGrid w:val="0"/>
              <w:spacing w:line="480" w:lineRule="auto"/>
              <w:jc w:val="left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Other</w:t>
            </w:r>
          </w:p>
        </w:tc>
        <w:tc>
          <w:tcPr>
            <w:tcW w:w="1066" w:type="pct"/>
            <w:tcBorders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11 (19.7%)</w:t>
            </w:r>
          </w:p>
        </w:tc>
        <w:tc>
          <w:tcPr>
            <w:tcW w:w="1068" w:type="pct"/>
            <w:tcBorders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4 (15.4%)</w:t>
            </w:r>
          </w:p>
        </w:tc>
        <w:tc>
          <w:tcPr>
            <w:tcW w:w="688" w:type="pct"/>
            <w:tcBorders>
              <w:bottom w:val="single" w:sz="4" w:space="0" w:color="000000"/>
            </w:tcBorders>
          </w:tcPr>
          <w:p w:rsidR="008A413E" w:rsidRPr="007637CC" w:rsidRDefault="008A413E" w:rsidP="005E0780">
            <w:pPr>
              <w:adjustRightInd w:val="0"/>
              <w:snapToGri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7032ED" w:rsidRPr="007637C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</w:tr>
    </w:tbl>
    <w:p w:rsidR="00DD32B7" w:rsidRPr="007637CC" w:rsidRDefault="007A5BFD" w:rsidP="005E078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37CC">
        <w:rPr>
          <w:rFonts w:ascii="Times New Roman" w:hAnsi="Times New Roman" w:cs="Times New Roman"/>
          <w:sz w:val="24"/>
          <w:szCs w:val="24"/>
        </w:rPr>
        <w:t xml:space="preserve">BW, </w:t>
      </w:r>
      <w:r w:rsidRPr="007637C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body weight; </w:t>
      </w:r>
      <w:r w:rsidRPr="007637CC">
        <w:rPr>
          <w:rFonts w:ascii="Times New Roman" w:hAnsi="Times New Roman" w:cs="Times New Roman"/>
          <w:sz w:val="24"/>
          <w:szCs w:val="24"/>
        </w:rPr>
        <w:t xml:space="preserve">DBD, donation after brain death; DBCD, donation after brain and cardiac death; DCD, donation after cardiac death; </w:t>
      </w:r>
      <w:r w:rsidR="005E0780" w:rsidRPr="007637CC">
        <w:rPr>
          <w:rFonts w:ascii="Times New Roman" w:hAnsi="Times New Roman" w:cs="Times New Roman"/>
          <w:sz w:val="24"/>
          <w:szCs w:val="24"/>
        </w:rPr>
        <w:t xml:space="preserve">FSGS, Focal segmental </w:t>
      </w:r>
      <w:r w:rsidR="005E0780" w:rsidRPr="007637CC">
        <w:rPr>
          <w:rFonts w:ascii="Times New Roman" w:hAnsi="Times New Roman" w:cs="Times New Roman"/>
          <w:sz w:val="24"/>
          <w:szCs w:val="24"/>
        </w:rPr>
        <w:lastRenderedPageBreak/>
        <w:t>glomerulosclerosis; HD, hemodialysis; PD, peritoneal dialysis;</w:t>
      </w:r>
    </w:p>
    <w:p w:rsidR="005E0780" w:rsidRPr="007637CC" w:rsidRDefault="005E0780" w:rsidP="005E078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</w:rPr>
      </w:pPr>
      <w:r w:rsidRPr="007637CC">
        <w:rPr>
          <w:rFonts w:ascii="Times New Roman" w:hAnsi="Times New Roman" w:cs="Times New Roman"/>
          <w:sz w:val="24"/>
          <w:szCs w:val="24"/>
        </w:rPr>
        <w:t>N</w:t>
      </w:r>
      <w:r w:rsidR="007032ED" w:rsidRPr="007637CC">
        <w:rPr>
          <w:rFonts w:ascii="Times New Roman" w:hAnsi="Times New Roman" w:cs="Times New Roman"/>
          <w:sz w:val="24"/>
          <w:szCs w:val="24"/>
        </w:rPr>
        <w:t>S</w:t>
      </w:r>
      <w:r w:rsidR="007032ED" w:rsidRPr="007637CC">
        <w:rPr>
          <w:rFonts w:ascii="Times New Roman" w:hAnsi="Times New Roman" w:cs="Times New Roman" w:hint="eastAsia"/>
          <w:sz w:val="24"/>
          <w:szCs w:val="24"/>
        </w:rPr>
        <w:t>,</w:t>
      </w:r>
      <w:r w:rsidR="007032ED" w:rsidRPr="007637CC">
        <w:rPr>
          <w:rFonts w:ascii="Times New Roman" w:hAnsi="Times New Roman" w:cs="Times New Roman"/>
          <w:sz w:val="24"/>
          <w:szCs w:val="24"/>
        </w:rPr>
        <w:t xml:space="preserve"> not significant, </w:t>
      </w:r>
      <w:r w:rsidRPr="007637CC">
        <w:rPr>
          <w:rFonts w:ascii="Times New Roman" w:hAnsi="Times New Roman" w:cs="Times New Roman"/>
          <w:sz w:val="24"/>
          <w:szCs w:val="24"/>
        </w:rPr>
        <w:t>P&gt;0.05</w:t>
      </w:r>
    </w:p>
    <w:sectPr w:rsidR="005E0780" w:rsidRPr="0076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9F" w:rsidRDefault="00FB509F" w:rsidP="002F7216">
      <w:r>
        <w:separator/>
      </w:r>
    </w:p>
  </w:endnote>
  <w:endnote w:type="continuationSeparator" w:id="0">
    <w:p w:rsidR="00FB509F" w:rsidRDefault="00FB509F" w:rsidP="002F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9F" w:rsidRDefault="00FB509F" w:rsidP="002F7216">
      <w:r>
        <w:separator/>
      </w:r>
    </w:p>
  </w:footnote>
  <w:footnote w:type="continuationSeparator" w:id="0">
    <w:p w:rsidR="00FB509F" w:rsidRDefault="00FB509F" w:rsidP="002F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6DB"/>
    <w:multiLevelType w:val="hybridMultilevel"/>
    <w:tmpl w:val="B3DC8BE2"/>
    <w:lvl w:ilvl="0" w:tplc="E54646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810E35"/>
    <w:multiLevelType w:val="hybridMultilevel"/>
    <w:tmpl w:val="C2CC9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8633C"/>
    <w:multiLevelType w:val="hybridMultilevel"/>
    <w:tmpl w:val="DB608E64"/>
    <w:lvl w:ilvl="0" w:tplc="DCB0E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205C20"/>
    <w:multiLevelType w:val="hybridMultilevel"/>
    <w:tmpl w:val="A1B4012C"/>
    <w:lvl w:ilvl="0" w:tplc="B6881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F84D80"/>
    <w:multiLevelType w:val="hybridMultilevel"/>
    <w:tmpl w:val="1408D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67EBD"/>
    <w:multiLevelType w:val="hybridMultilevel"/>
    <w:tmpl w:val="77A227E6"/>
    <w:lvl w:ilvl="0" w:tplc="0A8E3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7530D8"/>
    <w:multiLevelType w:val="hybridMultilevel"/>
    <w:tmpl w:val="20EC4D40"/>
    <w:lvl w:ilvl="0" w:tplc="2A84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49"/>
    <w:rsid w:val="00057B5C"/>
    <w:rsid w:val="00066676"/>
    <w:rsid w:val="00082B91"/>
    <w:rsid w:val="002F7216"/>
    <w:rsid w:val="0031761F"/>
    <w:rsid w:val="004A7425"/>
    <w:rsid w:val="005E0780"/>
    <w:rsid w:val="006F4E57"/>
    <w:rsid w:val="007032ED"/>
    <w:rsid w:val="007637CC"/>
    <w:rsid w:val="007A5BFD"/>
    <w:rsid w:val="007C0F89"/>
    <w:rsid w:val="00832749"/>
    <w:rsid w:val="008A413E"/>
    <w:rsid w:val="008B0DF7"/>
    <w:rsid w:val="00944080"/>
    <w:rsid w:val="00975F49"/>
    <w:rsid w:val="00976B27"/>
    <w:rsid w:val="009B3E34"/>
    <w:rsid w:val="009B7455"/>
    <w:rsid w:val="00C65FCB"/>
    <w:rsid w:val="00DA4DDB"/>
    <w:rsid w:val="00DD32B7"/>
    <w:rsid w:val="00E470B3"/>
    <w:rsid w:val="00E72D67"/>
    <w:rsid w:val="00FB509F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2AFB"/>
  <w15:chartTrackingRefBased/>
  <w15:docId w15:val="{187F5D34-AC2A-4FE9-9C7E-D523F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5F49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table" w:styleId="a3">
    <w:name w:val="Table Grid"/>
    <w:basedOn w:val="a1"/>
    <w:uiPriority w:val="39"/>
    <w:rsid w:val="0097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2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216"/>
    <w:rPr>
      <w:sz w:val="18"/>
      <w:szCs w:val="18"/>
    </w:rPr>
  </w:style>
  <w:style w:type="paragraph" w:styleId="a8">
    <w:name w:val="List Paragraph"/>
    <w:basedOn w:val="a"/>
    <w:uiPriority w:val="34"/>
    <w:qFormat/>
    <w:rsid w:val="005E078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E078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5E07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5E078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E078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E07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078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E07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E078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E0780"/>
    <w:rPr>
      <w:sz w:val="18"/>
      <w:szCs w:val="18"/>
    </w:rPr>
  </w:style>
  <w:style w:type="character" w:styleId="af2">
    <w:name w:val="Emphasis"/>
    <w:basedOn w:val="a0"/>
    <w:uiPriority w:val="20"/>
    <w:qFormat/>
    <w:rsid w:val="005E0780"/>
    <w:rPr>
      <w:i/>
      <w:iCs/>
    </w:rPr>
  </w:style>
  <w:style w:type="character" w:customStyle="1" w:styleId="fontstyle21">
    <w:name w:val="fontstyle21"/>
    <w:basedOn w:val="a0"/>
    <w:rsid w:val="005E0780"/>
    <w:rPr>
      <w:rFonts w:ascii="SymbolMT" w:hAnsi="SymbolMT" w:hint="default"/>
      <w:b w:val="0"/>
      <w:bCs w:val="0"/>
      <w:i w:val="0"/>
      <w:iCs w:val="0"/>
      <w:color w:val="221E1F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5E0780"/>
    <w:pPr>
      <w:jc w:val="center"/>
    </w:pPr>
    <w:rPr>
      <w:rFonts w:ascii="Times New Roman" w:eastAsia="等线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a0"/>
    <w:link w:val="EndNoteBibliographyTitle"/>
    <w:rsid w:val="005E0780"/>
    <w:rPr>
      <w:rFonts w:ascii="Times New Roman" w:eastAsia="等线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5E0780"/>
    <w:pPr>
      <w:jc w:val="left"/>
    </w:pPr>
    <w:rPr>
      <w:rFonts w:ascii="Times New Roman" w:eastAsia="等线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5E0780"/>
    <w:rPr>
      <w:rFonts w:ascii="Times New Roman" w:eastAsia="等线" w:hAnsi="Times New Roman" w:cs="Times New Roman"/>
      <w:noProof/>
      <w:sz w:val="24"/>
    </w:rPr>
  </w:style>
  <w:style w:type="character" w:styleId="af3">
    <w:name w:val="line number"/>
    <w:basedOn w:val="a0"/>
    <w:uiPriority w:val="99"/>
    <w:semiHidden/>
    <w:unhideWhenUsed/>
    <w:rsid w:val="005E0780"/>
  </w:style>
  <w:style w:type="character" w:styleId="af4">
    <w:name w:val="FollowedHyperlink"/>
    <w:basedOn w:val="a0"/>
    <w:uiPriority w:val="99"/>
    <w:semiHidden/>
    <w:unhideWhenUsed/>
    <w:rsid w:val="005E0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Company>Sun Yat-sen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Su</dc:creator>
  <cp:keywords/>
  <dc:description/>
  <cp:lastModifiedBy>Vincent Su</cp:lastModifiedBy>
  <cp:revision>2</cp:revision>
  <dcterms:created xsi:type="dcterms:W3CDTF">2020-05-24T19:15:00Z</dcterms:created>
  <dcterms:modified xsi:type="dcterms:W3CDTF">2020-05-24T19:15:00Z</dcterms:modified>
</cp:coreProperties>
</file>