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D01" w:rsidRDefault="00F0451A">
      <w:r>
        <w:rPr>
          <w:noProof/>
        </w:rPr>
        <w:drawing>
          <wp:inline distT="0" distB="0" distL="0" distR="0">
            <wp:extent cx="2498292" cy="7231118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1 v3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40" cy="723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1A" w:rsidRDefault="003972B2" w:rsidP="003972B2">
      <w:r w:rsidRPr="00CF6FDF">
        <w:rPr>
          <w:rFonts w:ascii="Times New Roman" w:hAnsi="Times New Roman"/>
          <w:b/>
          <w:bCs/>
          <w:color w:val="000000"/>
          <w:sz w:val="20"/>
          <w:szCs w:val="20"/>
        </w:rPr>
        <w:t xml:space="preserve">Fig. S1 </w:t>
      </w:r>
      <w:proofErr w:type="spellStart"/>
      <w:r w:rsidRPr="00CF6FDF">
        <w:rPr>
          <w:rFonts w:ascii="Times New Roman" w:hAnsi="Times New Roman"/>
          <w:b/>
          <w:bCs/>
          <w:color w:val="000000"/>
          <w:sz w:val="20"/>
          <w:szCs w:val="20"/>
        </w:rPr>
        <w:t>CoP</w:t>
      </w:r>
      <w:proofErr w:type="spellEnd"/>
      <w:r w:rsidRPr="00CF6FDF">
        <w:rPr>
          <w:rFonts w:ascii="Times New Roman" w:hAnsi="Times New Roman"/>
          <w:b/>
          <w:bCs/>
          <w:color w:val="000000"/>
          <w:sz w:val="20"/>
          <w:szCs w:val="20"/>
        </w:rPr>
        <w:t xml:space="preserve"> assay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can</w:t>
      </w:r>
      <w:r w:rsidRPr="00CF6FDF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robustly detect accessible chromatin</w:t>
      </w:r>
      <w:r w:rsidRPr="00CF6FDF">
        <w:rPr>
          <w:rFonts w:ascii="Times New Roman" w:hAnsi="Times New Roman"/>
          <w:b/>
          <w:bCs/>
          <w:color w:val="000000"/>
          <w:sz w:val="20"/>
          <w:szCs w:val="20"/>
        </w:rPr>
        <w:t xml:space="preserve">. </w:t>
      </w:r>
      <w:r>
        <w:rPr>
          <w:rFonts w:ascii="Times New Roman" w:hAnsi="Times New Roman" w:hint="eastAsia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-c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) Enrichment of active regions and </w:t>
      </w:r>
      <w:r>
        <w:rPr>
          <w:rFonts w:ascii="Times New Roman" w:hAnsi="Times New Roman"/>
          <w:color w:val="000000"/>
          <w:sz w:val="20"/>
          <w:szCs w:val="20"/>
        </w:rPr>
        <w:t>inactive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 regions in two formaldehyde concentrations (</w:t>
      </w:r>
      <w:r>
        <w:rPr>
          <w:rFonts w:ascii="Times New Roman" w:hAnsi="Times New Roman"/>
          <w:color w:val="000000"/>
          <w:sz w:val="20"/>
          <w:szCs w:val="20"/>
        </w:rPr>
        <w:t>a</w:t>
      </w:r>
      <w:r w:rsidRPr="00CF6FDF">
        <w:rPr>
          <w:rFonts w:ascii="Times New Roman" w:hAnsi="Times New Roman"/>
          <w:color w:val="000000"/>
          <w:sz w:val="20"/>
          <w:szCs w:val="20"/>
        </w:rPr>
        <w:t>), four crosslink times at 1% formaldehyde concentration (</w:t>
      </w:r>
      <w:r>
        <w:rPr>
          <w:rFonts w:ascii="Times New Roman" w:hAnsi="Times New Roman"/>
          <w:color w:val="000000"/>
          <w:sz w:val="20"/>
          <w:szCs w:val="20"/>
        </w:rPr>
        <w:t>b</w:t>
      </w:r>
      <w:r w:rsidRPr="00CF6FDF">
        <w:rPr>
          <w:rFonts w:ascii="Times New Roman" w:hAnsi="Times New Roman"/>
          <w:color w:val="000000"/>
          <w:sz w:val="20"/>
          <w:szCs w:val="20"/>
        </w:rPr>
        <w:t>),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CF6FDF">
        <w:rPr>
          <w:rFonts w:ascii="Times New Roman" w:hAnsi="Times New Roman"/>
          <w:color w:val="000000"/>
          <w:sz w:val="20"/>
          <w:szCs w:val="20"/>
        </w:rPr>
        <w:t>four sonication times (</w:t>
      </w:r>
      <w:r>
        <w:rPr>
          <w:rFonts w:ascii="Times New Roman" w:hAnsi="Times New Roman"/>
          <w:color w:val="000000"/>
          <w:sz w:val="20"/>
          <w:szCs w:val="20"/>
        </w:rPr>
        <w:t>c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). </w:t>
      </w:r>
      <w:r>
        <w:rPr>
          <w:rFonts w:ascii="Times New Roman" w:hAnsi="Times New Roman"/>
          <w:color w:val="000000"/>
          <w:sz w:val="20"/>
          <w:szCs w:val="20"/>
        </w:rPr>
        <w:t>d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) </w:t>
      </w:r>
      <w:proofErr w:type="spellStart"/>
      <w:r w:rsidRPr="00CF6FDF">
        <w:rPr>
          <w:rFonts w:ascii="Times New Roman" w:hAnsi="Times New Roman"/>
          <w:color w:val="000000"/>
          <w:sz w:val="20"/>
          <w:szCs w:val="20"/>
        </w:rPr>
        <w:t>CoP</w:t>
      </w:r>
      <w:proofErr w:type="spellEnd"/>
      <w:r w:rsidRPr="00CF6FDF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chromatin </w:t>
      </w:r>
      <w:r w:rsidRPr="00CF6FDF">
        <w:rPr>
          <w:rFonts w:ascii="Times New Roman" w:hAnsi="Times New Roman"/>
          <w:color w:val="000000"/>
          <w:sz w:val="20"/>
          <w:szCs w:val="20"/>
        </w:rPr>
        <w:t>enrichment</w:t>
      </w:r>
      <w:r>
        <w:rPr>
          <w:rFonts w:ascii="Times New Roman" w:hAnsi="Times New Roman"/>
          <w:color w:val="000000"/>
          <w:sz w:val="20"/>
          <w:szCs w:val="20"/>
        </w:rPr>
        <w:t xml:space="preserve"> in low-cell-numbers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) </w:t>
      </w:r>
      <w:proofErr w:type="spellStart"/>
      <w:r w:rsidRPr="00CF6FDF">
        <w:rPr>
          <w:rFonts w:ascii="Times New Roman" w:hAnsi="Times New Roman"/>
          <w:color w:val="000000"/>
          <w:sz w:val="20"/>
          <w:szCs w:val="20"/>
        </w:rPr>
        <w:t>CoP</w:t>
      </w:r>
      <w:proofErr w:type="spellEnd"/>
      <w:r w:rsidRPr="00CF6FDF">
        <w:rPr>
          <w:rFonts w:ascii="Times New Roman" w:hAnsi="Times New Roman"/>
          <w:color w:val="000000"/>
          <w:sz w:val="20"/>
          <w:szCs w:val="20"/>
        </w:rPr>
        <w:t xml:space="preserve"> enrichment in three human cell lines and three mouse tissues. GAPDH, GAPDH gene promoter; Magea2, Magea2 gene promoter;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Ea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Tcra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gene enhancer E</w:t>
      </w:r>
      <w:r>
        <w:rPr>
          <w:rFonts w:cs="Calibri"/>
          <w:color w:val="000000"/>
          <w:sz w:val="20"/>
          <w:szCs w:val="20"/>
        </w:rPr>
        <w:t>α</w:t>
      </w:r>
      <w:r>
        <w:rPr>
          <w:rFonts w:ascii="Times New Roman" w:hAnsi="Times New Roman"/>
          <w:color w:val="000000"/>
          <w:sz w:val="20"/>
          <w:szCs w:val="20"/>
        </w:rPr>
        <w:t xml:space="preserve">; B2M, B2m gene promoter. The common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CoP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condition: crosslink with 2% formaldehyde for 10 minutes and sonication for 30 minutes. </w:t>
      </w:r>
      <w:r w:rsidRPr="00D501BC">
        <w:rPr>
          <w:rFonts w:ascii="Times New Roman" w:hAnsi="Times New Roman" w:cs="Times New Roman"/>
        </w:rPr>
        <w:t>The data are plotted as mean ± SD of three independent experiments.</w:t>
      </w:r>
      <w:r w:rsidR="00F0451A">
        <w:br w:type="page"/>
      </w:r>
    </w:p>
    <w:p w:rsidR="00F0451A" w:rsidRDefault="00F0451A">
      <w:r>
        <w:rPr>
          <w:noProof/>
        </w:rPr>
        <w:lastRenderedPageBreak/>
        <w:drawing>
          <wp:inline distT="0" distB="0" distL="0" distR="0">
            <wp:extent cx="3721620" cy="6053348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2 v3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620" cy="605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6EE" w:rsidRDefault="00B266EE" w:rsidP="00B266EE">
      <w:pPr>
        <w:jc w:val="left"/>
        <w:rPr>
          <w:rFonts w:ascii="Times New Roman" w:hAnsi="Times New Roman"/>
          <w:color w:val="000000"/>
          <w:sz w:val="20"/>
          <w:szCs w:val="20"/>
        </w:rPr>
      </w:pPr>
      <w:r w:rsidRPr="00CF6FDF">
        <w:rPr>
          <w:rFonts w:ascii="Times New Roman" w:hAnsi="Times New Roman"/>
          <w:b/>
          <w:bCs/>
          <w:color w:val="000000"/>
          <w:sz w:val="20"/>
          <w:szCs w:val="20"/>
        </w:rPr>
        <w:t xml:space="preserve">Fig. S2 </w:t>
      </w:r>
      <w:proofErr w:type="spellStart"/>
      <w:r w:rsidRPr="00CF6FDF">
        <w:rPr>
          <w:rFonts w:ascii="Times New Roman" w:hAnsi="Times New Roman"/>
          <w:b/>
          <w:bCs/>
          <w:color w:val="000000"/>
          <w:sz w:val="20"/>
          <w:szCs w:val="20"/>
        </w:rPr>
        <w:t>CoP-seq</w:t>
      </w:r>
      <w:proofErr w:type="spellEnd"/>
      <w:r w:rsidRPr="00CF6FDF">
        <w:rPr>
          <w:rFonts w:ascii="Times New Roman" w:hAnsi="Times New Roman"/>
          <w:b/>
          <w:bCs/>
          <w:color w:val="000000"/>
          <w:sz w:val="20"/>
          <w:szCs w:val="20"/>
        </w:rPr>
        <w:t xml:space="preserve"> detects accessible chromatin regions in genome-wide.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</w:t>
      </w:r>
      <w:r w:rsidRPr="00CF6FDF">
        <w:rPr>
          <w:rFonts w:ascii="Times New Roman" w:hAnsi="Times New Roman"/>
          <w:color w:val="000000"/>
          <w:sz w:val="20"/>
          <w:szCs w:val="20"/>
        </w:rPr>
        <w:t>)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Deep sequencing information of </w:t>
      </w:r>
      <w:proofErr w:type="spellStart"/>
      <w:r w:rsidRPr="00CF6FDF">
        <w:rPr>
          <w:rFonts w:ascii="Times New Roman" w:hAnsi="Times New Roman"/>
          <w:color w:val="000000"/>
          <w:sz w:val="20"/>
          <w:szCs w:val="20"/>
        </w:rPr>
        <w:t>CoP</w:t>
      </w:r>
      <w:r>
        <w:rPr>
          <w:rFonts w:ascii="Times New Roman" w:hAnsi="Times New Roman"/>
          <w:color w:val="000000"/>
          <w:sz w:val="20"/>
          <w:szCs w:val="20"/>
        </w:rPr>
        <w:t>-seq</w:t>
      </w:r>
      <w:proofErr w:type="spellEnd"/>
      <w:r w:rsidRPr="00CF6FDF">
        <w:rPr>
          <w:rFonts w:ascii="Times New Roman" w:hAnsi="Times New Roman"/>
          <w:color w:val="000000"/>
          <w:sz w:val="20"/>
          <w:szCs w:val="20"/>
        </w:rPr>
        <w:t>, ATAC</w:t>
      </w:r>
      <w:r>
        <w:rPr>
          <w:rFonts w:ascii="Times New Roman" w:hAnsi="Times New Roman"/>
          <w:color w:val="000000"/>
          <w:sz w:val="20"/>
          <w:szCs w:val="20"/>
        </w:rPr>
        <w:t>-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seq</w:t>
      </w:r>
      <w:proofErr w:type="spellEnd"/>
      <w:r w:rsidRPr="00CF6FDF">
        <w:rPr>
          <w:rFonts w:ascii="Times New Roman" w:hAnsi="Times New Roman"/>
          <w:color w:val="000000"/>
          <w:sz w:val="20"/>
          <w:szCs w:val="20"/>
        </w:rPr>
        <w:t>, and FAIRE</w:t>
      </w:r>
      <w:r>
        <w:rPr>
          <w:rFonts w:ascii="Times New Roman" w:hAnsi="Times New Roman"/>
          <w:color w:val="000000"/>
          <w:sz w:val="20"/>
          <w:szCs w:val="20"/>
        </w:rPr>
        <w:t>-seq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. </w:t>
      </w:r>
      <w:proofErr w:type="spellStart"/>
      <w:r w:rsidRPr="00CF6FDF">
        <w:rPr>
          <w:rFonts w:ascii="Times New Roman" w:hAnsi="Times New Roman"/>
          <w:color w:val="000000"/>
          <w:sz w:val="20"/>
          <w:szCs w:val="20"/>
        </w:rPr>
        <w:t>FRiP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1B063E">
        <w:rPr>
          <w:rFonts w:ascii="Times New Roman" w:hAnsi="Times New Roman"/>
          <w:color w:val="000000"/>
          <w:sz w:val="20"/>
          <w:szCs w:val="20"/>
          <w:u w:val="single"/>
        </w:rPr>
        <w:t>F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ragment </w:t>
      </w:r>
      <w:r w:rsidRPr="001B063E">
        <w:rPr>
          <w:rFonts w:ascii="Times New Roman" w:hAnsi="Times New Roman"/>
          <w:color w:val="000000"/>
          <w:sz w:val="20"/>
          <w:szCs w:val="20"/>
          <w:u w:val="single"/>
        </w:rPr>
        <w:t>R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atio </w:t>
      </w:r>
      <w:r w:rsidRPr="008052C8">
        <w:rPr>
          <w:rFonts w:ascii="Times New Roman" w:hAnsi="Times New Roman"/>
          <w:color w:val="000000"/>
          <w:sz w:val="20"/>
          <w:szCs w:val="20"/>
          <w:u w:val="single"/>
        </w:rPr>
        <w:t>i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n </w:t>
      </w:r>
      <w:r w:rsidRPr="001B063E">
        <w:rPr>
          <w:rFonts w:ascii="Times New Roman" w:hAnsi="Times New Roman"/>
          <w:color w:val="000000"/>
          <w:sz w:val="20"/>
          <w:szCs w:val="20"/>
          <w:u w:val="single"/>
        </w:rPr>
        <w:t>P</w:t>
      </w:r>
      <w:r w:rsidRPr="00CF6FDF">
        <w:rPr>
          <w:rFonts w:ascii="Times New Roman" w:hAnsi="Times New Roman"/>
          <w:color w:val="000000"/>
          <w:sz w:val="20"/>
          <w:szCs w:val="20"/>
        </w:rPr>
        <w:t>eaks.</w:t>
      </w:r>
      <w:r>
        <w:rPr>
          <w:rFonts w:ascii="Times New Roman" w:hAnsi="Times New Roman"/>
          <w:color w:val="000000"/>
          <w:sz w:val="20"/>
          <w:szCs w:val="20"/>
        </w:rPr>
        <w:t xml:space="preserve"> b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) </w:t>
      </w:r>
      <w:r>
        <w:rPr>
          <w:rFonts w:ascii="Times New Roman" w:hAnsi="Times New Roman"/>
          <w:color w:val="000000"/>
          <w:sz w:val="20"/>
          <w:szCs w:val="20"/>
        </w:rPr>
        <w:t>S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ignal tracks of </w:t>
      </w:r>
      <w:proofErr w:type="spellStart"/>
      <w:r w:rsidRPr="00CF6FDF">
        <w:rPr>
          <w:rFonts w:ascii="Times New Roman" w:hAnsi="Times New Roman"/>
          <w:color w:val="000000"/>
          <w:sz w:val="20"/>
          <w:szCs w:val="20"/>
        </w:rPr>
        <w:t>CoP-seq</w:t>
      </w:r>
      <w:proofErr w:type="spellEnd"/>
      <w:r w:rsidRPr="00CF6FDF">
        <w:rPr>
          <w:rFonts w:ascii="Times New Roman" w:hAnsi="Times New Roman"/>
          <w:color w:val="000000"/>
          <w:sz w:val="20"/>
          <w:szCs w:val="20"/>
        </w:rPr>
        <w:t>, ATAC-</w:t>
      </w:r>
      <w:proofErr w:type="spellStart"/>
      <w:r w:rsidRPr="00CF6FDF">
        <w:rPr>
          <w:rFonts w:ascii="Times New Roman" w:hAnsi="Times New Roman"/>
          <w:color w:val="000000"/>
          <w:sz w:val="20"/>
          <w:szCs w:val="20"/>
        </w:rPr>
        <w:t>seq</w:t>
      </w:r>
      <w:proofErr w:type="spellEnd"/>
      <w:r w:rsidRPr="00CF6FDF">
        <w:rPr>
          <w:rFonts w:ascii="Times New Roman" w:hAnsi="Times New Roman"/>
          <w:color w:val="000000"/>
          <w:sz w:val="20"/>
          <w:szCs w:val="20"/>
        </w:rPr>
        <w:t xml:space="preserve">, and </w:t>
      </w:r>
      <w:proofErr w:type="spellStart"/>
      <w:r w:rsidRPr="00CF6FDF">
        <w:rPr>
          <w:rFonts w:ascii="Times New Roman" w:hAnsi="Times New Roman"/>
          <w:color w:val="000000"/>
          <w:sz w:val="20"/>
          <w:szCs w:val="20"/>
        </w:rPr>
        <w:t>HiCoP</w:t>
      </w:r>
      <w:proofErr w:type="spellEnd"/>
      <w:r w:rsidRPr="00CF6FDF">
        <w:rPr>
          <w:rFonts w:ascii="Times New Roman" w:hAnsi="Times New Roman"/>
          <w:color w:val="000000"/>
          <w:sz w:val="20"/>
          <w:szCs w:val="20"/>
        </w:rPr>
        <w:t xml:space="preserve"> of K562 cell. </w:t>
      </w:r>
      <w:r>
        <w:rPr>
          <w:rFonts w:ascii="Times New Roman" w:hAnsi="Times New Roman"/>
          <w:color w:val="000000"/>
          <w:sz w:val="20"/>
          <w:szCs w:val="20"/>
        </w:rPr>
        <w:t>c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) </w:t>
      </w:r>
      <w:r>
        <w:rPr>
          <w:rFonts w:ascii="Times New Roman" w:hAnsi="Times New Roman"/>
          <w:color w:val="000000"/>
          <w:sz w:val="20"/>
          <w:szCs w:val="20"/>
        </w:rPr>
        <w:t>S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ignal tracks of </w:t>
      </w:r>
      <w:proofErr w:type="spellStart"/>
      <w:r w:rsidRPr="00CF6FDF">
        <w:rPr>
          <w:rFonts w:ascii="Times New Roman" w:hAnsi="Times New Roman"/>
          <w:color w:val="000000"/>
          <w:sz w:val="20"/>
          <w:szCs w:val="20"/>
        </w:rPr>
        <w:t>CoP-seq</w:t>
      </w:r>
      <w:proofErr w:type="spellEnd"/>
      <w:r w:rsidRPr="00CF6FDF">
        <w:rPr>
          <w:rFonts w:ascii="Times New Roman" w:hAnsi="Times New Roman"/>
          <w:color w:val="000000"/>
          <w:sz w:val="20"/>
          <w:szCs w:val="20"/>
        </w:rPr>
        <w:t xml:space="preserve"> and ATAC-</w:t>
      </w:r>
      <w:proofErr w:type="spellStart"/>
      <w:r w:rsidRPr="00CF6FDF">
        <w:rPr>
          <w:rFonts w:ascii="Times New Roman" w:hAnsi="Times New Roman"/>
          <w:color w:val="000000"/>
          <w:sz w:val="20"/>
          <w:szCs w:val="20"/>
        </w:rPr>
        <w:t>seq</w:t>
      </w:r>
      <w:proofErr w:type="spellEnd"/>
      <w:r w:rsidRPr="00CF6FDF">
        <w:rPr>
          <w:rFonts w:ascii="Times New Roman" w:hAnsi="Times New Roman"/>
          <w:color w:val="000000"/>
          <w:sz w:val="20"/>
          <w:szCs w:val="20"/>
        </w:rPr>
        <w:t xml:space="preserve"> of mouse thymocytes. </w:t>
      </w:r>
      <w:r>
        <w:rPr>
          <w:rFonts w:ascii="Times New Roman" w:hAnsi="Times New Roman"/>
          <w:color w:val="000000"/>
          <w:sz w:val="20"/>
          <w:szCs w:val="20"/>
        </w:rPr>
        <w:t>d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) </w:t>
      </w:r>
      <w:r>
        <w:rPr>
          <w:rFonts w:ascii="Times New Roman" w:hAnsi="Times New Roman"/>
          <w:color w:val="000000"/>
          <w:sz w:val="20"/>
          <w:szCs w:val="20"/>
        </w:rPr>
        <w:t xml:space="preserve">The 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functional annotation of </w:t>
      </w:r>
      <w:r>
        <w:rPr>
          <w:rFonts w:ascii="Times New Roman" w:hAnsi="Times New Roman"/>
          <w:color w:val="000000"/>
          <w:sz w:val="20"/>
          <w:szCs w:val="20"/>
        </w:rPr>
        <w:t>the ATAC-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seq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FAIRE-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seq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, and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CoP-seq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peaks in K562 cells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 xml:space="preserve">Each cell contains the ratio of the annotated peaks in each type of peaks (normalized to 1). </w:t>
      </w:r>
      <w:r w:rsidRPr="00CF6FDF">
        <w:rPr>
          <w:rFonts w:ascii="Times New Roman" w:hAnsi="Times New Roman"/>
          <w:color w:val="000000"/>
          <w:sz w:val="20"/>
          <w:szCs w:val="20"/>
        </w:rPr>
        <w:t>Each assay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CF6FDF">
        <w:rPr>
          <w:rFonts w:ascii="Times New Roman" w:hAnsi="Times New Roman"/>
          <w:color w:val="000000"/>
          <w:sz w:val="20"/>
          <w:szCs w:val="20"/>
        </w:rPr>
        <w:t>contains two biological replicates.</w:t>
      </w:r>
    </w:p>
    <w:p w:rsidR="00F0451A" w:rsidRDefault="00F0451A">
      <w:pPr>
        <w:widowControl/>
        <w:jc w:val="left"/>
      </w:pPr>
      <w:r>
        <w:br w:type="page"/>
      </w:r>
    </w:p>
    <w:p w:rsidR="00F0451A" w:rsidRDefault="00F0451A">
      <w:r>
        <w:rPr>
          <w:noProof/>
        </w:rPr>
        <w:lastRenderedPageBreak/>
        <w:drawing>
          <wp:inline distT="0" distB="0" distL="0" distR="0">
            <wp:extent cx="5274310" cy="61144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3 v3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6EE" w:rsidRPr="001F1BC2" w:rsidRDefault="00B266EE" w:rsidP="00B266EE">
      <w:pPr>
        <w:jc w:val="lef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F6FDF">
        <w:rPr>
          <w:rFonts w:ascii="Times New Roman" w:hAnsi="Times New Roman"/>
          <w:b/>
          <w:bCs/>
          <w:color w:val="000000"/>
          <w:sz w:val="20"/>
          <w:szCs w:val="20"/>
        </w:rPr>
        <w:t>Fig. S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3</w:t>
      </w:r>
      <w:r w:rsidRPr="00CF6FDF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CF6FDF">
        <w:rPr>
          <w:rFonts w:ascii="Times New Roman" w:hAnsi="Times New Roman"/>
          <w:b/>
          <w:color w:val="000000"/>
          <w:sz w:val="20"/>
          <w:szCs w:val="20"/>
        </w:rPr>
        <w:t>HiCoP</w:t>
      </w:r>
      <w:proofErr w:type="spellEnd"/>
      <w:r w:rsidRPr="00CF6FDF">
        <w:rPr>
          <w:rFonts w:ascii="Times New Roman" w:hAnsi="Times New Roman"/>
          <w:b/>
          <w:color w:val="000000"/>
          <w:sz w:val="20"/>
          <w:szCs w:val="20"/>
        </w:rPr>
        <w:t xml:space="preserve"> efficiently detects interactions of regulatory regions.</w:t>
      </w:r>
      <w:r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7B24F8">
        <w:rPr>
          <w:rFonts w:ascii="Times New Roman" w:hAnsi="Times New Roman"/>
          <w:color w:val="000000"/>
          <w:sz w:val="20"/>
          <w:szCs w:val="20"/>
        </w:rPr>
        <w:t>a)</w:t>
      </w:r>
      <w:r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PET </w:t>
      </w:r>
      <w:r>
        <w:rPr>
          <w:rFonts w:ascii="Times New Roman" w:hAnsi="Times New Roman"/>
          <w:color w:val="000000"/>
          <w:sz w:val="20"/>
          <w:szCs w:val="20"/>
        </w:rPr>
        <w:t>in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formation of one example of </w:t>
      </w:r>
      <w:proofErr w:type="spellStart"/>
      <w:r w:rsidRPr="00CF6FDF">
        <w:rPr>
          <w:rFonts w:ascii="Times New Roman" w:hAnsi="Times New Roman"/>
          <w:color w:val="000000"/>
          <w:sz w:val="20"/>
          <w:szCs w:val="20"/>
        </w:rPr>
        <w:t>HiChIP</w:t>
      </w:r>
      <w:proofErr w:type="spellEnd"/>
      <w:r w:rsidRPr="00CF6FDF">
        <w:rPr>
          <w:rFonts w:ascii="Times New Roman" w:hAnsi="Times New Roman"/>
          <w:color w:val="000000"/>
          <w:sz w:val="20"/>
          <w:szCs w:val="20"/>
        </w:rPr>
        <w:t xml:space="preserve"> and </w:t>
      </w:r>
      <w:proofErr w:type="spellStart"/>
      <w:r w:rsidRPr="00CF6FDF">
        <w:rPr>
          <w:rFonts w:ascii="Times New Roman" w:hAnsi="Times New Roman"/>
          <w:color w:val="000000"/>
          <w:sz w:val="20"/>
          <w:szCs w:val="20"/>
        </w:rPr>
        <w:t>HiCoP</w:t>
      </w:r>
      <w:proofErr w:type="spellEnd"/>
      <w:r w:rsidRPr="00CF6FDF">
        <w:rPr>
          <w:rFonts w:ascii="Times New Roman" w:hAnsi="Times New Roman"/>
          <w:color w:val="000000"/>
          <w:sz w:val="20"/>
          <w:szCs w:val="20"/>
        </w:rPr>
        <w:t xml:space="preserve"> assay of K562 cells</w:t>
      </w:r>
      <w:r w:rsidRPr="00CF6FDF"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 xml:space="preserve">b) </w:t>
      </w:r>
      <w:r w:rsidRPr="006C201D">
        <w:rPr>
          <w:rFonts w:ascii="Times New Roman" w:hAnsi="Times New Roman"/>
          <w:color w:val="000000"/>
          <w:sz w:val="20"/>
          <w:szCs w:val="20"/>
        </w:rPr>
        <w:t>Summit-centered heatmaps</w:t>
      </w:r>
      <w:r>
        <w:rPr>
          <w:rFonts w:ascii="Times New Roman" w:hAnsi="Times New Roman"/>
          <w:color w:val="000000"/>
          <w:sz w:val="20"/>
          <w:szCs w:val="20"/>
        </w:rPr>
        <w:t xml:space="preserve"> of the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CoP-seq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HiCoP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1D peaks in K562 cells. c) The </w:t>
      </w:r>
      <w:r w:rsidRPr="00CF6FDF">
        <w:rPr>
          <w:rFonts w:ascii="Times New Roman" w:hAnsi="Times New Roman"/>
          <w:color w:val="000000"/>
          <w:sz w:val="20"/>
          <w:szCs w:val="20"/>
        </w:rPr>
        <w:t xml:space="preserve">functional annotation of </w:t>
      </w:r>
      <w:r>
        <w:rPr>
          <w:rFonts w:ascii="Times New Roman" w:hAnsi="Times New Roman"/>
          <w:color w:val="000000"/>
          <w:sz w:val="20"/>
          <w:szCs w:val="20"/>
        </w:rPr>
        <w:t xml:space="preserve">the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CoP-seq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HiCoP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1D peaks in K562 cells</w:t>
      </w:r>
      <w:r w:rsidRPr="00CF6FDF">
        <w:rPr>
          <w:rFonts w:ascii="Times New Roman" w:hAnsi="Times New Roman"/>
          <w:color w:val="000000"/>
          <w:sz w:val="20"/>
          <w:szCs w:val="20"/>
        </w:rPr>
        <w:t>.</w:t>
      </w:r>
    </w:p>
    <w:p w:rsidR="00F0451A" w:rsidRPr="00B266EE" w:rsidRDefault="00F0451A">
      <w:pPr>
        <w:rPr>
          <w:rFonts w:hint="eastAsia"/>
        </w:rPr>
      </w:pPr>
      <w:bookmarkStart w:id="0" w:name="_GoBack"/>
      <w:bookmarkEnd w:id="0"/>
    </w:p>
    <w:sectPr w:rsidR="00F0451A" w:rsidRPr="00B266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6C5"/>
    <w:rsid w:val="000D36C5"/>
    <w:rsid w:val="003972B2"/>
    <w:rsid w:val="00510D01"/>
    <w:rsid w:val="00B266EE"/>
    <w:rsid w:val="00F0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F0419A-2990-417F-A16D-621C798FA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219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haobingtao</dc:creator>
  <cp:keywords/>
  <dc:description/>
  <cp:lastModifiedBy>haobingtao</cp:lastModifiedBy>
  <cp:revision>4</cp:revision>
  <dcterms:created xsi:type="dcterms:W3CDTF">2020-06-03T08:49:00Z</dcterms:created>
  <dcterms:modified xsi:type="dcterms:W3CDTF">2020-06-03T08:51:00Z</dcterms:modified>
</cp:coreProperties>
</file>