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89D527" w14:textId="04B4F5B5" w:rsidR="00216C51" w:rsidRPr="00C74BA8" w:rsidRDefault="00216C51" w:rsidP="00C74BA8">
      <w:pPr>
        <w:pStyle w:val="Heading1"/>
        <w:rPr>
          <w:b/>
          <w:bCs w:val="0"/>
          <w:u w:val="none"/>
        </w:rPr>
      </w:pPr>
      <w:r w:rsidRPr="00C74BA8">
        <w:rPr>
          <w:b/>
          <w:bCs w:val="0"/>
          <w:u w:val="none"/>
        </w:rPr>
        <w:t>SUPPLEMENTARY INFORMATION</w:t>
      </w:r>
    </w:p>
    <w:p w14:paraId="1EC2FAA8" w14:textId="6E2D0864" w:rsidR="00216C51" w:rsidRPr="00C74BA8" w:rsidRDefault="00C74BA8" w:rsidP="00C74BA8">
      <w:pPr>
        <w:pStyle w:val="Heading1"/>
        <w:rPr>
          <w:b/>
          <w:bCs w:val="0"/>
          <w:u w:val="none"/>
        </w:rPr>
      </w:pPr>
      <w:r w:rsidRPr="00C74BA8">
        <w:rPr>
          <w:b/>
          <w:bCs w:val="0"/>
          <w:u w:val="none"/>
        </w:rPr>
        <w:t>Supplementary Methods</w:t>
      </w:r>
      <w:r>
        <w:rPr>
          <w:b/>
          <w:bCs w:val="0"/>
          <w:u w:val="none"/>
        </w:rPr>
        <w:t xml:space="preserve">: </w:t>
      </w:r>
      <w:r w:rsidR="00216C51" w:rsidRPr="00C74BA8">
        <w:rPr>
          <w:b/>
          <w:bCs w:val="0"/>
          <w:u w:val="none"/>
        </w:rPr>
        <w:t>2D immunolabelling of equine SDFT and rat Achilles tendon to establish optimum antibody concentrations</w:t>
      </w:r>
    </w:p>
    <w:p w14:paraId="3916CF6E" w14:textId="77777777" w:rsidR="00216C51" w:rsidRDefault="00216C51" w:rsidP="00216C51">
      <w:pPr>
        <w:spacing w:line="480" w:lineRule="auto"/>
        <w:jc w:val="both"/>
      </w:pPr>
      <w:r>
        <w:t xml:space="preserve">Longitudinal cryosections were cut from one SDFT (10 </w:t>
      </w:r>
      <w:r>
        <w:rPr>
          <w:rFonts w:ascii="Calibri" w:hAnsi="Calibri"/>
        </w:rPr>
        <w:t>µ</w:t>
      </w:r>
      <w:r>
        <w:t xml:space="preserve">m; </w:t>
      </w:r>
      <w:proofErr w:type="gramStart"/>
      <w:r>
        <w:t>6 year old</w:t>
      </w:r>
      <w:proofErr w:type="gramEnd"/>
      <w:r>
        <w:t xml:space="preserve"> horse) and one rat Achilles tendon (12 </w:t>
      </w:r>
      <w:r>
        <w:rPr>
          <w:rFonts w:ascii="Calibri" w:hAnsi="Calibri"/>
        </w:rPr>
        <w:t>µ</w:t>
      </w:r>
      <w:r>
        <w:t xml:space="preserve">m; 13 week old female Wistar) that had been embedded in OCT and snap-frozen in n-hexane cooled on dry ice. Sections were adhered to glass slides and stored at -80 </w:t>
      </w:r>
      <w:r>
        <w:rPr>
          <w:rFonts w:cs="Times New Roman"/>
        </w:rPr>
        <w:t>°</w:t>
      </w:r>
      <w:r>
        <w:t xml:space="preserve">C prior to immunolabelling. Sections were thawed, fixed with 4% PFA for 10 minutes and washed with TBS. Blocking conditions were consistent with those described for cleared samples used in the main study. Sections were incubated overnight at 4 </w:t>
      </w:r>
      <w:r>
        <w:rPr>
          <w:rFonts w:cs="Times New Roman"/>
        </w:rPr>
        <w:t>°</w:t>
      </w:r>
      <w:r>
        <w:t>C with rabbit anti-</w:t>
      </w:r>
      <w:r>
        <w:rPr>
          <w:rFonts w:cs="Times New Roman"/>
        </w:rPr>
        <w:t xml:space="preserve">LAMA4 primary antibody at dilutions ranging from 1:100 to 1:500 to establish optimum concentrations. Sections were washed with TBS, incubated with </w:t>
      </w:r>
      <w:r>
        <w:t xml:space="preserve">goat anti-rabbit </w:t>
      </w:r>
      <w:r w:rsidRPr="005B2DAB">
        <w:t>Alexa Fluor®</w:t>
      </w:r>
      <w:r>
        <w:t xml:space="preserve"> 594 secondary antibody (1:500, 2h, RT), </w:t>
      </w:r>
      <w:proofErr w:type="spellStart"/>
      <w:r>
        <w:t>coverslipped</w:t>
      </w:r>
      <w:proofErr w:type="spellEnd"/>
      <w:r>
        <w:t xml:space="preserve"> with Prolong Gold antifade </w:t>
      </w:r>
      <w:proofErr w:type="spellStart"/>
      <w:r>
        <w:t>mountant</w:t>
      </w:r>
      <w:proofErr w:type="spellEnd"/>
      <w:r>
        <w:t xml:space="preserve"> with DAPI (</w:t>
      </w:r>
      <w:r w:rsidRPr="00CE1635">
        <w:t>Invitrogen™ P36941</w:t>
      </w:r>
      <w:r>
        <w:t xml:space="preserve">) and cured overnight. Negative controls were included in which the primary antibody was omitted. Sections were imaged using a Leica TCS SP8 laser scanning confocal microscope a </w:t>
      </w:r>
      <w:r w:rsidRPr="000A725C">
        <w:t xml:space="preserve">HC PL FLUOTAR 10x/0.32 </w:t>
      </w:r>
      <w:r>
        <w:t>dry objective lens.</w:t>
      </w:r>
    </w:p>
    <w:p w14:paraId="3B2084FB" w14:textId="4555EF00" w:rsidR="00216C51" w:rsidRPr="00936CAF" w:rsidRDefault="00216C51" w:rsidP="00216C51">
      <w:pPr>
        <w:spacing w:line="480" w:lineRule="auto"/>
        <w:jc w:val="both"/>
      </w:pPr>
      <w:r>
        <w:t xml:space="preserve">A primary antibody concentration of 1:200 for the equine SDFT, and 1:100 for the rat Achilles provided optimal detection (Supp. Fig. </w:t>
      </w:r>
      <w:r w:rsidR="00C74BA8">
        <w:t>2</w:t>
      </w:r>
      <w:r>
        <w:t xml:space="preserve">). No non-specific labelling was detected in negative controls. </w:t>
      </w:r>
    </w:p>
    <w:p w14:paraId="123E0643" w14:textId="70B3BAC5" w:rsidR="00C74BA8" w:rsidRPr="00B84F29" w:rsidRDefault="00C74BA8" w:rsidP="00216C51">
      <w:pPr>
        <w:pStyle w:val="Heading2"/>
        <w:rPr>
          <w:b/>
          <w:bCs w:val="0"/>
          <w:noProof/>
          <w:u w:val="none"/>
          <w:lang w:eastAsia="en-GB"/>
        </w:rPr>
      </w:pPr>
      <w:r w:rsidRPr="00B84F29">
        <w:rPr>
          <w:b/>
          <w:bCs w:val="0"/>
          <w:noProof/>
          <w:u w:val="none"/>
          <w:lang w:eastAsia="en-GB"/>
        </w:rPr>
        <w:lastRenderedPageBreak/>
        <w:t>Supplementary Figures</w:t>
      </w:r>
    </w:p>
    <w:p w14:paraId="18B2D5D9" w14:textId="78761056" w:rsidR="00B84F29" w:rsidRDefault="004C12D2" w:rsidP="004C12D2">
      <w:pPr>
        <w:pStyle w:val="Heading1"/>
        <w:jc w:val="left"/>
      </w:pPr>
      <w:r w:rsidRPr="004C12D2">
        <w:rPr>
          <w:noProof/>
          <w:u w:val="none"/>
        </w:rPr>
        <w:drawing>
          <wp:inline distT="0" distB="0" distL="0" distR="0" wp14:anchorId="645DA522" wp14:editId="7B0AF00B">
            <wp:extent cx="5653227" cy="30543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" t="4970" r="3215" b="4374"/>
                    <a:stretch/>
                  </pic:blipFill>
                  <pic:spPr bwMode="auto">
                    <a:xfrm>
                      <a:off x="0" y="0"/>
                      <a:ext cx="5655524" cy="305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1A3910B" w14:textId="78DC17C8" w:rsidR="00C74BA8" w:rsidRPr="00C74BA8" w:rsidRDefault="00C74BA8" w:rsidP="00C74BA8">
      <w:pPr>
        <w:pStyle w:val="Heading1"/>
      </w:pPr>
      <w:r w:rsidRPr="00C74BA8">
        <w:t xml:space="preserve">Supplementary Figure 1. Schematic showing </w:t>
      </w:r>
      <w:r w:rsidR="004C12D2">
        <w:t xml:space="preserve">data </w:t>
      </w:r>
      <w:r w:rsidR="00683BAA">
        <w:t>collection and analysis</w:t>
      </w:r>
      <w:r w:rsidR="004C12D2">
        <w:t xml:space="preserve"> workflows</w:t>
      </w:r>
      <w:r w:rsidR="00683BAA">
        <w:t xml:space="preserve"> </w:t>
      </w:r>
      <w:r w:rsidR="004C12D2">
        <w:t>for</w:t>
      </w:r>
      <w:r w:rsidR="00683BAA">
        <w:t xml:space="preserve"> confocal microscopy and x-ray microtomography.</w:t>
      </w:r>
    </w:p>
    <w:p w14:paraId="3A1109FC" w14:textId="77777777" w:rsidR="00C74BA8" w:rsidRPr="00C74BA8" w:rsidRDefault="00C74BA8" w:rsidP="00C74BA8">
      <w:pPr>
        <w:rPr>
          <w:lang w:eastAsia="en-GB"/>
        </w:rPr>
      </w:pPr>
    </w:p>
    <w:p w14:paraId="699A58BD" w14:textId="5C786816" w:rsidR="00216C51" w:rsidRDefault="005C778A" w:rsidP="00216C51">
      <w:pPr>
        <w:pStyle w:val="Heading2"/>
        <w:rPr>
          <w:u w:val="none"/>
        </w:rPr>
      </w:pPr>
      <w:r>
        <w:rPr>
          <w:noProof/>
          <w:u w:val="none"/>
          <w:lang w:eastAsia="en-GB"/>
        </w:rPr>
        <w:lastRenderedPageBreak/>
        <w:drawing>
          <wp:inline distT="0" distB="0" distL="0" distR="0" wp14:anchorId="36EA767D" wp14:editId="5C72E632">
            <wp:extent cx="5727700" cy="467995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C51">
        <w:t>Supp</w:t>
      </w:r>
      <w:r>
        <w:t>lementary</w:t>
      </w:r>
      <w:r w:rsidR="00216C51">
        <w:t xml:space="preserve"> </w:t>
      </w:r>
      <w:r w:rsidR="00216C51" w:rsidRPr="00DF3AB3">
        <w:t>Fig</w:t>
      </w:r>
      <w:r w:rsidR="00216C51">
        <w:t xml:space="preserve">. </w:t>
      </w:r>
      <w:r>
        <w:t>2</w:t>
      </w:r>
      <w:r w:rsidR="00216C51">
        <w:t>: Representative 2D sections of equine superficial digital flexor and rat Achilles tendons, immunolabelled for LAMA4.</w:t>
      </w:r>
      <w:r w:rsidR="00216C51">
        <w:rPr>
          <w:u w:val="none"/>
        </w:rPr>
        <w:t xml:space="preserve"> Longitudinal sections were immunolabelled for LAMA4, using a primary antibody concentration of 1:200 in the equine SDFT (a) and 1:100 in the rat Achilles (c), detected with alexa-594 conjugated secondary antibody (1:500) and nuclei counterstained with DAPI. Negative controls, in which primary antibodies were omitted, were performed for both species (equine SDFT, b; rat Achilles, d). Scale bar = 100 </w:t>
      </w:r>
      <w:r w:rsidR="00216C51">
        <w:rPr>
          <w:rFonts w:cs="Times New Roman"/>
          <w:u w:val="none"/>
        </w:rPr>
        <w:t>µ</w:t>
      </w:r>
      <w:r w:rsidR="00216C51">
        <w:rPr>
          <w:u w:val="none"/>
        </w:rPr>
        <w:t>m.</w:t>
      </w:r>
    </w:p>
    <w:p w14:paraId="614B3668" w14:textId="77777777" w:rsidR="00216C51" w:rsidRPr="008A0258" w:rsidRDefault="00216C51" w:rsidP="00216C51">
      <w:pPr>
        <w:spacing w:line="480" w:lineRule="auto"/>
        <w:jc w:val="both"/>
      </w:pPr>
    </w:p>
    <w:p w14:paraId="28C6A1C3" w14:textId="77777777" w:rsidR="0008545B" w:rsidRDefault="0008545B"/>
    <w:sectPr w:rsidR="0008545B" w:rsidSect="0085441C">
      <w:footerReference w:type="default" r:id="rId8"/>
      <w:pgSz w:w="11906" w:h="16838"/>
      <w:pgMar w:top="1440" w:right="1440" w:bottom="1440" w:left="1440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469108" w14:textId="77777777" w:rsidR="00FE493A" w:rsidRDefault="00FE493A">
      <w:pPr>
        <w:spacing w:after="0" w:line="240" w:lineRule="auto"/>
      </w:pPr>
      <w:r>
        <w:separator/>
      </w:r>
    </w:p>
  </w:endnote>
  <w:endnote w:type="continuationSeparator" w:id="0">
    <w:p w14:paraId="30E71C6B" w14:textId="77777777" w:rsidR="00FE493A" w:rsidRDefault="00FE4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291805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E7D290" w14:textId="77777777" w:rsidR="004F161A" w:rsidRDefault="00216C5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  <w:p w14:paraId="4A85AC63" w14:textId="77777777" w:rsidR="004F161A" w:rsidRDefault="00FE49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91E093" w14:textId="77777777" w:rsidR="00FE493A" w:rsidRDefault="00FE493A">
      <w:pPr>
        <w:spacing w:after="0" w:line="240" w:lineRule="auto"/>
      </w:pPr>
      <w:r>
        <w:separator/>
      </w:r>
    </w:p>
  </w:footnote>
  <w:footnote w:type="continuationSeparator" w:id="0">
    <w:p w14:paraId="07B876C2" w14:textId="77777777" w:rsidR="00FE493A" w:rsidRDefault="00FE49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C51"/>
    <w:rsid w:val="0008545B"/>
    <w:rsid w:val="00216C51"/>
    <w:rsid w:val="004C12D2"/>
    <w:rsid w:val="005C778A"/>
    <w:rsid w:val="00637E11"/>
    <w:rsid w:val="00672E19"/>
    <w:rsid w:val="00683BAA"/>
    <w:rsid w:val="006E332B"/>
    <w:rsid w:val="00B84F29"/>
    <w:rsid w:val="00C74BA8"/>
    <w:rsid w:val="00FE4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7F5F2"/>
  <w15:chartTrackingRefBased/>
  <w15:docId w15:val="{1C0A12A7-7823-41AA-8676-DA5164884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16C51"/>
    <w:rPr>
      <w:rFonts w:ascii="Times New Roman" w:hAnsi="Times New Roman"/>
      <w:color w:val="000000" w:themeColor="text1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74BA8"/>
    <w:pPr>
      <w:keepNext/>
      <w:keepLines/>
      <w:spacing w:before="240" w:after="0" w:line="480" w:lineRule="auto"/>
      <w:jc w:val="both"/>
      <w:outlineLvl w:val="0"/>
    </w:pPr>
    <w:rPr>
      <w:rFonts w:eastAsiaTheme="majorEastAsia" w:cstheme="majorBidi"/>
      <w:bCs/>
      <w:szCs w:val="32"/>
      <w:u w:val="single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16C51"/>
    <w:pPr>
      <w:keepNext/>
      <w:keepLines/>
      <w:spacing w:before="40" w:after="0" w:line="480" w:lineRule="auto"/>
      <w:jc w:val="both"/>
      <w:outlineLvl w:val="1"/>
    </w:pPr>
    <w:rPr>
      <w:rFonts w:eastAsiaTheme="majorEastAsia" w:cstheme="majorBidi"/>
      <w:bCs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4BA8"/>
    <w:rPr>
      <w:rFonts w:ascii="Times New Roman" w:eastAsiaTheme="majorEastAsia" w:hAnsi="Times New Roman" w:cstheme="majorBidi"/>
      <w:bCs/>
      <w:color w:val="000000" w:themeColor="text1"/>
      <w:sz w:val="24"/>
      <w:szCs w:val="32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16C51"/>
    <w:rPr>
      <w:rFonts w:ascii="Times New Roman" w:eastAsiaTheme="majorEastAsia" w:hAnsi="Times New Roman" w:cstheme="majorBidi"/>
      <w:bCs/>
      <w:color w:val="000000" w:themeColor="text1"/>
      <w:sz w:val="24"/>
      <w:szCs w:val="26"/>
      <w:u w:val="single"/>
    </w:rPr>
  </w:style>
  <w:style w:type="paragraph" w:styleId="Footer">
    <w:name w:val="footer"/>
    <w:basedOn w:val="Normal"/>
    <w:link w:val="FooterChar"/>
    <w:uiPriority w:val="99"/>
    <w:unhideWhenUsed/>
    <w:rsid w:val="00216C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6C51"/>
    <w:rPr>
      <w:rFonts w:ascii="Times New Roman" w:hAnsi="Times New Roman"/>
      <w:color w:val="000000" w:themeColor="text1"/>
      <w:sz w:val="24"/>
    </w:rPr>
  </w:style>
  <w:style w:type="character" w:styleId="LineNumber">
    <w:name w:val="line number"/>
    <w:basedOn w:val="DefaultParagraphFont"/>
    <w:uiPriority w:val="99"/>
    <w:semiHidden/>
    <w:unhideWhenUsed/>
    <w:rsid w:val="00216C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Chavanne Thorpe</dc:creator>
  <cp:keywords/>
  <dc:description/>
  <cp:lastModifiedBy>Chavanne Thorpe</cp:lastModifiedBy>
  <cp:revision>5</cp:revision>
  <dcterms:created xsi:type="dcterms:W3CDTF">2020-06-11T09:28:00Z</dcterms:created>
  <dcterms:modified xsi:type="dcterms:W3CDTF">2020-06-15T09:22:00Z</dcterms:modified>
</cp:coreProperties>
</file>