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DE6D" w14:textId="77777777" w:rsidR="00C071D1" w:rsidRPr="002F05DC" w:rsidRDefault="00572D3F" w:rsidP="00572D3F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Additional file</w:t>
      </w:r>
    </w:p>
    <w:p w14:paraId="46D0D237" w14:textId="77777777" w:rsidR="00C071D1" w:rsidRPr="00C84B02" w:rsidRDefault="00C071D1" w:rsidP="00C071D1">
      <w:pPr>
        <w:rPr>
          <w:rFonts w:asciiTheme="majorBidi" w:hAnsiTheme="majorBidi" w:cstheme="majorBidi"/>
          <w:sz w:val="24"/>
          <w:szCs w:val="24"/>
        </w:rPr>
      </w:pPr>
    </w:p>
    <w:p w14:paraId="541D60EB" w14:textId="77777777" w:rsidR="00C071D1" w:rsidRPr="002F05DC" w:rsidRDefault="00C071D1" w:rsidP="00C071D1">
      <w:pPr>
        <w:rPr>
          <w:rFonts w:asciiTheme="majorBidi" w:hAnsiTheme="majorBidi" w:cstheme="majorBidi"/>
          <w:b/>
          <w:sz w:val="24"/>
          <w:szCs w:val="24"/>
        </w:rPr>
      </w:pPr>
      <w:r w:rsidRPr="002F05DC">
        <w:rPr>
          <w:rFonts w:asciiTheme="majorBidi" w:hAnsiTheme="majorBidi" w:cstheme="majorBidi"/>
          <w:b/>
          <w:sz w:val="24"/>
          <w:szCs w:val="24"/>
        </w:rPr>
        <w:t>Item 1</w:t>
      </w:r>
    </w:p>
    <w:p w14:paraId="061C0884" w14:textId="77777777" w:rsidR="00C071D1" w:rsidRPr="00C84B02" w:rsidRDefault="00C071D1" w:rsidP="00C071D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Table. Interview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71D1" w:rsidRPr="006A4539" w14:paraId="0E97C329" w14:textId="77777777" w:rsidTr="000573E5">
        <w:tc>
          <w:tcPr>
            <w:tcW w:w="9016" w:type="dxa"/>
          </w:tcPr>
          <w:p w14:paraId="7C7F6E11" w14:textId="77777777" w:rsidR="00C071D1" w:rsidRPr="00C64263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Style w:val="Strong"/>
                <w:rFonts w:asciiTheme="majorBidi" w:hAnsiTheme="majorBidi" w:cstheme="majorBidi"/>
                <w:b w:val="0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 xml:space="preserve">What does it mean to you to be overweight? How does it affect you emotionally and physically? </w:t>
            </w:r>
          </w:p>
          <w:p w14:paraId="3FAE7245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Style w:val="Strong"/>
                <w:rFonts w:asciiTheme="majorBidi" w:hAnsiTheme="majorBidi" w:cstheme="majorBidi"/>
                <w:b w:val="0"/>
                <w:lang w:eastAsia="en-AU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 xml:space="preserve">What is your understanding about your eating style? Where did that style come from? </w:t>
            </w:r>
          </w:p>
          <w:p w14:paraId="226290B8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Style w:val="Strong"/>
                <w:rFonts w:asciiTheme="majorBidi" w:hAnsiTheme="majorBidi" w:cstheme="majorBidi"/>
                <w:b w:val="0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>How important is it to you at this time to make changes that will lead to improvements in your health?</w:t>
            </w:r>
          </w:p>
          <w:p w14:paraId="3A56998B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Style w:val="Strong"/>
                <w:rFonts w:asciiTheme="majorBidi" w:hAnsiTheme="majorBidi" w:cstheme="majorBidi"/>
                <w:b w:val="0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 xml:space="preserve">What are the things that influence you to make changes? </w:t>
            </w:r>
          </w:p>
          <w:p w14:paraId="274D33E7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Style w:val="Strong"/>
                <w:rFonts w:asciiTheme="majorBidi" w:hAnsiTheme="majorBidi" w:cstheme="majorBidi"/>
                <w:b w:val="0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>Are there any pre-requisites for change?</w:t>
            </w:r>
          </w:p>
          <w:p w14:paraId="57CCE68E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Theme="majorBidi" w:hAnsiTheme="majorBidi" w:cstheme="majorBidi"/>
              </w:rPr>
            </w:pPr>
            <w:r w:rsidRPr="00A41A51">
              <w:rPr>
                <w:rFonts w:asciiTheme="majorBidi" w:hAnsiTheme="majorBidi" w:cstheme="majorBidi"/>
              </w:rPr>
              <w:t xml:space="preserve">Have you made healthy changes in the past? </w:t>
            </w:r>
          </w:p>
          <w:p w14:paraId="6AB5B3EB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Theme="majorBidi" w:hAnsiTheme="majorBidi" w:cstheme="majorBidi"/>
              </w:rPr>
            </w:pPr>
            <w:r w:rsidRPr="00A41A51">
              <w:rPr>
                <w:rFonts w:asciiTheme="majorBidi" w:hAnsiTheme="majorBidi" w:cstheme="majorBidi"/>
              </w:rPr>
              <w:t>What is it that has helped you do this in the past?</w:t>
            </w:r>
          </w:p>
          <w:p w14:paraId="57C43282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Theme="majorBidi" w:hAnsiTheme="majorBidi" w:cstheme="majorBidi"/>
              </w:rPr>
            </w:pPr>
            <w:r w:rsidRPr="00A41A51">
              <w:rPr>
                <w:rFonts w:asciiTheme="majorBidi" w:hAnsiTheme="majorBidi" w:cstheme="majorBidi"/>
              </w:rPr>
              <w:t>What programs, services or health care professionals have helped you in the past? How have they helped?</w:t>
            </w:r>
          </w:p>
          <w:p w14:paraId="1CD293E6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Theme="majorBidi" w:hAnsiTheme="majorBidi" w:cstheme="majorBidi"/>
              </w:rPr>
            </w:pPr>
            <w:r w:rsidRPr="00A41A51">
              <w:rPr>
                <w:rFonts w:asciiTheme="majorBidi" w:hAnsiTheme="majorBidi" w:cstheme="majorBidi"/>
              </w:rPr>
              <w:t>What other people in your life have helped in the past? How have they helped?</w:t>
            </w:r>
          </w:p>
          <w:p w14:paraId="55809CE5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Style w:val="Strong"/>
                <w:rFonts w:asciiTheme="majorBidi" w:hAnsiTheme="majorBidi" w:cstheme="majorBidi"/>
                <w:b w:val="0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>Why have you slipped back into poorer habits?</w:t>
            </w:r>
          </w:p>
          <w:p w14:paraId="420FDBD3" w14:textId="77777777" w:rsidR="00C071D1" w:rsidRPr="00A41A51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Style w:val="Strong"/>
                <w:rFonts w:asciiTheme="majorBidi" w:hAnsiTheme="majorBidi" w:cstheme="majorBidi"/>
                <w:b w:val="0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>How confident do you feel in making healthy changes? What would make you feel more confident? What would make you feel less confident?</w:t>
            </w:r>
          </w:p>
          <w:p w14:paraId="7571174C" w14:textId="77777777" w:rsidR="00C071D1" w:rsidRPr="006A4539" w:rsidRDefault="00C071D1" w:rsidP="00C071D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480" w:lineRule="auto"/>
              <w:rPr>
                <w:rFonts w:asciiTheme="majorBidi" w:hAnsiTheme="majorBidi" w:cstheme="majorBidi"/>
              </w:rPr>
            </w:pPr>
            <w:r w:rsidRPr="00A41A51">
              <w:rPr>
                <w:rStyle w:val="Strong"/>
                <w:rFonts w:asciiTheme="majorBidi" w:hAnsiTheme="majorBidi" w:cstheme="majorBidi"/>
              </w:rPr>
              <w:t>What services do you envisage would help in the future?</w:t>
            </w:r>
          </w:p>
        </w:tc>
      </w:tr>
    </w:tbl>
    <w:p w14:paraId="6F26BBCE" w14:textId="77777777" w:rsidR="00C071D1" w:rsidRPr="00C84B02" w:rsidRDefault="00C071D1" w:rsidP="00C071D1">
      <w:pPr>
        <w:rPr>
          <w:rFonts w:asciiTheme="majorBidi" w:hAnsiTheme="majorBidi" w:cstheme="majorBidi"/>
          <w:sz w:val="24"/>
          <w:szCs w:val="24"/>
        </w:rPr>
      </w:pPr>
    </w:p>
    <w:p w14:paraId="14E6F22A" w14:textId="243D3BB2" w:rsidR="00454832" w:rsidRDefault="004548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AE50281" w14:textId="4A4549DC" w:rsidR="00C071D1" w:rsidRPr="002F05DC" w:rsidRDefault="00C071D1" w:rsidP="00C071D1">
      <w:pPr>
        <w:spacing w:before="100" w:beforeAutospacing="1" w:after="100" w:afterAutospacing="1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05DC">
        <w:rPr>
          <w:rFonts w:ascii="Times New Roman" w:eastAsia="Calibri" w:hAnsi="Times New Roman" w:cs="Times New Roman"/>
          <w:b/>
          <w:sz w:val="24"/>
          <w:szCs w:val="24"/>
        </w:rPr>
        <w:t xml:space="preserve">Item </w:t>
      </w:r>
      <w:r w:rsidR="00454832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E9E197B" w14:textId="77777777" w:rsidR="00C071D1" w:rsidRDefault="00C071D1" w:rsidP="00C071D1">
      <w:pPr>
        <w:spacing w:before="100" w:beforeAutospacing="1" w:after="100" w:afterAutospacing="1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Table. Representation of Lifeworld Dimensions in the raw text through mapping with themes generated from thematic analysis.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071D1" w:rsidRPr="002F05DC" w14:paraId="69082EE5" w14:textId="77777777" w:rsidTr="000573E5">
        <w:tc>
          <w:tcPr>
            <w:tcW w:w="1980" w:type="dxa"/>
          </w:tcPr>
          <w:p w14:paraId="52445F05" w14:textId="77777777" w:rsidR="00C071D1" w:rsidRPr="002F05DC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525726375"/>
            <w:r w:rsidRPr="002F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Lifeworld dimension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(Galvin &amp;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Todres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2011)</w:t>
            </w:r>
            <w:r w:rsidRPr="002F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</w:tcPr>
          <w:p w14:paraId="23FE2CC4" w14:textId="77777777" w:rsidR="00C071D1" w:rsidRPr="002F05DC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Representa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tive themes and subthemes (see F</w:t>
            </w:r>
            <w:r w:rsidRPr="002F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igure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in main text</w:t>
            </w:r>
            <w:r w:rsidRPr="002F05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for visual representation)</w:t>
            </w:r>
          </w:p>
        </w:tc>
      </w:tr>
      <w:tr w:rsidR="00C071D1" w14:paraId="3CBCED4B" w14:textId="77777777" w:rsidTr="000573E5">
        <w:tc>
          <w:tcPr>
            <w:tcW w:w="1980" w:type="dxa"/>
          </w:tcPr>
          <w:p w14:paraId="79FC0345" w14:textId="77777777" w:rsidR="00C071D1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Temporality: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human experience of time, not just as a quantitative measure but also in a qualitative way, for example in possibilities and changes in condition over time</w:t>
            </w:r>
          </w:p>
        </w:tc>
        <w:tc>
          <w:tcPr>
            <w:tcW w:w="7036" w:type="dxa"/>
          </w:tcPr>
          <w:p w14:paraId="5416667A" w14:textId="6FE68D9E" w:rsidR="00C071D1" w:rsidRDefault="00C071D1" w:rsidP="00893D90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In the lifeworld dimension of Temporality,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just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one </w:t>
            </w:r>
            <w:r w:rsidR="002B64A2">
              <w:rPr>
                <w:rFonts w:ascii="Times New Roman" w:eastAsia="Calibri" w:hAnsi="Times New Roman" w:cs="Times New Roman"/>
                <w:sz w:val="24"/>
                <w:szCs w:val="24"/>
              </w:rPr>
              <w:t>sub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theme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was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identified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B64A2">
              <w:rPr>
                <w:rFonts w:ascii="Times New Roman" w:eastAsia="Calibri" w:hAnsi="Times New Roman" w:cs="Times New Roman"/>
                <w:sz w:val="24"/>
                <w:szCs w:val="24"/>
              </w:rPr>
              <w:t>‘Fluctuating Battle with Self’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This theme was also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identified in conjunction with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ifeworld dimension of Embodiment, indicating obesity as a protracted experience of embodiment over time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a prolonged and episodic sense of embodied struggle with weight.</w:t>
            </w:r>
          </w:p>
          <w:p w14:paraId="7A662C43" w14:textId="77777777" w:rsidR="00C071D1" w:rsidRDefault="00C071D1" w:rsidP="00D968DA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relatively low representation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themes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associated with Temporality could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indicate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a static experience of time in the lived experience of obesity, and that Temporality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not identified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 a lifeworld dimension which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either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facilitates or impeded access to/engagement in weight loss intervention. </w:t>
            </w:r>
          </w:p>
        </w:tc>
      </w:tr>
      <w:tr w:rsidR="00C071D1" w14:paraId="20A333C4" w14:textId="77777777" w:rsidTr="000573E5">
        <w:tc>
          <w:tcPr>
            <w:tcW w:w="1980" w:type="dxa"/>
          </w:tcPr>
          <w:p w14:paraId="36E81FE7" w14:textId="77777777" w:rsidR="00C071D1" w:rsidRPr="002B64A2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Inter-subjectivity:</w:t>
            </w:r>
            <w:r w:rsidRPr="002B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How we are in the world with others; understanding </w:t>
            </w:r>
            <w:r w:rsidRPr="002B6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self through how our lives take place within a social world</w:t>
            </w:r>
          </w:p>
        </w:tc>
        <w:tc>
          <w:tcPr>
            <w:tcW w:w="7036" w:type="dxa"/>
          </w:tcPr>
          <w:p w14:paraId="021CA99A" w14:textId="71AB4227" w:rsidR="00C071D1" w:rsidRDefault="00C071D1" w:rsidP="001F624B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In the lifeworld dimension of Inter-subjectivity,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t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hemes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Impediments and Positive Re-orientation were represented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through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even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different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ubthemes</w:t>
            </w:r>
            <w:r w:rsidRPr="001F624B">
              <w:rPr>
                <w:rFonts w:ascii="Times New Roman" w:eastAsia="Calibri" w:hAnsi="Times New Roman" w:cs="Times New Roman"/>
                <w:sz w:val="24"/>
                <w:szCs w:val="24"/>
              </w:rPr>
              <w:t>. The subthemes of ‘</w:t>
            </w:r>
            <w:r w:rsidR="001F624B" w:rsidRPr="001F624B">
              <w:rPr>
                <w:rFonts w:ascii="Times New Roman" w:eastAsia="Calibri" w:hAnsi="Times New Roman" w:cs="Times New Roman"/>
                <w:sz w:val="24"/>
                <w:szCs w:val="24"/>
              </w:rPr>
              <w:t>Empowerment and Motivation</w:t>
            </w:r>
            <w:r w:rsidRPr="001F624B">
              <w:rPr>
                <w:rFonts w:ascii="Times New Roman" w:eastAsia="Calibri" w:hAnsi="Times New Roman" w:cs="Times New Roman"/>
                <w:sz w:val="24"/>
                <w:szCs w:val="24"/>
              </w:rPr>
              <w:t>’, ‘</w:t>
            </w:r>
            <w:r w:rsidR="001F624B" w:rsidRPr="001F624B">
              <w:rPr>
                <w:rFonts w:ascii="Times New Roman" w:eastAsia="Calibri" w:hAnsi="Times New Roman" w:cs="Times New Roman"/>
                <w:sz w:val="24"/>
                <w:szCs w:val="24"/>
              </w:rPr>
              <w:t>Behavioural Reinforcement</w:t>
            </w:r>
            <w:r w:rsidRPr="001F6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’, and ‘Systemic Barriers’ </w:t>
            </w:r>
            <w:r w:rsidR="001F624B" w:rsidRPr="001F6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highlighted </w:t>
            </w:r>
            <w:bookmarkStart w:id="1" w:name="_GoBack"/>
            <w:bookmarkEnd w:id="1"/>
            <w:r w:rsidRPr="001F624B">
              <w:rPr>
                <w:rFonts w:ascii="Times New Roman" w:eastAsia="Calibri" w:hAnsi="Times New Roman" w:cs="Times New Roman"/>
                <w:sz w:val="24"/>
                <w:szCs w:val="24"/>
              </w:rPr>
              <w:t>the importance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rofessional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the health system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 either facilitator or impediment to access/engagement in intervention.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subtheme ‘</w:t>
            </w:r>
            <w:r w:rsidR="001F624B">
              <w:rPr>
                <w:rFonts w:ascii="Times New Roman" w:eastAsia="Calibri" w:hAnsi="Times New Roman" w:cs="Times New Roman"/>
                <w:sz w:val="24"/>
                <w:szCs w:val="24"/>
              </w:rPr>
              <w:t>Relational Impediments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 also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integrated with the Identity dimension,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Behavioural Reinforcement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spans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the Embodiment dimension. This indicate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significant and complex interplay of these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ubthemes across multiple lifeworld dimensions and provides important insight 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 the lived complexity of the I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nter-subjective dimension.  </w:t>
            </w:r>
          </w:p>
        </w:tc>
      </w:tr>
      <w:tr w:rsidR="00C071D1" w14:paraId="17EE7578" w14:textId="77777777" w:rsidTr="000573E5">
        <w:tc>
          <w:tcPr>
            <w:tcW w:w="1980" w:type="dxa"/>
          </w:tcPr>
          <w:p w14:paraId="3005B03C" w14:textId="77777777" w:rsidR="00C071D1" w:rsidRPr="002B64A2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Embodiment:</w:t>
            </w:r>
            <w:r w:rsidRPr="002B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concrete here, the lived body; how we ‘bodily’ live in relation to others</w:t>
            </w:r>
          </w:p>
        </w:tc>
        <w:tc>
          <w:tcPr>
            <w:tcW w:w="7036" w:type="dxa"/>
          </w:tcPr>
          <w:p w14:paraId="67BEA5E0" w14:textId="13DADD8F" w:rsidR="00C071D1" w:rsidRPr="00C6094C" w:rsidRDefault="00C071D1" w:rsidP="00600083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three Primary Themes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represented and significantly, there was no subtheme that was related to embodiment alone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Embodiment interacts with 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all five other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dimensions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ubtheme </w:t>
            </w:r>
            <w:r w:rsidR="00B01A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‘Fluctuating Battle with Self’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was also related to the Temporality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, Identi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y, and Mood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dimensions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and ‘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Internal Impediments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were a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ssociate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Embodiment with the Identity dimension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Positive 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tion’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 also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associated with the Mood dimension,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Behavioural Reinforcement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Inter-subjectivity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Identity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dimension, indicating the positive reinforcing influence of ‘other’ in relation to the lived embodiment dimension.</w:t>
            </w:r>
          </w:p>
        </w:tc>
      </w:tr>
      <w:tr w:rsidR="00C071D1" w14:paraId="72AA9501" w14:textId="77777777" w:rsidTr="000573E5">
        <w:tc>
          <w:tcPr>
            <w:tcW w:w="1980" w:type="dxa"/>
          </w:tcPr>
          <w:p w14:paraId="321D3012" w14:textId="77777777" w:rsidR="00C071D1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Mood: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Lived experience is shaped by mood, which penetrates and shapes the spatial, temporal, intersubjective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and embodied horizons. A messenger of the meaning of situations.</w:t>
            </w:r>
          </w:p>
        </w:tc>
        <w:tc>
          <w:tcPr>
            <w:tcW w:w="7036" w:type="dxa"/>
          </w:tcPr>
          <w:p w14:paraId="24C9F436" w14:textId="4676235F" w:rsidR="00C071D1" w:rsidRPr="00C6094C" w:rsidRDefault="00C071D1" w:rsidP="00893D90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All three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Primary Themes are represented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There 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complex interactions of these themes and subthemes with the lifeworld dimensions of Identity and Embodiment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subt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heme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‘It’s Not That Simple’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Empowerment and Positive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Motivation’ is shared with the Identity dimension, and ‘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Fluctuating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Battle with </w:t>
            </w:r>
            <w:r w:rsidR="0060008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elf’ interacts across all three of Embodiment, Identity and Mood dimensions. ‘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Behavioural Reinforcement’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identif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relationship across the Mood and Identity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dimensions of the lifeworld, while ‘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Internal impediments’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(from the Impediments theme) relates to the Mood dimension alone, suggesting that negative orientation is experienced as an intra-subjective mood state which impedes access and/or engagement. ‘Positive 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ction’ relates to both the Mood and Embodiment dimensions.  </w:t>
            </w:r>
          </w:p>
        </w:tc>
      </w:tr>
      <w:tr w:rsidR="00C071D1" w14:paraId="6FEAADAB" w14:textId="77777777" w:rsidTr="000573E5">
        <w:tc>
          <w:tcPr>
            <w:tcW w:w="1980" w:type="dxa"/>
          </w:tcPr>
          <w:p w14:paraId="15233BF4" w14:textId="77777777" w:rsidR="00C071D1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Spatiality: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Existence in terms of distance or closeness to the places and things which have meaning, not just physically but also emotionally</w:t>
            </w:r>
          </w:p>
        </w:tc>
        <w:tc>
          <w:tcPr>
            <w:tcW w:w="7036" w:type="dxa"/>
          </w:tcPr>
          <w:p w14:paraId="03BFCB66" w14:textId="552E459E" w:rsidR="00C071D1" w:rsidRDefault="00047F03" w:rsidP="00451CBF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Lifeworld dimensions of Spatiality </w:t>
            </w:r>
            <w:r w:rsidR="00857634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1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evident in the Complexity and Battle subtheme ‘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Bodies (not) Fitting’</w:t>
            </w:r>
            <w:r w:rsidRPr="0091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where participants describe prolonged, compromised embodiment over time. 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8576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aken-for-granted activities for people without weight concerns</w:t>
            </w:r>
            <w:r w:rsidR="00C277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become</w:t>
            </w:r>
            <w:r w:rsidRPr="0085763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complex battles for</w:t>
            </w:r>
            <w:r w:rsidRPr="0091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people who do</w:t>
            </w:r>
          </w:p>
        </w:tc>
      </w:tr>
      <w:tr w:rsidR="00C071D1" w14:paraId="0975E75C" w14:textId="77777777" w:rsidTr="000573E5">
        <w:tc>
          <w:tcPr>
            <w:tcW w:w="1980" w:type="dxa"/>
          </w:tcPr>
          <w:p w14:paraId="19155A02" w14:textId="77777777" w:rsidR="00C071D1" w:rsidRPr="00D968DA" w:rsidRDefault="00C071D1" w:rsidP="000573E5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6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Identity</w:t>
            </w:r>
          </w:p>
        </w:tc>
        <w:tc>
          <w:tcPr>
            <w:tcW w:w="7036" w:type="dxa"/>
          </w:tcPr>
          <w:p w14:paraId="632AACF5" w14:textId="61DA2C9F" w:rsidR="00C071D1" w:rsidRDefault="00C071D1" w:rsidP="00893D90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 a total of 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seven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ubthemes spread across all three Primary Themes, the Identity dimension of the lifeworld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emerged as the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most complex dimension of lived experience for our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participants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As a singular dimension, Identity was related with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>Behavioural Reinforcement’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indicating 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value of positive re-orientation on identity in the obesity battle.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Empowerment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Motivation’, ‘</w:t>
            </w:r>
            <w:r w:rsidR="00C27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Fluctuating Battle with Self, and ‘It’s not that Simple’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revealed relationships between the Identity and Mood dimensions, and as a cluster these three subthemes </w:t>
            </w:r>
            <w:r w:rsidR="002B64A2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uggest a polarisation where each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ubtheme can constitute eit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her a facilitating or impeding experience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73A0F9D" w14:textId="224CCC30" w:rsidR="00C071D1" w:rsidRPr="00C6094C" w:rsidRDefault="00C071D1" w:rsidP="00893D90">
            <w:pPr>
              <w:spacing w:before="100" w:beforeAutospacing="1" w:after="100" w:afterAutospacing="1" w:line="48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The subthemes of ‘</w:t>
            </w:r>
            <w:r w:rsidR="002B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Fluctuating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>Battle with Self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’, ‘</w:t>
            </w:r>
            <w:r w:rsidR="002B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Internal Impediments’ and ‘Behavioural Reinforcement’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evidence of a significant relationship between the lived dimensions of Identity and Embodiment.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suggests embodied i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dentity is lived as a complex internal battle between Habituation and Compulsivity.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‘</w:t>
            </w:r>
            <w:r w:rsidR="002B6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Relational Impediments’ contrasting with ‘Behavioural Reinforcement’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demonstrate a relationship between the 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lived dimension of Identity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C60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Inter-subjectivity.</w:t>
            </w:r>
          </w:p>
        </w:tc>
      </w:tr>
    </w:tbl>
    <w:bookmarkEnd w:id="0"/>
    <w:p w14:paraId="0B396880" w14:textId="77777777" w:rsidR="00C071D1" w:rsidRDefault="00C071D1" w:rsidP="00C071D1">
      <w:pPr>
        <w:spacing w:line="480" w:lineRule="auto"/>
        <w:rPr>
          <w:rFonts w:asciiTheme="majorBidi" w:hAnsiTheme="majorBidi" w:cstheme="majorBidi"/>
          <w:iCs/>
          <w:sz w:val="24"/>
          <w:szCs w:val="24"/>
        </w:rPr>
      </w:pPr>
      <w:r w:rsidRPr="006B7FF2">
        <w:rPr>
          <w:rFonts w:asciiTheme="majorBidi" w:hAnsiTheme="majorBidi" w:cstheme="majorBidi"/>
          <w:noProof/>
          <w:sz w:val="24"/>
          <w:szCs w:val="24"/>
        </w:rPr>
        <w:lastRenderedPageBreak/>
        <w:t xml:space="preserve">Galvin, K., &amp; Todres, L. (2011). Kinds of well-being: A conceptual framework that provides direction for caring. </w:t>
      </w:r>
      <w:r w:rsidRPr="006B7FF2">
        <w:rPr>
          <w:rFonts w:asciiTheme="majorBidi" w:hAnsiTheme="majorBidi" w:cstheme="majorBidi"/>
          <w:i/>
          <w:noProof/>
          <w:sz w:val="24"/>
          <w:szCs w:val="24"/>
        </w:rPr>
        <w:t>International journal of qualitative studies on health and well-being, 6</w:t>
      </w:r>
      <w:r w:rsidRPr="006B7FF2">
        <w:rPr>
          <w:rFonts w:asciiTheme="majorBidi" w:hAnsiTheme="majorBidi" w:cstheme="majorBidi"/>
          <w:noProof/>
          <w:sz w:val="24"/>
          <w:szCs w:val="24"/>
        </w:rPr>
        <w:t>(4), 10362. doi:</w:t>
      </w:r>
      <w:hyperlink r:id="rId7" w:history="1">
        <w:r w:rsidRPr="006B7FF2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https://doi.org/10.3402/qhw.v6i4.10362</w:t>
        </w:r>
      </w:hyperlink>
    </w:p>
    <w:p w14:paraId="346AB331" w14:textId="77777777" w:rsidR="00C13899" w:rsidRDefault="00C13899"/>
    <w:sectPr w:rsidR="00C13899" w:rsidSect="00EC439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CD67" w14:textId="77777777" w:rsidR="00066C71" w:rsidRDefault="00893D90">
      <w:pPr>
        <w:spacing w:after="0" w:line="240" w:lineRule="auto"/>
      </w:pPr>
      <w:r>
        <w:separator/>
      </w:r>
    </w:p>
  </w:endnote>
  <w:endnote w:type="continuationSeparator" w:id="0">
    <w:p w14:paraId="32BCFF19" w14:textId="77777777" w:rsidR="00066C71" w:rsidRDefault="0089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844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9CD06" w14:textId="77777777" w:rsidR="00322712" w:rsidRDefault="00C07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2FAB1787" w14:textId="77777777" w:rsidR="00322712" w:rsidRDefault="002B6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56EA" w14:textId="77777777" w:rsidR="00066C71" w:rsidRDefault="00893D90">
      <w:pPr>
        <w:spacing w:after="0" w:line="240" w:lineRule="auto"/>
      </w:pPr>
      <w:r>
        <w:separator/>
      </w:r>
    </w:p>
  </w:footnote>
  <w:footnote w:type="continuationSeparator" w:id="0">
    <w:p w14:paraId="2342600F" w14:textId="77777777" w:rsidR="00066C71" w:rsidRDefault="0089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3A6"/>
    <w:multiLevelType w:val="hybridMultilevel"/>
    <w:tmpl w:val="B05C6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D1"/>
    <w:rsid w:val="00047F03"/>
    <w:rsid w:val="00066C71"/>
    <w:rsid w:val="000700BD"/>
    <w:rsid w:val="001260C2"/>
    <w:rsid w:val="001F624B"/>
    <w:rsid w:val="002B64A2"/>
    <w:rsid w:val="00361044"/>
    <w:rsid w:val="00451CBF"/>
    <w:rsid w:val="00454832"/>
    <w:rsid w:val="004C676C"/>
    <w:rsid w:val="00572D3F"/>
    <w:rsid w:val="00600083"/>
    <w:rsid w:val="00720548"/>
    <w:rsid w:val="00857634"/>
    <w:rsid w:val="00893D90"/>
    <w:rsid w:val="00B01ABD"/>
    <w:rsid w:val="00C071D1"/>
    <w:rsid w:val="00C13899"/>
    <w:rsid w:val="00C2771E"/>
    <w:rsid w:val="00C9027F"/>
    <w:rsid w:val="00D45593"/>
    <w:rsid w:val="00D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D0D6"/>
  <w15:chartTrackingRefBased/>
  <w15:docId w15:val="{FAF0E8AD-023D-437C-87D1-45EEB60B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1D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D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071D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71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71D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D1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3402/qhw.v6i4.10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Ogden</dc:creator>
  <cp:keywords/>
  <dc:description/>
  <cp:lastModifiedBy>Kathryn Ogden</cp:lastModifiedBy>
  <cp:revision>2</cp:revision>
  <cp:lastPrinted>2020-02-12T02:12:00Z</cp:lastPrinted>
  <dcterms:created xsi:type="dcterms:W3CDTF">2020-02-18T05:48:00Z</dcterms:created>
  <dcterms:modified xsi:type="dcterms:W3CDTF">2020-02-18T05:48:00Z</dcterms:modified>
</cp:coreProperties>
</file>