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D8C" w:rsidRPr="00C81AFE" w:rsidRDefault="00504D8C" w:rsidP="00E50C74">
      <w:pPr>
        <w:tabs>
          <w:tab w:val="left" w:pos="16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Figures for</w:t>
      </w:r>
    </w:p>
    <w:p w:rsidR="00504D8C" w:rsidRPr="00C81AFE" w:rsidRDefault="00504D8C" w:rsidP="00E50C74">
      <w:pPr>
        <w:tabs>
          <w:tab w:val="left" w:pos="16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27F" w:rsidRPr="00C81AFE" w:rsidRDefault="0056427F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6427F" w:rsidRPr="00C81AFE" w:rsidSect="00253947">
          <w:footerReference w:type="default" r:id="rId7"/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Structure and Function of the Arctic and Antarctic Marine Microbiota as Revealed by Metagenomics</w:t>
      </w:r>
    </w:p>
    <w:p w:rsidR="00253947" w:rsidRPr="00C81AFE" w:rsidRDefault="001964F5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39057" cy="4000500"/>
            <wp:effectExtent l="0" t="0" r="0" b="0"/>
            <wp:docPr id="2" name="图片 2" descr="E:\ms\Submitted\Polar\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s\Submitted\Polar\S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r="1192" b="5904"/>
                    <a:stretch/>
                  </pic:blipFill>
                  <pic:spPr bwMode="auto">
                    <a:xfrm>
                      <a:off x="0" y="0"/>
                      <a:ext cx="6844391" cy="40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30" w:rsidRPr="00C81AFE" w:rsidRDefault="002B6E33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53430" w:rsidRPr="00C81AFE" w:rsidSect="00253947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bookmarkStart w:id="0" w:name="_Hlk33702798"/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igure S</w:t>
      </w:r>
      <w:r w:rsid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Genus-level composition based on analysis of 16S </w:t>
      </w:r>
      <w:proofErr w:type="spellStart"/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miTags</w:t>
      </w:r>
      <w:proofErr w:type="spellEnd"/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Abundant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top 30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maximum relative abundance) are shown with all other </w:t>
      </w:r>
      <w:r w:rsidR="00C5173B">
        <w:rPr>
          <w:rFonts w:ascii="Times New Roman" w:hAnsi="Times New Roman" w:cs="Times New Roman"/>
          <w:color w:val="000000" w:themeColor="text1"/>
          <w:sz w:val="24"/>
          <w:szCs w:val="24"/>
        </w:rPr>
        <w:t>genera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grouped together as ‘Minor or unclassified’. 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The four groups: Arctic-Surface (0-100m), Arctic-Deep (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7A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00m), Antarctic-Surface (0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-100m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), and Antarctic-Deep (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7A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C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50C74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00m</w:t>
      </w:r>
      <w:r w:rsidR="00481A85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0"/>
    <w:p w:rsidR="00FF424D" w:rsidRPr="00C81AFE" w:rsidRDefault="00FF424D" w:rsidP="00E50C7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B4E2F0" wp14:editId="5372EC60">
            <wp:extent cx="4648200" cy="4371975"/>
            <wp:effectExtent l="0" t="0" r="0" b="0"/>
            <wp:docPr id="5" name="图片 5" descr="C:\Users\Administrator\Desktop\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4D" w:rsidRPr="00A465E3" w:rsidRDefault="00FF424D" w:rsidP="00E50C7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F424D" w:rsidRPr="00A465E3" w:rsidSect="00253947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A465E3">
        <w:rPr>
          <w:rFonts w:ascii="Times New Roman" w:hAnsi="Times New Roman" w:cs="Times New Roman" w:hint="eastAsia"/>
          <w:b/>
          <w:sz w:val="24"/>
          <w:szCs w:val="24"/>
        </w:rPr>
        <w:t>Figure</w:t>
      </w:r>
      <w:r w:rsidRPr="00A465E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81AFE" w:rsidRPr="00A465E3">
        <w:rPr>
          <w:rFonts w:ascii="Times New Roman" w:hAnsi="Times New Roman" w:cs="Times New Roman"/>
          <w:b/>
          <w:sz w:val="24"/>
          <w:szCs w:val="24"/>
        </w:rPr>
        <w:t>2</w:t>
      </w:r>
      <w:r w:rsidRPr="00A465E3">
        <w:rPr>
          <w:rFonts w:ascii="Times New Roman" w:hAnsi="Times New Roman" w:cs="Times New Roman"/>
          <w:sz w:val="24"/>
          <w:szCs w:val="24"/>
        </w:rPr>
        <w:t xml:space="preserve"> Taxonomic distribution of the 214 </w:t>
      </w:r>
      <w:r w:rsidR="006B7F73" w:rsidRPr="00A465E3">
        <w:rPr>
          <w:rFonts w:ascii="Times New Roman" w:hAnsi="Times New Roman" w:cs="Times New Roman"/>
          <w:sz w:val="24"/>
          <w:szCs w:val="24"/>
        </w:rPr>
        <w:t xml:space="preserve">MAGs </w:t>
      </w:r>
      <w:r w:rsidRPr="00A465E3">
        <w:rPr>
          <w:rFonts w:ascii="Times New Roman" w:hAnsi="Times New Roman" w:cs="Times New Roman"/>
          <w:sz w:val="24"/>
          <w:szCs w:val="24"/>
        </w:rPr>
        <w:t xml:space="preserve">recovered from the polar metagenomes. All the </w:t>
      </w:r>
      <w:r w:rsidR="006B7F73" w:rsidRPr="00A465E3">
        <w:rPr>
          <w:rFonts w:ascii="Times New Roman" w:hAnsi="Times New Roman" w:cs="Times New Roman"/>
          <w:sz w:val="24"/>
          <w:szCs w:val="24"/>
        </w:rPr>
        <w:t xml:space="preserve">MAGs </w:t>
      </w:r>
      <w:r w:rsidRPr="00A465E3">
        <w:rPr>
          <w:rFonts w:ascii="Times New Roman" w:hAnsi="Times New Roman" w:cs="Times New Roman"/>
          <w:sz w:val="24"/>
          <w:szCs w:val="24"/>
        </w:rPr>
        <w:t>have 80% or higher completeness.</w:t>
      </w:r>
      <w:bookmarkStart w:id="1" w:name="_GoBack"/>
      <w:bookmarkEnd w:id="1"/>
    </w:p>
    <w:p w:rsidR="00053430" w:rsidRPr="00C81AFE" w:rsidRDefault="00053430" w:rsidP="00E50C74">
      <w:p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25029" cy="2714625"/>
            <wp:effectExtent l="0" t="0" r="0" b="0"/>
            <wp:docPr id="10" name="图片 10" descr="C:\Users\Administrator\Desktop\FigureS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gureS3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3774" r="1567" b="3019"/>
                    <a:stretch/>
                  </pic:blipFill>
                  <pic:spPr bwMode="auto">
                    <a:xfrm>
                      <a:off x="0" y="0"/>
                      <a:ext cx="6830713" cy="27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AF532F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D09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Comparison between the Arctic and Antarctic microbiomes.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B0A"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Venn diagram showing the distribution of OTUs across the Arctic and the Antarctic </w:t>
      </w:r>
      <w:proofErr w:type="spellStart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miTags</w:t>
      </w:r>
      <w:proofErr w:type="spellEnd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OTUs with more than 2 </w:t>
      </w:r>
      <w:proofErr w:type="spellStart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miTag</w:t>
      </w:r>
      <w:proofErr w:type="spellEnd"/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numbers are included for analysis. </w:t>
      </w:r>
      <w:r w:rsidR="00521B0A"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BLASTp</w:t>
      </w:r>
      <w:proofErr w:type="spellEnd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searching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 orthologs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the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 orthologs as queries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21B0A" w:rsidRPr="00C81A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BLASTp</w:t>
      </w:r>
      <w:proofErr w:type="spellEnd"/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searching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 orthologs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the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 orthologs as queries</w:t>
      </w:r>
      <w:r w:rsidR="00521B0A"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Orthologs of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than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40% similarity or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than </w:t>
      </w:r>
      <w:r w:rsidR="00521B0A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1e-7 e-value were considered as </w:t>
      </w:r>
      <w:r w:rsidR="00AD297F"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‘specific’.</w:t>
      </w:r>
      <w:r w:rsidR="00C81AFE"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0CCA316" wp14:editId="359952B8">
            <wp:extent cx="6829425" cy="6273096"/>
            <wp:effectExtent l="0" t="0" r="0" b="0"/>
            <wp:docPr id="1" name="图片 1" descr="C:\Users\Administrator\Desktop\fig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g7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t="1162" r="10073" b="1090"/>
                    <a:stretch/>
                  </pic:blipFill>
                  <pic:spPr bwMode="auto">
                    <a:xfrm>
                      <a:off x="0" y="0"/>
                      <a:ext cx="6836014" cy="62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C81AFE" w:rsidRPr="00C81AFE" w:rsidSect="00D00542">
          <w:pgSz w:w="12240" w:h="15840" w:code="1"/>
          <w:pgMar w:top="720" w:right="720" w:bottom="720" w:left="720" w:header="851" w:footer="992" w:gutter="0"/>
          <w:cols w:space="425"/>
          <w:docGrid w:type="lines" w:linePitch="312"/>
        </w:sect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enriched in the Arctic microbiomes. The Arctic and Antarctic-specific orthologs were annotated by searching against the COG database. 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Relative abundance of a given COG is the number of orthologs classified into this COG divided by the total number of orthologs. The 40 most abundant COGs significantly (p-value &lt; 0.01) enriched in the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Arctic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shown. Orange color indicates antibiotic resistance genes.</w:t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6071A82" wp14:editId="6990D9DF">
            <wp:extent cx="6838950" cy="5138517"/>
            <wp:effectExtent l="0" t="0" r="0" b="5080"/>
            <wp:docPr id="8" name="图片 8" descr="C:\Users\Administrator\Desktop\fig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ig8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1990" r="6069" b="1431"/>
                    <a:stretch/>
                  </pic:blipFill>
                  <pic:spPr bwMode="auto">
                    <a:xfrm>
                      <a:off x="0" y="0"/>
                      <a:ext cx="6844471" cy="51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FE" w:rsidRPr="00C81AFE" w:rsidRDefault="00C81AFE" w:rsidP="00E50C7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F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8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enriched in the Antarctic microbiomes. The Arctic and Antarctic-specific orthologs were annotated by searching against the COG database. 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Relative abundance of a given COG is the number of orthologs classified into this COG divided by the total number of orthologs. The 40 most abundant COGs significantly (p-value &lt; 0.01) enriched in the </w:t>
      </w:r>
      <w:r w:rsidRPr="00C81AFE">
        <w:rPr>
          <w:rFonts w:ascii="Times New Roman" w:hAnsi="Times New Roman" w:cs="Times New Roman"/>
          <w:color w:val="000000" w:themeColor="text1"/>
          <w:sz w:val="24"/>
          <w:szCs w:val="24"/>
        </w:rPr>
        <w:t>Antarctic</w:t>
      </w:r>
      <w:r w:rsidRPr="00C81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shown. Purple color indicates genes involved in DNA recombination.</w:t>
      </w:r>
    </w:p>
    <w:p w:rsidR="00E50C74" w:rsidRPr="00C81AFE" w:rsidRDefault="00E50C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0C74" w:rsidRPr="00C81AFE" w:rsidSect="00253947">
      <w:pgSz w:w="12240" w:h="15840" w:code="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FEA" w:rsidRDefault="00183FEA" w:rsidP="004F78F3">
      <w:r>
        <w:separator/>
      </w:r>
    </w:p>
  </w:endnote>
  <w:endnote w:type="continuationSeparator" w:id="0">
    <w:p w:rsidR="00183FEA" w:rsidRDefault="00183FEA" w:rsidP="004F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17334"/>
      <w:docPartObj>
        <w:docPartGallery w:val="Page Numbers (Bottom of Page)"/>
        <w:docPartUnique/>
      </w:docPartObj>
    </w:sdtPr>
    <w:sdtEndPr/>
    <w:sdtContent>
      <w:p w:rsidR="00726643" w:rsidRDefault="00726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09" w:rsidRPr="00934A09">
          <w:rPr>
            <w:noProof/>
            <w:lang w:val="zh-CN"/>
          </w:rPr>
          <w:t>2</w:t>
        </w:r>
        <w:r>
          <w:fldChar w:fldCharType="end"/>
        </w:r>
      </w:p>
    </w:sdtContent>
  </w:sdt>
  <w:p w:rsidR="00726643" w:rsidRDefault="00726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FEA" w:rsidRDefault="00183FEA" w:rsidP="004F78F3">
      <w:r>
        <w:separator/>
      </w:r>
    </w:p>
  </w:footnote>
  <w:footnote w:type="continuationSeparator" w:id="0">
    <w:p w:rsidR="00183FEA" w:rsidRDefault="00183FEA" w:rsidP="004F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CD"/>
    <w:rsid w:val="00002318"/>
    <w:rsid w:val="00053430"/>
    <w:rsid w:val="000730C3"/>
    <w:rsid w:val="000B0905"/>
    <w:rsid w:val="000B1A62"/>
    <w:rsid w:val="00177F95"/>
    <w:rsid w:val="00183FEA"/>
    <w:rsid w:val="001964F5"/>
    <w:rsid w:val="001A7A6B"/>
    <w:rsid w:val="00203B33"/>
    <w:rsid w:val="00253947"/>
    <w:rsid w:val="00294147"/>
    <w:rsid w:val="002B6E33"/>
    <w:rsid w:val="002C1DAA"/>
    <w:rsid w:val="002C44F0"/>
    <w:rsid w:val="00307063"/>
    <w:rsid w:val="00363F31"/>
    <w:rsid w:val="003A60AB"/>
    <w:rsid w:val="003B0FB5"/>
    <w:rsid w:val="0041458A"/>
    <w:rsid w:val="004735A6"/>
    <w:rsid w:val="00481A85"/>
    <w:rsid w:val="004D57F4"/>
    <w:rsid w:val="004F78F3"/>
    <w:rsid w:val="00504D8C"/>
    <w:rsid w:val="00521B0A"/>
    <w:rsid w:val="0056427F"/>
    <w:rsid w:val="005D51E0"/>
    <w:rsid w:val="00613345"/>
    <w:rsid w:val="00671D09"/>
    <w:rsid w:val="006B1D81"/>
    <w:rsid w:val="006B4788"/>
    <w:rsid w:val="006B7F73"/>
    <w:rsid w:val="006C35AF"/>
    <w:rsid w:val="00707A79"/>
    <w:rsid w:val="00726643"/>
    <w:rsid w:val="007B6DE3"/>
    <w:rsid w:val="007E1664"/>
    <w:rsid w:val="00806279"/>
    <w:rsid w:val="00925FF3"/>
    <w:rsid w:val="00934A09"/>
    <w:rsid w:val="00960693"/>
    <w:rsid w:val="009D6B91"/>
    <w:rsid w:val="009F36A9"/>
    <w:rsid w:val="00A465E3"/>
    <w:rsid w:val="00AA2EC9"/>
    <w:rsid w:val="00AD297F"/>
    <w:rsid w:val="00AF4954"/>
    <w:rsid w:val="00AF532F"/>
    <w:rsid w:val="00B41C55"/>
    <w:rsid w:val="00BE1DCB"/>
    <w:rsid w:val="00BF33F8"/>
    <w:rsid w:val="00C50BD0"/>
    <w:rsid w:val="00C5173B"/>
    <w:rsid w:val="00C643F6"/>
    <w:rsid w:val="00C81AFE"/>
    <w:rsid w:val="00CF7FEB"/>
    <w:rsid w:val="00D17C86"/>
    <w:rsid w:val="00D66E12"/>
    <w:rsid w:val="00DA6387"/>
    <w:rsid w:val="00DD0E89"/>
    <w:rsid w:val="00DF5E14"/>
    <w:rsid w:val="00E13A0C"/>
    <w:rsid w:val="00E230CD"/>
    <w:rsid w:val="00E33B9A"/>
    <w:rsid w:val="00E50C74"/>
    <w:rsid w:val="00E61264"/>
    <w:rsid w:val="00E80C51"/>
    <w:rsid w:val="00EC4BDB"/>
    <w:rsid w:val="00ED62D5"/>
    <w:rsid w:val="00FA3B63"/>
    <w:rsid w:val="00FA7EB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FE74"/>
  <w15:chartTrackingRefBased/>
  <w15:docId w15:val="{6ABE041D-5738-429B-803E-7343150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7D4E-EDA1-4359-9A23-50935086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ding wei</cp:lastModifiedBy>
  <cp:revision>37</cp:revision>
  <dcterms:created xsi:type="dcterms:W3CDTF">2019-08-01T08:45:00Z</dcterms:created>
  <dcterms:modified xsi:type="dcterms:W3CDTF">2020-03-21T05:55:00Z</dcterms:modified>
</cp:coreProperties>
</file>