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2C" w:rsidRDefault="00E8272C" w:rsidP="00E8272C">
      <w:pPr>
        <w:rPr>
          <w:b/>
          <w:bCs/>
        </w:rPr>
      </w:pPr>
      <w:r>
        <w:rPr>
          <w:b/>
          <w:bCs/>
        </w:rPr>
        <w:t>Additional file</w:t>
      </w:r>
    </w:p>
    <w:p w:rsidR="00431BBD" w:rsidRPr="00E8272C" w:rsidRDefault="00E8272C" w:rsidP="00E8272C">
      <w:pPr>
        <w:rPr>
          <w:b/>
          <w:bCs/>
        </w:rPr>
      </w:pPr>
      <w:r>
        <w:t>Table S</w:t>
      </w:r>
      <w:r>
        <w:t>1. Food security of access by period and by province</w:t>
      </w:r>
      <w:bookmarkStart w:id="0" w:name="_GoBack"/>
      <w:bookmarkEnd w:id="0"/>
      <w:r>
        <w:t xml:space="preserve"> (% of site)</w:t>
      </w:r>
    </w:p>
    <w:tbl>
      <w:tblPr>
        <w:tblW w:w="8530" w:type="dxa"/>
        <w:jc w:val="center"/>
        <w:tblCellMar>
          <w:left w:w="123" w:type="dxa"/>
        </w:tblCellMar>
        <w:tblLook w:val="04A0"/>
      </w:tblPr>
      <w:tblGrid>
        <w:gridCol w:w="755"/>
        <w:gridCol w:w="3449"/>
        <w:gridCol w:w="1073"/>
        <w:gridCol w:w="1034"/>
        <w:gridCol w:w="1202"/>
        <w:gridCol w:w="1017"/>
      </w:tblGrid>
      <w:tr w:rsidR="00431BBD">
        <w:trPr>
          <w:jc w:val="center"/>
        </w:trPr>
        <w:tc>
          <w:tcPr>
            <w:tcW w:w="75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31BBD" w:rsidRDefault="00431BBD">
            <w:pPr>
              <w:snapToGrid w:val="0"/>
              <w:spacing w:before="180" w:after="0" w:line="240" w:lineRule="auto"/>
            </w:pPr>
          </w:p>
        </w:tc>
        <w:tc>
          <w:tcPr>
            <w:tcW w:w="344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31BBD" w:rsidRDefault="00431BBD">
            <w:pPr>
              <w:snapToGrid w:val="0"/>
              <w:spacing w:before="180" w:after="0" w:line="240" w:lineRule="auto"/>
            </w:pPr>
          </w:p>
        </w:tc>
        <w:tc>
          <w:tcPr>
            <w:tcW w:w="107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31BBD" w:rsidRDefault="00E8272C">
            <w:pPr>
              <w:pStyle w:val="Compact"/>
              <w:spacing w:line="240" w:lineRule="auto"/>
            </w:pPr>
            <w:r>
              <w:t>Food secure</w:t>
            </w:r>
          </w:p>
        </w:tc>
        <w:tc>
          <w:tcPr>
            <w:tcW w:w="10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31BBD" w:rsidRDefault="00E8272C">
            <w:pPr>
              <w:pStyle w:val="Compact"/>
              <w:spacing w:line="240" w:lineRule="auto"/>
            </w:pPr>
            <w:r>
              <w:t>Mildly food insecure</w:t>
            </w:r>
          </w:p>
        </w:tc>
        <w:tc>
          <w:tcPr>
            <w:tcW w:w="12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31BBD" w:rsidRDefault="00E8272C">
            <w:pPr>
              <w:pStyle w:val="Compact"/>
              <w:spacing w:line="240" w:lineRule="auto"/>
            </w:pPr>
            <w:r>
              <w:t>Moderately food insecure</w:t>
            </w:r>
          </w:p>
        </w:tc>
        <w:tc>
          <w:tcPr>
            <w:tcW w:w="10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31BBD" w:rsidRDefault="00E8272C">
            <w:pPr>
              <w:pStyle w:val="Compact"/>
              <w:spacing w:line="240" w:lineRule="auto"/>
            </w:pPr>
            <w:r>
              <w:t>Severely food insecure</w:t>
            </w:r>
          </w:p>
        </w:tc>
      </w:tr>
      <w:tr w:rsidR="00431BBD">
        <w:trPr>
          <w:trHeight w:val="488"/>
          <w:jc w:val="center"/>
        </w:trPr>
        <w:tc>
          <w:tcPr>
            <w:tcW w:w="754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</w:tcPr>
          <w:p w:rsidR="00431BBD" w:rsidRDefault="00E8272C">
            <w:pPr>
              <w:spacing w:before="180" w:after="0" w:line="240" w:lineRule="auto"/>
              <w:ind w:left="113" w:right="113"/>
            </w:pPr>
            <w:r>
              <w:rPr>
                <w:lang w:val="en-AU"/>
              </w:rPr>
              <w:t>lean</w:t>
            </w:r>
            <w:r>
              <w:t xml:space="preserve"> period</w:t>
            </w:r>
          </w:p>
        </w:tc>
        <w:tc>
          <w:tcPr>
            <w:tcW w:w="3449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spacing w:before="180" w:after="0" w:line="240" w:lineRule="auto"/>
            </w:pPr>
            <w:r>
              <w:t>Seno</w:t>
            </w:r>
          </w:p>
        </w:tc>
        <w:tc>
          <w:tcPr>
            <w:tcW w:w="1073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1.5</w:t>
            </w:r>
          </w:p>
        </w:tc>
        <w:tc>
          <w:tcPr>
            <w:tcW w:w="1034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2</w:t>
            </w:r>
          </w:p>
        </w:tc>
        <w:tc>
          <w:tcPr>
            <w:tcW w:w="1202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13</w:t>
            </w:r>
          </w:p>
        </w:tc>
        <w:tc>
          <w:tcPr>
            <w:tcW w:w="1017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83.5</w:t>
            </w:r>
          </w:p>
        </w:tc>
      </w:tr>
      <w:tr w:rsidR="00431BBD">
        <w:trPr>
          <w:trHeight w:val="522"/>
          <w:jc w:val="center"/>
        </w:trPr>
        <w:tc>
          <w:tcPr>
            <w:tcW w:w="754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31BBD" w:rsidRDefault="00431BBD"/>
        </w:tc>
        <w:tc>
          <w:tcPr>
            <w:tcW w:w="3449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spacing w:before="180" w:after="0" w:line="240" w:lineRule="auto"/>
            </w:pPr>
            <w:r>
              <w:t>Yatenga</w:t>
            </w:r>
          </w:p>
        </w:tc>
        <w:tc>
          <w:tcPr>
            <w:tcW w:w="1073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10.5</w:t>
            </w:r>
          </w:p>
        </w:tc>
        <w:tc>
          <w:tcPr>
            <w:tcW w:w="1034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17</w:t>
            </w:r>
          </w:p>
        </w:tc>
        <w:tc>
          <w:tcPr>
            <w:tcW w:w="1202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41</w:t>
            </w:r>
          </w:p>
        </w:tc>
        <w:tc>
          <w:tcPr>
            <w:tcW w:w="1017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31.5</w:t>
            </w:r>
          </w:p>
        </w:tc>
      </w:tr>
      <w:tr w:rsidR="00431BBD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extDirection w:val="btLr"/>
          </w:tcPr>
          <w:p w:rsidR="00431BBD" w:rsidRDefault="00E8272C">
            <w:pPr>
              <w:spacing w:before="180" w:after="0" w:line="240" w:lineRule="auto"/>
              <w:ind w:left="113" w:right="113"/>
            </w:pPr>
            <w:r>
              <w:rPr>
                <w:lang w:val="en-AU"/>
              </w:rPr>
              <w:t xml:space="preserve">Flush </w:t>
            </w:r>
            <w:r>
              <w:t>period</w:t>
            </w:r>
          </w:p>
        </w:tc>
        <w:tc>
          <w:tcPr>
            <w:tcW w:w="3449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spacing w:before="180" w:after="0" w:line="240" w:lineRule="auto"/>
            </w:pPr>
            <w:r>
              <w:t>Seno</w:t>
            </w:r>
          </w:p>
        </w:tc>
        <w:tc>
          <w:tcPr>
            <w:tcW w:w="1073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22</w:t>
            </w:r>
          </w:p>
        </w:tc>
        <w:tc>
          <w:tcPr>
            <w:tcW w:w="1034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11</w:t>
            </w:r>
          </w:p>
        </w:tc>
        <w:tc>
          <w:tcPr>
            <w:tcW w:w="1202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18</w:t>
            </w:r>
          </w:p>
        </w:tc>
        <w:tc>
          <w:tcPr>
            <w:tcW w:w="1017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49</w:t>
            </w:r>
          </w:p>
        </w:tc>
      </w:tr>
      <w:tr w:rsidR="00431BBD">
        <w:trPr>
          <w:jc w:val="center"/>
        </w:trPr>
        <w:tc>
          <w:tcPr>
            <w:tcW w:w="754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31BBD" w:rsidRDefault="00431BBD"/>
        </w:tc>
        <w:tc>
          <w:tcPr>
            <w:tcW w:w="3449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spacing w:before="180" w:after="0" w:line="240" w:lineRule="auto"/>
            </w:pPr>
            <w:r>
              <w:t>Yatenga</w:t>
            </w:r>
          </w:p>
        </w:tc>
        <w:tc>
          <w:tcPr>
            <w:tcW w:w="1073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14.5</w:t>
            </w:r>
          </w:p>
        </w:tc>
        <w:tc>
          <w:tcPr>
            <w:tcW w:w="1034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45</w:t>
            </w:r>
          </w:p>
        </w:tc>
        <w:tc>
          <w:tcPr>
            <w:tcW w:w="1202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24</w:t>
            </w:r>
          </w:p>
        </w:tc>
        <w:tc>
          <w:tcPr>
            <w:tcW w:w="1017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  <w:spacing w:line="240" w:lineRule="auto"/>
            </w:pPr>
            <w:r>
              <w:t>16.5</w:t>
            </w:r>
          </w:p>
        </w:tc>
      </w:tr>
    </w:tbl>
    <w:p w:rsidR="00431BBD" w:rsidRDefault="00431BBD"/>
    <w:p w:rsidR="00431BBD" w:rsidRDefault="00431BBD"/>
    <w:p w:rsidR="00431BBD" w:rsidRDefault="00E8272C">
      <w:r>
        <w:t>Table S</w:t>
      </w:r>
      <w:r>
        <w:t>2. Intensification practices adopted in Seno for the 2015 cropping period (% of households)</w:t>
      </w:r>
    </w:p>
    <w:tbl>
      <w:tblPr>
        <w:tblW w:w="7627" w:type="dxa"/>
        <w:jc w:val="center"/>
        <w:tblCellMar>
          <w:left w:w="128" w:type="dxa"/>
        </w:tblCellMar>
        <w:tblLook w:val="04A0"/>
      </w:tblPr>
      <w:tblGrid>
        <w:gridCol w:w="3851"/>
        <w:gridCol w:w="1933"/>
        <w:gridCol w:w="1843"/>
      </w:tblGrid>
      <w:tr w:rsidR="00431BBD">
        <w:trPr>
          <w:trHeight w:val="368"/>
          <w:jc w:val="center"/>
        </w:trPr>
        <w:tc>
          <w:tcPr>
            <w:tcW w:w="38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31BBD" w:rsidRDefault="00431BBD">
            <w:pPr>
              <w:snapToGrid w:val="0"/>
              <w:spacing w:before="180" w:after="0"/>
            </w:pPr>
          </w:p>
        </w:tc>
        <w:tc>
          <w:tcPr>
            <w:tcW w:w="1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31BBD" w:rsidRDefault="00E8272C">
            <w:pPr>
              <w:pStyle w:val="Compact"/>
            </w:pPr>
            <w:r>
              <w:t>Adopted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31BBD" w:rsidRDefault="00E8272C">
            <w:pPr>
              <w:pStyle w:val="Compact"/>
            </w:pPr>
            <w:r>
              <w:t>Not adopted</w:t>
            </w:r>
          </w:p>
        </w:tc>
      </w:tr>
      <w:tr w:rsidR="00431BBD">
        <w:trPr>
          <w:jc w:val="center"/>
        </w:trPr>
        <w:tc>
          <w:tcPr>
            <w:tcW w:w="3851" w:type="dxa"/>
            <w:tcBorders>
              <w:top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Improved livestock breeds</w:t>
            </w:r>
          </w:p>
        </w:tc>
        <w:tc>
          <w:tcPr>
            <w:tcW w:w="1933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</w:pPr>
            <w:r>
              <w:t>99</w:t>
            </w:r>
          </w:p>
        </w:tc>
      </w:tr>
      <w:tr w:rsidR="00431BBD">
        <w:trPr>
          <w:jc w:val="center"/>
        </w:trPr>
        <w:tc>
          <w:tcPr>
            <w:tcW w:w="3851" w:type="dxa"/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Value addition</w:t>
            </w:r>
            <w:r>
              <w:rPr>
                <w:rStyle w:val="CommentReference"/>
                <w:vertAlign w:val="superscript"/>
                <w:lang w:val="en-AU"/>
              </w:rPr>
              <w:t>a</w:t>
            </w:r>
          </w:p>
        </w:tc>
        <w:tc>
          <w:tcPr>
            <w:tcW w:w="193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76</w:t>
            </w:r>
          </w:p>
        </w:tc>
        <w:tc>
          <w:tcPr>
            <w:tcW w:w="184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24</w:t>
            </w:r>
          </w:p>
        </w:tc>
      </w:tr>
      <w:tr w:rsidR="00431BBD">
        <w:trPr>
          <w:jc w:val="center"/>
        </w:trPr>
        <w:tc>
          <w:tcPr>
            <w:tcW w:w="3851" w:type="dxa"/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Irrigate cash crops</w:t>
            </w:r>
          </w:p>
        </w:tc>
        <w:tc>
          <w:tcPr>
            <w:tcW w:w="193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6</w:t>
            </w:r>
          </w:p>
        </w:tc>
        <w:tc>
          <w:tcPr>
            <w:tcW w:w="184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94</w:t>
            </w:r>
          </w:p>
        </w:tc>
      </w:tr>
      <w:tr w:rsidR="00431BBD">
        <w:trPr>
          <w:jc w:val="center"/>
        </w:trPr>
        <w:tc>
          <w:tcPr>
            <w:tcW w:w="3851" w:type="dxa"/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Fertiliser</w:t>
            </w:r>
          </w:p>
        </w:tc>
        <w:tc>
          <w:tcPr>
            <w:tcW w:w="193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20.5</w:t>
            </w:r>
          </w:p>
        </w:tc>
        <w:tc>
          <w:tcPr>
            <w:tcW w:w="184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79.5</w:t>
            </w:r>
          </w:p>
        </w:tc>
      </w:tr>
      <w:tr w:rsidR="00431BBD">
        <w:trPr>
          <w:jc w:val="center"/>
        </w:trPr>
        <w:tc>
          <w:tcPr>
            <w:tcW w:w="3851" w:type="dxa"/>
            <w:tcBorders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Improved seed</w:t>
            </w:r>
          </w:p>
        </w:tc>
        <w:tc>
          <w:tcPr>
            <w:tcW w:w="1933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</w:pPr>
            <w:r>
              <w:t>31.5</w:t>
            </w:r>
          </w:p>
        </w:tc>
        <w:tc>
          <w:tcPr>
            <w:tcW w:w="1843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</w:pPr>
            <w:r>
              <w:t>68.5</w:t>
            </w:r>
          </w:p>
        </w:tc>
      </w:tr>
    </w:tbl>
    <w:p w:rsidR="00431BBD" w:rsidRDefault="00E8272C">
      <w:pPr>
        <w:spacing w:after="0"/>
        <w:rPr>
          <w:sz w:val="16"/>
          <w:szCs w:val="16"/>
        </w:rPr>
      </w:pPr>
      <w:r>
        <w:rPr>
          <w:sz w:val="16"/>
          <w:szCs w:val="16"/>
        </w:rPr>
        <w:t>a value addition of crops such as dehusking, hulling, polishing, milling ect.</w:t>
      </w:r>
    </w:p>
    <w:p w:rsidR="00431BBD" w:rsidRDefault="00431BBD"/>
    <w:p w:rsidR="00431BBD" w:rsidRDefault="00E8272C">
      <w:r>
        <w:t>Table S</w:t>
      </w:r>
      <w:r>
        <w:t>3. Intensification practices adopted in Yatenga for the 2015 cropping period (% of households)</w:t>
      </w:r>
    </w:p>
    <w:tbl>
      <w:tblPr>
        <w:tblW w:w="7627" w:type="dxa"/>
        <w:jc w:val="center"/>
        <w:tblCellMar>
          <w:left w:w="128" w:type="dxa"/>
        </w:tblCellMar>
        <w:tblLook w:val="04A0"/>
      </w:tblPr>
      <w:tblGrid>
        <w:gridCol w:w="3851"/>
        <w:gridCol w:w="1933"/>
        <w:gridCol w:w="1843"/>
      </w:tblGrid>
      <w:tr w:rsidR="00431BBD">
        <w:trPr>
          <w:trHeight w:val="368"/>
          <w:jc w:val="center"/>
        </w:trPr>
        <w:tc>
          <w:tcPr>
            <w:tcW w:w="38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431BBD" w:rsidRDefault="00431BBD">
            <w:pPr>
              <w:snapToGrid w:val="0"/>
              <w:spacing w:before="180" w:after="0"/>
            </w:pPr>
          </w:p>
        </w:tc>
        <w:tc>
          <w:tcPr>
            <w:tcW w:w="1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31BBD" w:rsidRDefault="00E8272C">
            <w:pPr>
              <w:pStyle w:val="Compact"/>
            </w:pPr>
            <w:r>
              <w:t>Adopted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431BBD" w:rsidRDefault="00E8272C">
            <w:pPr>
              <w:pStyle w:val="Compact"/>
            </w:pPr>
            <w:r>
              <w:t>Not adopted</w:t>
            </w:r>
          </w:p>
        </w:tc>
      </w:tr>
      <w:tr w:rsidR="00431BBD">
        <w:trPr>
          <w:jc w:val="center"/>
        </w:trPr>
        <w:tc>
          <w:tcPr>
            <w:tcW w:w="3851" w:type="dxa"/>
            <w:tcBorders>
              <w:top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Improved livestock breeds</w:t>
            </w:r>
          </w:p>
        </w:tc>
        <w:tc>
          <w:tcPr>
            <w:tcW w:w="1933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</w:pPr>
            <w:r>
              <w:t>0.5</w:t>
            </w:r>
          </w:p>
        </w:tc>
        <w:tc>
          <w:tcPr>
            <w:tcW w:w="1843" w:type="dxa"/>
            <w:tcBorders>
              <w:top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</w:pPr>
            <w:r>
              <w:t>99.5</w:t>
            </w:r>
          </w:p>
        </w:tc>
      </w:tr>
      <w:tr w:rsidR="00431BBD">
        <w:trPr>
          <w:jc w:val="center"/>
        </w:trPr>
        <w:tc>
          <w:tcPr>
            <w:tcW w:w="3851" w:type="dxa"/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Value addition</w:t>
            </w:r>
          </w:p>
        </w:tc>
        <w:tc>
          <w:tcPr>
            <w:tcW w:w="193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87.5</w:t>
            </w:r>
          </w:p>
        </w:tc>
        <w:tc>
          <w:tcPr>
            <w:tcW w:w="184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12.5</w:t>
            </w:r>
          </w:p>
        </w:tc>
      </w:tr>
      <w:tr w:rsidR="00431BBD">
        <w:trPr>
          <w:jc w:val="center"/>
        </w:trPr>
        <w:tc>
          <w:tcPr>
            <w:tcW w:w="3851" w:type="dxa"/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Irrigate cash crops</w:t>
            </w:r>
          </w:p>
        </w:tc>
        <w:tc>
          <w:tcPr>
            <w:tcW w:w="193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27.5</w:t>
            </w:r>
          </w:p>
        </w:tc>
        <w:tc>
          <w:tcPr>
            <w:tcW w:w="184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72.5</w:t>
            </w:r>
          </w:p>
        </w:tc>
      </w:tr>
      <w:tr w:rsidR="00431BBD">
        <w:trPr>
          <w:jc w:val="center"/>
        </w:trPr>
        <w:tc>
          <w:tcPr>
            <w:tcW w:w="3851" w:type="dxa"/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Fertiliser</w:t>
            </w:r>
          </w:p>
        </w:tc>
        <w:tc>
          <w:tcPr>
            <w:tcW w:w="193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39.5</w:t>
            </w:r>
          </w:p>
        </w:tc>
        <w:tc>
          <w:tcPr>
            <w:tcW w:w="1843" w:type="dxa"/>
            <w:shd w:val="clear" w:color="auto" w:fill="FFFFFF"/>
          </w:tcPr>
          <w:p w:rsidR="00431BBD" w:rsidRDefault="00E8272C">
            <w:pPr>
              <w:pStyle w:val="Compact"/>
            </w:pPr>
            <w:r>
              <w:t>60.5</w:t>
            </w:r>
          </w:p>
        </w:tc>
      </w:tr>
      <w:tr w:rsidR="00431BBD">
        <w:trPr>
          <w:jc w:val="center"/>
        </w:trPr>
        <w:tc>
          <w:tcPr>
            <w:tcW w:w="3851" w:type="dxa"/>
            <w:tcBorders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31BBD" w:rsidRDefault="00E8272C">
            <w:pPr>
              <w:spacing w:before="180" w:after="0"/>
            </w:pPr>
            <w:r>
              <w:t>Improved seed</w:t>
            </w:r>
          </w:p>
        </w:tc>
        <w:tc>
          <w:tcPr>
            <w:tcW w:w="1933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</w:pPr>
            <w:r>
              <w:t>62</w:t>
            </w:r>
          </w:p>
        </w:tc>
        <w:tc>
          <w:tcPr>
            <w:tcW w:w="1843" w:type="dxa"/>
            <w:tcBorders>
              <w:bottom w:val="single" w:sz="4" w:space="0" w:color="000001"/>
            </w:tcBorders>
            <w:shd w:val="clear" w:color="auto" w:fill="FFFFFF"/>
          </w:tcPr>
          <w:p w:rsidR="00431BBD" w:rsidRDefault="00E8272C">
            <w:pPr>
              <w:pStyle w:val="Compact"/>
            </w:pPr>
            <w:r>
              <w:t>38</w:t>
            </w:r>
          </w:p>
        </w:tc>
      </w:tr>
    </w:tbl>
    <w:p w:rsidR="00431BBD" w:rsidRDefault="00431BBD">
      <w:pPr>
        <w:sectPr w:rsidR="00431BBD" w:rsidSect="00E8272C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cols w:space="720"/>
          <w:formProt w:val="0"/>
          <w:docGrid w:linePitch="312"/>
        </w:sectPr>
      </w:pPr>
    </w:p>
    <w:p w:rsidR="00431BBD" w:rsidRDefault="00431BBD">
      <w:pPr>
        <w:spacing w:after="0"/>
        <w:rPr>
          <w:sz w:val="16"/>
          <w:szCs w:val="16"/>
        </w:rPr>
      </w:pPr>
    </w:p>
    <w:p w:rsidR="00431BBD" w:rsidRDefault="00431BBD">
      <w:pPr>
        <w:spacing w:after="0"/>
      </w:pPr>
    </w:p>
    <w:p w:rsidR="00431BBD" w:rsidRDefault="00431BBD">
      <w:pPr>
        <w:spacing w:after="0"/>
      </w:pPr>
    </w:p>
    <w:p w:rsidR="00431BBD" w:rsidRDefault="00E8272C">
      <w:pPr>
        <w:spacing w:after="0"/>
      </w:pPr>
      <w:r>
        <w:rPr>
          <w:noProof/>
          <w:lang w:eastAsia="en-US"/>
        </w:rPr>
        <w:drawing>
          <wp:inline distT="0" distB="0" distL="0" distR="0">
            <wp:extent cx="5334000" cy="64008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BBD" w:rsidRDefault="00E8272C">
      <w:pPr>
        <w:spacing w:after="0"/>
      </w:pPr>
      <w:r>
        <w:rPr>
          <w:noProof/>
          <w:lang w:eastAsia="en-US"/>
        </w:rPr>
        <w:lastRenderedPageBreak/>
        <w:drawing>
          <wp:inline distT="0" distB="0" distL="0" distR="0">
            <wp:extent cx="5334000" cy="3556000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BBD" w:rsidRDefault="00E8272C">
      <w:r>
        <w:rPr>
          <w:lang w:val="en-AU"/>
        </w:rPr>
        <w:t>Fig S</w:t>
      </w:r>
      <w:r>
        <w:t>1.</w:t>
      </w:r>
      <w:r>
        <w:t xml:space="preserve"> Summary of resources</w:t>
      </w:r>
      <w:r>
        <w:rPr>
          <w:lang w:val="en-AU"/>
        </w:rPr>
        <w:t xml:space="preserve"> and</w:t>
      </w:r>
      <w:r>
        <w:t xml:space="preserve"> farm characteristics of households by province</w:t>
      </w:r>
    </w:p>
    <w:p w:rsidR="00431BBD" w:rsidRDefault="00E8272C">
      <w:r>
        <w:rPr>
          <w:noProof/>
          <w:lang w:eastAsia="en-US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5486400" cy="7314565"/>
            <wp:effectExtent l="0" t="0" r="0" b="0"/>
            <wp:wrapTopAndBottom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BBD" w:rsidRDefault="00E8272C">
      <w:r>
        <w:t>SI Fig. 2. Diet diversity: density and proportion of sampled households (n=</w:t>
      </w:r>
      <w:r>
        <w:t>400</w:t>
      </w:r>
      <w:r>
        <w:t xml:space="preserve">) consuming specific food categories by </w:t>
      </w:r>
      <w:r>
        <w:t>province and food security period</w:t>
      </w:r>
      <w:r>
        <w:t xml:space="preserve">. The distribution </w:t>
      </w:r>
      <w:r>
        <w:t xml:space="preserve">(probability density function) of diet diversity for each province and period is represented as a black line on the lower half of each </w:t>
      </w:r>
      <w:r>
        <w:lastRenderedPageBreak/>
        <w:t>figure facet. Food categories are represented by different colours, showing the proportion of households consuming each c</w:t>
      </w:r>
      <w:r>
        <w:t>ategory at specific diet diversity levels</w:t>
      </w:r>
    </w:p>
    <w:p w:rsidR="00431BBD" w:rsidRDefault="00431BBD"/>
    <w:p w:rsidR="00431BBD" w:rsidRDefault="00E8272C">
      <w:r>
        <w:rPr>
          <w:noProof/>
          <w:lang w:eastAsia="en-US"/>
        </w:rPr>
        <w:drawing>
          <wp:inline distT="0" distB="0" distL="114935" distR="114935">
            <wp:extent cx="2390775" cy="2390775"/>
            <wp:effectExtent l="0" t="0" r="0" b="0"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BBD" w:rsidRDefault="00E8272C">
      <w:r>
        <w:t>SI Fig. 3. Histogram of the production volume of milk in the lean period relative to the flush period. Frequency capped at 1</w:t>
      </w:r>
    </w:p>
    <w:sectPr w:rsidR="00431BBD" w:rsidSect="00E8272C">
      <w:headerReference w:type="default" r:id="rId13"/>
      <w:footerReference w:type="default" r:id="rId14"/>
      <w:type w:val="continuous"/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BD" w:rsidRDefault="00431BBD" w:rsidP="00431BBD">
      <w:pPr>
        <w:spacing w:after="0" w:line="240" w:lineRule="auto"/>
      </w:pPr>
      <w:r>
        <w:separator/>
      </w:r>
    </w:p>
  </w:endnote>
  <w:endnote w:type="continuationSeparator" w:id="0">
    <w:p w:rsidR="00431BBD" w:rsidRDefault="00431BBD" w:rsidP="0043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BD" w:rsidRDefault="00431BBD">
    <w:pPr>
      <w:pStyle w:val="Footer"/>
    </w:pPr>
    <w:r>
      <w:pict>
        <v:rect id="Frame3" o:spid="_x0000_s1025" style="position:absolute;margin-left:0;margin-top:.05pt;width:37.05pt;height:28.4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431BBD" w:rsidRDefault="00431BBD">
                <w:pPr>
                  <w:pStyle w:val="Footer"/>
                  <w:rPr>
                    <w:color w:val="000000"/>
                  </w:rPr>
                </w:pPr>
                <w:r w:rsidRPr="00431BBD">
                  <w:rPr>
                    <w:color w:val="000000"/>
                  </w:rPr>
                  <w:fldChar w:fldCharType="begin"/>
                </w:r>
                <w:r w:rsidR="00E8272C">
                  <w:instrText>PAGE</w:instrText>
                </w:r>
                <w:r>
                  <w:fldChar w:fldCharType="separate"/>
                </w:r>
                <w:r w:rsidR="00E8272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BD" w:rsidRDefault="00431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BD" w:rsidRDefault="00431BBD" w:rsidP="00431BBD">
      <w:pPr>
        <w:spacing w:after="0" w:line="240" w:lineRule="auto"/>
      </w:pPr>
      <w:r>
        <w:separator/>
      </w:r>
    </w:p>
  </w:footnote>
  <w:footnote w:type="continuationSeparator" w:id="0">
    <w:p w:rsidR="00431BBD" w:rsidRDefault="00431BBD" w:rsidP="0043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BD" w:rsidRDefault="00431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BD" w:rsidRDefault="00431B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1BBD"/>
    <w:rsid w:val="00431BBD"/>
    <w:rsid w:val="00E8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BD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qFormat/>
    <w:rsid w:val="00431BBD"/>
    <w:rPr>
      <w:sz w:val="16"/>
      <w:szCs w:val="16"/>
    </w:rPr>
  </w:style>
  <w:style w:type="character" w:styleId="LineNumber">
    <w:name w:val="line number"/>
    <w:basedOn w:val="DefaultParagraphFont"/>
    <w:qFormat/>
    <w:rsid w:val="00B1667A"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41323B"/>
    <w:rPr>
      <w:rFonts w:ascii="Courier New" w:eastAsia="Times New Roman" w:hAnsi="Courier New" w:cs="Courier New"/>
    </w:rPr>
  </w:style>
  <w:style w:type="character" w:customStyle="1" w:styleId="gnkrckgcgsb">
    <w:name w:val="gnkrckgcgsb"/>
    <w:basedOn w:val="DefaultParagraphFont"/>
    <w:qFormat/>
    <w:rsid w:val="0041323B"/>
  </w:style>
  <w:style w:type="character" w:customStyle="1" w:styleId="CommentTextChar">
    <w:name w:val="Comment Text Char"/>
    <w:basedOn w:val="DefaultParagraphFont"/>
    <w:link w:val="CommentText"/>
    <w:qFormat/>
    <w:rsid w:val="004724A7"/>
    <w:rPr>
      <w:rFonts w:ascii="Times New Roman" w:eastAsia="Times New Roman" w:hAnsi="Times New Roman" w:cs="Times New Roman"/>
      <w:color w:val="00000A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qFormat/>
    <w:rsid w:val="004724A7"/>
    <w:rPr>
      <w:rFonts w:ascii="Times New Roman" w:eastAsia="Times New Roman" w:hAnsi="Times New Roman" w:cs="Times New Roman"/>
      <w:b/>
      <w:bCs/>
      <w:color w:val="00000A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qFormat/>
    <w:rsid w:val="004724A7"/>
    <w:rPr>
      <w:rFonts w:ascii="Segoe UI" w:eastAsia="Times New Roman" w:hAnsi="Segoe UI" w:cs="Segoe UI"/>
      <w:color w:val="00000A"/>
      <w:sz w:val="18"/>
      <w:szCs w:val="18"/>
      <w:lang w:val="en-US" w:eastAsia="zh-CN"/>
    </w:rPr>
  </w:style>
  <w:style w:type="character" w:customStyle="1" w:styleId="LineNumbering">
    <w:name w:val="Line Numbering"/>
    <w:rsid w:val="00431BBD"/>
  </w:style>
  <w:style w:type="paragraph" w:customStyle="1" w:styleId="Heading">
    <w:name w:val="Heading"/>
    <w:basedOn w:val="Normal"/>
    <w:next w:val="BodyText"/>
    <w:qFormat/>
    <w:rsid w:val="00431B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31BBD"/>
    <w:pPr>
      <w:spacing w:after="140"/>
    </w:pPr>
  </w:style>
  <w:style w:type="paragraph" w:styleId="List">
    <w:name w:val="List"/>
    <w:basedOn w:val="BodyText"/>
    <w:rsid w:val="00431BBD"/>
    <w:rPr>
      <w:rFonts w:cs="Lucida Sans"/>
    </w:rPr>
  </w:style>
  <w:style w:type="paragraph" w:styleId="Caption">
    <w:name w:val="caption"/>
    <w:basedOn w:val="Normal"/>
    <w:qFormat/>
    <w:rsid w:val="00431BB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rsid w:val="00431BBD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rsid w:val="00431BBD"/>
  </w:style>
  <w:style w:type="paragraph" w:styleId="Footer">
    <w:name w:val="footer"/>
    <w:basedOn w:val="Normal"/>
    <w:rsid w:val="00431BBD"/>
    <w:pPr>
      <w:suppressLineNumbers/>
      <w:jc w:val="left"/>
    </w:pPr>
    <w:rPr>
      <w:sz w:val="18"/>
      <w:szCs w:val="18"/>
    </w:rPr>
  </w:style>
  <w:style w:type="paragraph" w:styleId="Header">
    <w:name w:val="header"/>
    <w:basedOn w:val="Normal"/>
    <w:rsid w:val="00431BBD"/>
    <w:pPr>
      <w:suppressLineNumbers/>
    </w:pPr>
    <w:rPr>
      <w:sz w:val="18"/>
      <w:szCs w:val="18"/>
    </w:rPr>
  </w:style>
  <w:style w:type="paragraph" w:customStyle="1" w:styleId="Compact">
    <w:name w:val="Compact"/>
    <w:basedOn w:val="BodyText1"/>
    <w:qFormat/>
    <w:rsid w:val="00431BBD"/>
    <w:pPr>
      <w:spacing w:before="36" w:after="36"/>
    </w:pPr>
  </w:style>
  <w:style w:type="paragraph" w:customStyle="1" w:styleId="BodyText1">
    <w:name w:val="Body Text1"/>
    <w:basedOn w:val="Normal"/>
    <w:qFormat/>
    <w:rsid w:val="00431BBD"/>
    <w:pPr>
      <w:spacing w:before="180" w:after="180" w:line="288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13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color w:val="auto"/>
      <w:sz w:val="20"/>
      <w:szCs w:val="20"/>
      <w:lang w:val="en-AU" w:eastAsia="en-AU"/>
    </w:rPr>
  </w:style>
  <w:style w:type="paragraph" w:styleId="CommentText">
    <w:name w:val="annotation text"/>
    <w:basedOn w:val="Normal"/>
    <w:link w:val="CommentTextChar"/>
    <w:qFormat/>
    <w:rsid w:val="004724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4724A7"/>
    <w:rPr>
      <w:b/>
      <w:bCs/>
    </w:rPr>
  </w:style>
  <w:style w:type="paragraph" w:styleId="BalloonText">
    <w:name w:val="Balloon Text"/>
    <w:basedOn w:val="Normal"/>
    <w:link w:val="BalloonTextChar"/>
    <w:qFormat/>
    <w:rsid w:val="004724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  <w:rsid w:val="00431B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5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dc:description/>
  <cp:lastModifiedBy>0013914</cp:lastModifiedBy>
  <cp:revision>21</cp:revision>
  <dcterms:created xsi:type="dcterms:W3CDTF">2017-12-04T10:25:00Z</dcterms:created>
  <dcterms:modified xsi:type="dcterms:W3CDTF">2020-05-01T07:08:00Z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