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3" w:rsidRPr="00B3667E" w:rsidRDefault="00E02672" w:rsidP="00292C43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B3667E">
        <w:rPr>
          <w:rFonts w:ascii="Times New Roman" w:hAnsi="Times New Roman" w:cs="Times New Roman"/>
          <w:b/>
          <w:lang w:val="en-GB"/>
        </w:rPr>
        <w:t xml:space="preserve">Additional file </w:t>
      </w:r>
      <w:r w:rsidR="00A71D87" w:rsidRPr="00B3667E">
        <w:rPr>
          <w:rFonts w:ascii="Times New Roman" w:hAnsi="Times New Roman" w:cs="Times New Roman"/>
          <w:b/>
          <w:lang w:val="en-GB"/>
        </w:rPr>
        <w:t>2</w:t>
      </w:r>
      <w:r w:rsidR="00292C43" w:rsidRPr="00B3667E">
        <w:rPr>
          <w:rFonts w:ascii="Times New Roman" w:hAnsi="Times New Roman" w:cs="Times New Roman"/>
          <w:lang w:val="en-GB"/>
        </w:rPr>
        <w:t>.</w:t>
      </w:r>
      <w:proofErr w:type="gramEnd"/>
      <w:r w:rsidR="00292C43" w:rsidRPr="00B3667E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292C43" w:rsidRPr="00B3667E">
        <w:rPr>
          <w:rFonts w:ascii="Times New Roman" w:hAnsi="Times New Roman" w:cs="Times New Roman"/>
          <w:lang w:val="en-GB"/>
        </w:rPr>
        <w:t>Maternal and birth outcomes, according to type of concomitant malaria infection.</w:t>
      </w:r>
      <w:proofErr w:type="gramEnd"/>
    </w:p>
    <w:tbl>
      <w:tblPr>
        <w:tblStyle w:val="LightShading"/>
        <w:tblW w:w="5000" w:type="pct"/>
        <w:tblLook w:val="04A0"/>
      </w:tblPr>
      <w:tblGrid>
        <w:gridCol w:w="2698"/>
        <w:gridCol w:w="2051"/>
        <w:gridCol w:w="2016"/>
        <w:gridCol w:w="2014"/>
        <w:gridCol w:w="2016"/>
        <w:gridCol w:w="2014"/>
        <w:gridCol w:w="1411"/>
      </w:tblGrid>
      <w:tr w:rsidR="00CF14EB" w:rsidRPr="00B3667E" w:rsidTr="00CF14EB">
        <w:trPr>
          <w:cnfStyle w:val="100000000000"/>
        </w:trPr>
        <w:tc>
          <w:tcPr>
            <w:cnfStyle w:val="001000000000"/>
            <w:tcW w:w="949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Maternal anaemia</w:t>
            </w:r>
          </w:p>
        </w:tc>
        <w:tc>
          <w:tcPr>
            <w:tcW w:w="1417" w:type="pct"/>
            <w:gridSpan w:val="2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 xml:space="preserve">Maternal </w:t>
            </w:r>
            <w:proofErr w:type="spellStart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Hb</w:t>
            </w:r>
            <w:proofErr w:type="spellEnd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 xml:space="preserve"> level</w:t>
            </w:r>
          </w:p>
        </w:tc>
        <w:tc>
          <w:tcPr>
            <w:tcW w:w="708" w:type="pct"/>
            <w:vAlign w:val="center"/>
          </w:tcPr>
          <w:p w:rsidR="00CF14EB" w:rsidRPr="00B3667E" w:rsidRDefault="00CF14EB" w:rsidP="00E16E04">
            <w:pPr>
              <w:spacing w:after="0"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proofErr w:type="spellStart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Birthweight</w:t>
            </w: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496" w:type="pct"/>
            <w:vAlign w:val="center"/>
          </w:tcPr>
          <w:p w:rsidR="00CF14EB" w:rsidRPr="00B3667E" w:rsidRDefault="00CF14EB" w:rsidP="00E16E04">
            <w:pPr>
              <w:spacing w:after="0"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GB"/>
              </w:rPr>
            </w:pPr>
            <w:proofErr w:type="spellStart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LBW</w:t>
            </w: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CF14EB" w:rsidRPr="00B3667E" w:rsidTr="00CF14EB">
        <w:trPr>
          <w:cnfStyle w:val="000000100000"/>
        </w:trPr>
        <w:tc>
          <w:tcPr>
            <w:cnfStyle w:val="001000000000"/>
            <w:tcW w:w="949" w:type="pct"/>
            <w:shd w:val="clear" w:color="auto" w:fill="auto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In the 1</w:t>
            </w:r>
            <w:r w:rsidRPr="00B3667E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>st</w:t>
            </w: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trimester</w:t>
            </w:r>
            <w:r w:rsidRPr="00B3667E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a</w:t>
            </w:r>
            <w:proofErr w:type="spellEnd"/>
          </w:p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% (n)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In the 3</w:t>
            </w:r>
            <w:r w:rsidRPr="00B3667E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>rd</w:t>
            </w: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trimester</w:t>
            </w:r>
            <w:r w:rsidRPr="00B3667E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a</w:t>
            </w:r>
            <w:proofErr w:type="spellEnd"/>
          </w:p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% (n)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In the 1</w:t>
            </w:r>
            <w:r w:rsidRPr="00B3667E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>st</w:t>
            </w: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trimester</w:t>
            </w:r>
            <w:r w:rsidRPr="00B3667E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a</w:t>
            </w:r>
            <w:proofErr w:type="spellEnd"/>
          </w:p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Mean (</w:t>
            </w:r>
            <w:proofErr w:type="spellStart"/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CI95</w:t>
            </w:r>
            <w:proofErr w:type="spellEnd"/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%)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In the 3</w:t>
            </w:r>
            <w:r w:rsidRPr="00B3667E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>rd</w:t>
            </w:r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B3667E">
              <w:rPr>
                <w:rFonts w:ascii="Times New Roman" w:hAnsi="Times New Roman" w:cs="Times New Roman"/>
                <w:bCs/>
                <w:color w:val="000000"/>
                <w:lang w:val="en-GB"/>
              </w:rPr>
              <w:t>trimester</w:t>
            </w:r>
            <w:r w:rsidRPr="00B3667E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a</w:t>
            </w:r>
            <w:proofErr w:type="spellEnd"/>
          </w:p>
          <w:p w:rsidR="00CF14EB" w:rsidRPr="00B3667E" w:rsidRDefault="00CF14EB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Mean (</w:t>
            </w:r>
            <w:proofErr w:type="spellStart"/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CI95</w:t>
            </w:r>
            <w:proofErr w:type="spellEnd"/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%)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F14EB" w:rsidRPr="00B3667E" w:rsidRDefault="00E16E04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Mean (CI95%)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F14EB" w:rsidRPr="00B3667E" w:rsidRDefault="00E16E04" w:rsidP="00CF14EB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% (n)</w:t>
            </w:r>
          </w:p>
        </w:tc>
        <w:bookmarkStart w:id="0" w:name="_GoBack"/>
        <w:bookmarkEnd w:id="0"/>
      </w:tr>
      <w:tr w:rsidR="00CF14EB" w:rsidRPr="00B3667E" w:rsidTr="00CF14EB">
        <w:tc>
          <w:tcPr>
            <w:cnfStyle w:val="001000000000"/>
            <w:tcW w:w="949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rPr>
                <w:rFonts w:ascii="Times New Roman" w:hAnsi="Times New Roman" w:cs="Times New Roman"/>
                <w:bCs w:val="0"/>
                <w:color w:val="000000"/>
                <w:lang w:val="en-GB"/>
              </w:rPr>
            </w:pPr>
            <w:proofErr w:type="spellStart"/>
            <w:r w:rsidRPr="00B3667E">
              <w:rPr>
                <w:rFonts w:ascii="Times New Roman" w:hAnsi="Times New Roman" w:cs="Times New Roman"/>
                <w:bCs w:val="0"/>
                <w:color w:val="000000"/>
                <w:lang w:val="en-GB"/>
              </w:rPr>
              <w:t>Malaria</w:t>
            </w:r>
            <w:r w:rsidRPr="00B3667E">
              <w:rPr>
                <w:rFonts w:ascii="Times New Roman" w:hAnsi="Times New Roman" w:cs="Times New Roman"/>
                <w:bCs w:val="0"/>
                <w:color w:val="00000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721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8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8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96" w:type="pct"/>
            <w:vAlign w:val="center"/>
          </w:tcPr>
          <w:p w:rsidR="00CF14EB" w:rsidRPr="00B3667E" w:rsidRDefault="00CF14EB" w:rsidP="00CF14EB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A3441D" w:rsidRPr="00B3667E" w:rsidTr="00CF14EB">
        <w:trPr>
          <w:cnfStyle w:val="000000100000"/>
        </w:trPr>
        <w:tc>
          <w:tcPr>
            <w:cnfStyle w:val="001000000000"/>
            <w:tcW w:w="94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Group 1 – No infection</w:t>
            </w:r>
          </w:p>
        </w:tc>
        <w:tc>
          <w:tcPr>
            <w:tcW w:w="721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31.6 </w:t>
            </w:r>
            <w:r w:rsidRPr="00B3667E">
              <w:rPr>
                <w:rFonts w:ascii="Times New Roman" w:hAnsi="Times New Roman" w:cs="Times New Roman"/>
                <w:color w:val="000000"/>
              </w:rPr>
              <w:t>(61/193)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55.9 </w:t>
            </w:r>
            <w:r w:rsidRPr="00B3667E">
              <w:rPr>
                <w:rFonts w:ascii="Times New Roman" w:hAnsi="Times New Roman" w:cs="Times New Roman"/>
                <w:color w:val="000000"/>
              </w:rPr>
              <w:t>(109/195)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11.6 (11.4-11.8)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10.9 (10.8-11.1)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3030 (2972-3088)</w:t>
            </w:r>
          </w:p>
        </w:tc>
        <w:tc>
          <w:tcPr>
            <w:tcW w:w="496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6.9 </w:t>
            </w:r>
            <w:r w:rsidRPr="00B3667E">
              <w:rPr>
                <w:rFonts w:ascii="Times New Roman" w:hAnsi="Times New Roman" w:cs="Times New Roman"/>
                <w:color w:val="000000"/>
              </w:rPr>
              <w:t>(10/145)</w:t>
            </w:r>
          </w:p>
        </w:tc>
      </w:tr>
      <w:tr w:rsidR="00A3441D" w:rsidRPr="00B3667E" w:rsidTr="00CF14EB">
        <w:tc>
          <w:tcPr>
            <w:cnfStyle w:val="001000000000"/>
            <w:tcW w:w="94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Group 2 – qPCR infection</w:t>
            </w:r>
          </w:p>
        </w:tc>
        <w:tc>
          <w:tcPr>
            <w:tcW w:w="721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50.0 </w:t>
            </w:r>
            <w:r w:rsidRPr="00B3667E">
              <w:rPr>
                <w:rFonts w:ascii="Times New Roman" w:hAnsi="Times New Roman" w:cs="Times New Roman"/>
                <w:color w:val="000000"/>
              </w:rPr>
              <w:t>(23/46)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46.1 </w:t>
            </w:r>
            <w:r w:rsidRPr="00B3667E">
              <w:rPr>
                <w:rFonts w:ascii="Times New Roman" w:hAnsi="Times New Roman" w:cs="Times New Roman"/>
                <w:color w:val="000000"/>
              </w:rPr>
              <w:t>(6/13)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11.2 (10.9-11.6)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11.1 (10.7-11.5)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3050 (2702-3399)</w:t>
            </w:r>
          </w:p>
        </w:tc>
        <w:tc>
          <w:tcPr>
            <w:tcW w:w="496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0.0 </w:t>
            </w:r>
            <w:r w:rsidRPr="00B3667E">
              <w:rPr>
                <w:rFonts w:ascii="Times New Roman" w:hAnsi="Times New Roman" w:cs="Times New Roman"/>
                <w:color w:val="000000"/>
              </w:rPr>
              <w:t>(0/5)</w:t>
            </w:r>
          </w:p>
        </w:tc>
      </w:tr>
      <w:tr w:rsidR="00A3441D" w:rsidRPr="00B3667E" w:rsidTr="00CF14EB">
        <w:trPr>
          <w:cnfStyle w:val="000000100000"/>
        </w:trPr>
        <w:tc>
          <w:tcPr>
            <w:cnfStyle w:val="001000000000"/>
            <w:tcW w:w="94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 xml:space="preserve">Group 3 – </w:t>
            </w:r>
            <w:proofErr w:type="spellStart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uRDT</w:t>
            </w:r>
            <w:proofErr w:type="spellEnd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 xml:space="preserve"> infection</w:t>
            </w:r>
          </w:p>
        </w:tc>
        <w:tc>
          <w:tcPr>
            <w:tcW w:w="721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55.2 </w:t>
            </w:r>
            <w:r w:rsidRPr="00B3667E">
              <w:rPr>
                <w:rFonts w:ascii="Times New Roman" w:hAnsi="Times New Roman" w:cs="Times New Roman"/>
                <w:color w:val="000000"/>
              </w:rPr>
              <w:t>(16/29)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85.7 </w:t>
            </w:r>
            <w:r w:rsidRPr="00B3667E">
              <w:rPr>
                <w:rFonts w:ascii="Times New Roman" w:hAnsi="Times New Roman" w:cs="Times New Roman"/>
                <w:color w:val="000000"/>
              </w:rPr>
              <w:t>(6/7)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10.9 (10.5-11.4)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10.4 (90.8-11.0)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2835 (2148-3523)</w:t>
            </w:r>
          </w:p>
        </w:tc>
        <w:tc>
          <w:tcPr>
            <w:tcW w:w="496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25.0 </w:t>
            </w:r>
            <w:r w:rsidRPr="00B3667E">
              <w:rPr>
                <w:rFonts w:ascii="Times New Roman" w:hAnsi="Times New Roman" w:cs="Times New Roman"/>
                <w:color w:val="000000"/>
              </w:rPr>
              <w:t>(1/4)</w:t>
            </w:r>
          </w:p>
        </w:tc>
      </w:tr>
      <w:tr w:rsidR="00A3441D" w:rsidRPr="00B3667E" w:rsidTr="00CF14EB">
        <w:tc>
          <w:tcPr>
            <w:cnfStyle w:val="001000000000"/>
            <w:tcW w:w="94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 xml:space="preserve">Group 4 – </w:t>
            </w:r>
            <w:proofErr w:type="spellStart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cRDT</w:t>
            </w:r>
            <w:proofErr w:type="spellEnd"/>
            <w:r w:rsidRPr="00B3667E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 xml:space="preserve"> infection</w:t>
            </w:r>
          </w:p>
        </w:tc>
        <w:tc>
          <w:tcPr>
            <w:tcW w:w="721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44.0 </w:t>
            </w:r>
            <w:r w:rsidRPr="00B3667E">
              <w:rPr>
                <w:rFonts w:ascii="Times New Roman" w:hAnsi="Times New Roman" w:cs="Times New Roman"/>
                <w:color w:val="000000"/>
              </w:rPr>
              <w:t>(22/50)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76.9 </w:t>
            </w:r>
            <w:r w:rsidRPr="00B3667E">
              <w:rPr>
                <w:rFonts w:ascii="Times New Roman" w:hAnsi="Times New Roman" w:cs="Times New Roman"/>
                <w:color w:val="000000"/>
              </w:rPr>
              <w:t>(20/26)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11.1 (10.8-11.4)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10.5 (10.2-10.8)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3027 (2766-3288)</w:t>
            </w:r>
          </w:p>
        </w:tc>
        <w:tc>
          <w:tcPr>
            <w:tcW w:w="496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>14.3</w:t>
            </w:r>
            <w:r w:rsidRPr="00B3667E">
              <w:rPr>
                <w:rFonts w:ascii="Times New Roman" w:hAnsi="Times New Roman" w:cs="Times New Roman"/>
                <w:color w:val="000000"/>
              </w:rPr>
              <w:t xml:space="preserve"> (3/21)</w:t>
            </w:r>
          </w:p>
        </w:tc>
      </w:tr>
      <w:tr w:rsidR="00A3441D" w:rsidRPr="00B3667E" w:rsidTr="00CF14EB">
        <w:trPr>
          <w:cnfStyle w:val="000000100000"/>
        </w:trPr>
        <w:tc>
          <w:tcPr>
            <w:cnfStyle w:val="001000000000"/>
            <w:tcW w:w="94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rPr>
                <w:rFonts w:ascii="Times New Roman" w:hAnsi="Times New Roman" w:cs="Times New Roman"/>
                <w:bCs w:val="0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bCs w:val="0"/>
                <w:color w:val="000000"/>
                <w:lang w:val="en-GB"/>
              </w:rPr>
              <w:t>Overall</w:t>
            </w:r>
          </w:p>
        </w:tc>
        <w:tc>
          <w:tcPr>
            <w:tcW w:w="721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38.4 </w:t>
            </w:r>
            <w:r w:rsidRPr="00B3667E">
              <w:rPr>
                <w:rFonts w:ascii="Times New Roman" w:hAnsi="Times New Roman" w:cs="Times New Roman"/>
                <w:color w:val="000000"/>
              </w:rPr>
              <w:t>(122/318)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58.5 </w:t>
            </w:r>
            <w:r w:rsidRPr="00B3667E">
              <w:rPr>
                <w:rFonts w:ascii="Times New Roman" w:hAnsi="Times New Roman" w:cs="Times New Roman"/>
                <w:color w:val="000000"/>
              </w:rPr>
              <w:t>(141/241)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11.4 (11.3-11.5)</w:t>
            </w:r>
          </w:p>
        </w:tc>
        <w:tc>
          <w:tcPr>
            <w:tcW w:w="709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</w:rPr>
              <w:t>11.8 (9.3-14.2)</w:t>
            </w:r>
          </w:p>
        </w:tc>
        <w:tc>
          <w:tcPr>
            <w:tcW w:w="708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3667E">
              <w:rPr>
                <w:rFonts w:ascii="Times New Roman" w:hAnsi="Times New Roman" w:cs="Times New Roman"/>
                <w:color w:val="000000"/>
                <w:lang w:val="en-GB"/>
              </w:rPr>
              <w:t>3026 (2968-3083)</w:t>
            </w:r>
          </w:p>
        </w:tc>
        <w:tc>
          <w:tcPr>
            <w:tcW w:w="496" w:type="pct"/>
            <w:vAlign w:val="center"/>
          </w:tcPr>
          <w:p w:rsidR="00A3441D" w:rsidRPr="00B3667E" w:rsidRDefault="00A3441D" w:rsidP="00A3441D">
            <w:pPr>
              <w:spacing w:after="0"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B3667E">
              <w:rPr>
                <w:rFonts w:ascii="Times New Roman" w:hAnsi="Times New Roman" w:cs="Times New Roman"/>
                <w:bCs/>
                <w:color w:val="000000"/>
              </w:rPr>
              <w:t xml:space="preserve">8.0 </w:t>
            </w:r>
            <w:r w:rsidRPr="00B3667E">
              <w:rPr>
                <w:rFonts w:ascii="Times New Roman" w:hAnsi="Times New Roman" w:cs="Times New Roman"/>
                <w:color w:val="000000"/>
              </w:rPr>
              <w:t>(14/175)</w:t>
            </w:r>
          </w:p>
        </w:tc>
      </w:tr>
    </w:tbl>
    <w:p w:rsidR="00292C43" w:rsidRPr="00B3667E" w:rsidRDefault="00356B3B" w:rsidP="00292C43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proofErr w:type="gramStart"/>
      <w:r w:rsidRPr="00B3667E">
        <w:rPr>
          <w:rFonts w:ascii="Times New Roman" w:hAnsi="Times New Roman" w:cs="Times New Roman"/>
          <w:b/>
          <w:bCs/>
          <w:color w:val="000000"/>
          <w:vertAlign w:val="superscript"/>
          <w:lang w:val="en-GB"/>
        </w:rPr>
        <w:t>a</w:t>
      </w:r>
      <w:proofErr w:type="gramEnd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 Maternal anaemia: </w:t>
      </w:r>
      <w:proofErr w:type="spellStart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>Hb</w:t>
      </w:r>
      <w:proofErr w:type="spellEnd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 level &lt; </w:t>
      </w:r>
      <w:proofErr w:type="spellStart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>11g</w:t>
      </w:r>
      <w:proofErr w:type="spellEnd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>/</w:t>
      </w:r>
      <w:proofErr w:type="spellStart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>dL</w:t>
      </w:r>
      <w:proofErr w:type="spellEnd"/>
      <w:r w:rsidR="00BE72DF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 </w:t>
      </w:r>
      <w:r w:rsidR="00E336F3" w:rsidRPr="00B3667E">
        <w:rPr>
          <w:rFonts w:ascii="Times New Roman" w:hAnsi="Times New Roman" w:cs="Times New Roman"/>
          <w:bCs/>
          <w:i/>
          <w:color w:val="000000"/>
          <w:lang w:val="en-GB"/>
        </w:rPr>
        <w:t>(</w:t>
      </w:r>
      <w:r w:rsidR="00BE72DF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as recommended by the WHO for pregnant women) </w:t>
      </w:r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; </w:t>
      </w:r>
      <w:proofErr w:type="spellStart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>Hb</w:t>
      </w:r>
      <w:proofErr w:type="spellEnd"/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 level </w:t>
      </w:r>
      <w:r w:rsidR="00BE72DF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determined </w:t>
      </w:r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>in the 1</w:t>
      </w:r>
      <w:r w:rsidR="00292C43" w:rsidRPr="00B3667E">
        <w:rPr>
          <w:rFonts w:ascii="Times New Roman" w:hAnsi="Times New Roman" w:cs="Times New Roman"/>
          <w:bCs/>
          <w:i/>
          <w:color w:val="000000"/>
          <w:vertAlign w:val="superscript"/>
          <w:lang w:val="en-GB"/>
        </w:rPr>
        <w:t>st</w:t>
      </w:r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 or 3</w:t>
      </w:r>
      <w:r w:rsidR="00292C43" w:rsidRPr="00B3667E">
        <w:rPr>
          <w:rFonts w:ascii="Times New Roman" w:hAnsi="Times New Roman" w:cs="Times New Roman"/>
          <w:bCs/>
          <w:i/>
          <w:color w:val="000000"/>
          <w:vertAlign w:val="superscript"/>
          <w:lang w:val="en-GB"/>
        </w:rPr>
        <w:t>rd</w:t>
      </w:r>
      <w:r w:rsidR="00292C43" w:rsidRPr="00B3667E">
        <w:rPr>
          <w:rFonts w:ascii="Times New Roman" w:hAnsi="Times New Roman" w:cs="Times New Roman"/>
          <w:bCs/>
          <w:i/>
          <w:color w:val="000000"/>
          <w:lang w:val="en-GB"/>
        </w:rPr>
        <w:t xml:space="preserve"> trimester of pregnancy.</w:t>
      </w:r>
    </w:p>
    <w:p w:rsidR="00292C43" w:rsidRPr="00B3667E" w:rsidRDefault="00356B3B" w:rsidP="00292C43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proofErr w:type="gramStart"/>
      <w:r w:rsidRPr="00B3667E">
        <w:rPr>
          <w:rFonts w:ascii="Times New Roman" w:hAnsi="Times New Roman" w:cs="Times New Roman"/>
          <w:b/>
          <w:bCs/>
          <w:color w:val="000000"/>
          <w:vertAlign w:val="superscript"/>
          <w:lang w:val="en-GB"/>
        </w:rPr>
        <w:t>b</w:t>
      </w:r>
      <w:proofErr w:type="gramEnd"/>
      <w:r w:rsidR="00292C43" w:rsidRPr="00B3667E">
        <w:rPr>
          <w:rFonts w:ascii="Times New Roman" w:hAnsi="Times New Roman" w:cs="Times New Roman"/>
          <w:i/>
          <w:lang w:val="en-GB"/>
        </w:rPr>
        <w:t xml:space="preserve"> LBW: low birthweight (&lt;2,500 grams); twins and stillbirths excluded.</w:t>
      </w:r>
    </w:p>
    <w:p w:rsidR="00356B3B" w:rsidRPr="00556C1E" w:rsidRDefault="00356B3B" w:rsidP="00356B3B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B3667E">
        <w:rPr>
          <w:rFonts w:ascii="Times New Roman" w:hAnsi="Times New Roman" w:cs="Times New Roman"/>
          <w:bCs/>
          <w:color w:val="000000"/>
          <w:vertAlign w:val="superscript"/>
          <w:lang w:val="en-GB"/>
        </w:rPr>
        <w:t>c</w:t>
      </w:r>
      <w:r w:rsidRPr="00B3667E">
        <w:rPr>
          <w:rFonts w:ascii="Times New Roman" w:hAnsi="Times New Roman" w:cs="Times New Roman"/>
          <w:i/>
          <w:lang w:val="en-GB"/>
        </w:rPr>
        <w:t xml:space="preserve"> Malaria status at the time of 1) </w:t>
      </w:r>
      <w:proofErr w:type="spellStart"/>
      <w:r w:rsidRPr="00B3667E">
        <w:rPr>
          <w:rFonts w:ascii="Times New Roman" w:hAnsi="Times New Roman" w:cs="Times New Roman"/>
          <w:i/>
          <w:lang w:val="en-GB"/>
        </w:rPr>
        <w:t>Hb</w:t>
      </w:r>
      <w:proofErr w:type="spellEnd"/>
      <w:r w:rsidRPr="00B3667E">
        <w:rPr>
          <w:rFonts w:ascii="Times New Roman" w:hAnsi="Times New Roman" w:cs="Times New Roman"/>
          <w:i/>
          <w:lang w:val="en-GB"/>
        </w:rPr>
        <w:t xml:space="preserve"> level (maternal anaemia) determination in the 1</w:t>
      </w:r>
      <w:r w:rsidRPr="00B3667E">
        <w:rPr>
          <w:rFonts w:ascii="Times New Roman" w:hAnsi="Times New Roman" w:cs="Times New Roman"/>
          <w:i/>
          <w:vertAlign w:val="superscript"/>
          <w:lang w:val="en-GB"/>
        </w:rPr>
        <w:t>st</w:t>
      </w:r>
      <w:r w:rsidRPr="00B3667E">
        <w:rPr>
          <w:rFonts w:ascii="Times New Roman" w:hAnsi="Times New Roman" w:cs="Times New Roman"/>
          <w:i/>
          <w:lang w:val="en-GB"/>
        </w:rPr>
        <w:t xml:space="preserve"> and 3</w:t>
      </w:r>
      <w:r w:rsidRPr="00B3667E">
        <w:rPr>
          <w:rFonts w:ascii="Times New Roman" w:hAnsi="Times New Roman" w:cs="Times New Roman"/>
          <w:i/>
          <w:vertAlign w:val="superscript"/>
          <w:lang w:val="en-GB"/>
        </w:rPr>
        <w:t>rd</w:t>
      </w:r>
      <w:r w:rsidRPr="00B3667E">
        <w:rPr>
          <w:rFonts w:ascii="Times New Roman" w:hAnsi="Times New Roman" w:cs="Times New Roman"/>
          <w:i/>
          <w:lang w:val="en-GB"/>
        </w:rPr>
        <w:t xml:space="preserve"> trimesters of pregnancy, and 2) at delivery in peripheral and </w:t>
      </w:r>
      <w:proofErr w:type="gramStart"/>
      <w:r w:rsidRPr="00B3667E">
        <w:rPr>
          <w:rFonts w:ascii="Times New Roman" w:hAnsi="Times New Roman" w:cs="Times New Roman"/>
          <w:i/>
          <w:lang w:val="en-GB"/>
        </w:rPr>
        <w:t>placental</w:t>
      </w:r>
      <w:proofErr w:type="gramEnd"/>
      <w:r w:rsidRPr="00B3667E">
        <w:rPr>
          <w:rFonts w:ascii="Times New Roman" w:hAnsi="Times New Roman" w:cs="Times New Roman"/>
          <w:i/>
          <w:lang w:val="en-GB"/>
        </w:rPr>
        <w:t xml:space="preserve"> blood for birth outcomes (LBW and birthweight); </w:t>
      </w:r>
      <w:r w:rsidRPr="00B3667E">
        <w:rPr>
          <w:rFonts w:ascii="Times New Roman" w:hAnsi="Times New Roman" w:cs="Times New Roman"/>
          <w:i/>
          <w:lang w:val="en-US" w:eastAsia="ja-JP"/>
        </w:rPr>
        <w:t>G</w:t>
      </w:r>
      <w:r w:rsidRPr="00B3667E">
        <w:rPr>
          <w:rFonts w:ascii="Times New Roman" w:eastAsia="Times New Roman" w:hAnsi="Times New Roman" w:cs="Times New Roman"/>
          <w:i/>
          <w:lang w:val="en-US"/>
        </w:rPr>
        <w:t>roups 1 to 4 defined as described in Table 1</w:t>
      </w:r>
      <w:r w:rsidRPr="00B3667E">
        <w:rPr>
          <w:rFonts w:ascii="Times New Roman" w:hAnsi="Times New Roman" w:cs="Times New Roman"/>
          <w:i/>
          <w:lang w:val="en-US" w:eastAsia="ja-JP"/>
        </w:rPr>
        <w:t>.</w:t>
      </w:r>
    </w:p>
    <w:p w:rsidR="00292C43" w:rsidRDefault="00292C43" w:rsidP="00292C43">
      <w:pPr>
        <w:spacing w:after="0" w:line="360" w:lineRule="auto"/>
        <w:jc w:val="both"/>
        <w:rPr>
          <w:rFonts w:ascii="Times New Roman" w:hAnsi="Times New Roman" w:cs="Times New Roman"/>
          <w:i/>
          <w:lang w:val="en-GB"/>
        </w:rPr>
      </w:pPr>
    </w:p>
    <w:p w:rsidR="00617939" w:rsidRPr="00E16E04" w:rsidRDefault="00617939" w:rsidP="00292C43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sectPr w:rsidR="00617939" w:rsidRPr="00E16E04" w:rsidSect="00617939"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imSun"/>
    <w:charset w:val="86"/>
    <w:family w:val="auto"/>
    <w:pitch w:val="default"/>
    <w:sig w:usb0="00000000" w:usb1="00000000" w:usb2="00000000" w:usb3="00000000" w:csb0="0004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2C43"/>
    <w:rsid w:val="00292C43"/>
    <w:rsid w:val="0033552E"/>
    <w:rsid w:val="00356B3B"/>
    <w:rsid w:val="004620BD"/>
    <w:rsid w:val="00617939"/>
    <w:rsid w:val="00A3441D"/>
    <w:rsid w:val="00A70F59"/>
    <w:rsid w:val="00A71D87"/>
    <w:rsid w:val="00B3667E"/>
    <w:rsid w:val="00BE72DF"/>
    <w:rsid w:val="00CF14EB"/>
    <w:rsid w:val="00CF38BF"/>
    <w:rsid w:val="00D52A53"/>
    <w:rsid w:val="00E02672"/>
    <w:rsid w:val="00E16E04"/>
    <w:rsid w:val="00E3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43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292C43"/>
    <w:pPr>
      <w:widowControl w:val="0"/>
      <w:suppressLineNumbers/>
      <w:spacing w:after="0" w:line="240" w:lineRule="auto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table" w:styleId="LightShading">
    <w:name w:val="Light Shading"/>
    <w:basedOn w:val="TableNormal"/>
    <w:uiPriority w:val="60"/>
    <w:rsid w:val="00292C43"/>
    <w:rPr>
      <w:rFonts w:ascii="Calibri" w:eastAsia="Droid Sans Fallback" w:hAnsi="Calibri" w:cs="Calibr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4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EB"/>
    <w:rPr>
      <w:rFonts w:ascii="Times New Roman" w:eastAsia="Droid Sans Fallbac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Briand</dc:creator>
  <cp:keywords/>
  <dc:description/>
  <cp:lastModifiedBy>0004668</cp:lastModifiedBy>
  <cp:revision>13</cp:revision>
  <dcterms:created xsi:type="dcterms:W3CDTF">2019-09-19T09:12:00Z</dcterms:created>
  <dcterms:modified xsi:type="dcterms:W3CDTF">2020-05-19T19:48:00Z</dcterms:modified>
</cp:coreProperties>
</file>