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5" w:rsidRPr="009646F5" w:rsidRDefault="009646F5">
      <w:pPr>
        <w:rPr>
          <w:rFonts w:ascii="Arial" w:hAnsi="Arial" w:cs="Arial"/>
        </w:rPr>
      </w:pPr>
      <w:r w:rsidRPr="009646F5">
        <w:rPr>
          <w:rFonts w:ascii="Arial" w:hAnsi="Arial" w:cs="Arial"/>
        </w:rPr>
        <w:t>SUPPLEMENTAL DATA</w:t>
      </w:r>
    </w:p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Figure 1. </w:t>
      </w:r>
      <w:r w:rsidR="00465598">
        <w:rPr>
          <w:rFonts w:ascii="Arial" w:hAnsi="Arial" w:cs="Arial"/>
          <w:sz w:val="22"/>
          <w:szCs w:val="22"/>
        </w:rPr>
        <w:t xml:space="preserve">Principle Component Analysis (PCA) of gene expression data by </w:t>
      </w:r>
      <w:proofErr w:type="spellStart"/>
      <w:r w:rsidR="00FF028F">
        <w:rPr>
          <w:rFonts w:ascii="Arial" w:hAnsi="Arial" w:cs="Arial"/>
          <w:sz w:val="22"/>
          <w:szCs w:val="22"/>
        </w:rPr>
        <w:t>xenoestrogen</w:t>
      </w:r>
      <w:proofErr w:type="spellEnd"/>
      <w:r w:rsidR="00FF028F">
        <w:rPr>
          <w:rFonts w:ascii="Arial" w:hAnsi="Arial" w:cs="Arial"/>
          <w:sz w:val="22"/>
          <w:szCs w:val="22"/>
        </w:rPr>
        <w:t xml:space="preserve"> exposure and cell type. Each analysis included the appropriate </w:t>
      </w:r>
      <w:r w:rsidR="00465598">
        <w:rPr>
          <w:rFonts w:ascii="Arial" w:hAnsi="Arial" w:cs="Arial"/>
          <w:sz w:val="22"/>
          <w:szCs w:val="22"/>
        </w:rPr>
        <w:t>vehicle</w:t>
      </w:r>
      <w:r w:rsidR="00FF028F">
        <w:rPr>
          <w:rFonts w:ascii="Arial" w:hAnsi="Arial" w:cs="Arial"/>
          <w:sz w:val="22"/>
          <w:szCs w:val="22"/>
        </w:rPr>
        <w:t xml:space="preserve"> as determined by experimental accession information</w:t>
      </w:r>
      <w:r w:rsidR="00465598">
        <w:rPr>
          <w:rFonts w:ascii="Arial" w:hAnsi="Arial" w:cs="Arial"/>
          <w:sz w:val="22"/>
          <w:szCs w:val="22"/>
        </w:rPr>
        <w:t xml:space="preserve">. </w:t>
      </w: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Supplemental Figure 2.</w:t>
      </w:r>
      <w:r w:rsidRPr="00FF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Transcriptional response to genistein across cell-types.</w:t>
      </w:r>
      <w:r w:rsidRPr="00FF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omparison analysis of the </w:t>
      </w:r>
      <w:r>
        <w:rPr>
          <w:rFonts w:ascii="Arial" w:hAnsi="Arial" w:cs="Arial"/>
          <w:sz w:val="22"/>
          <w:szCs w:val="22"/>
        </w:rPr>
        <w:t>most significantly regulated</w:t>
      </w:r>
      <w:r>
        <w:rPr>
          <w:rFonts w:ascii="Arial" w:hAnsi="Arial" w:cs="Arial"/>
          <w:sz w:val="22"/>
          <w:szCs w:val="22"/>
        </w:rPr>
        <w:t xml:space="preserve"> Canonical Pathways </w:t>
      </w:r>
      <w:r>
        <w:rPr>
          <w:rFonts w:ascii="Arial" w:hAnsi="Arial" w:cs="Arial"/>
          <w:sz w:val="22"/>
          <w:szCs w:val="22"/>
        </w:rPr>
        <w:t>and Molecular and Cellular Functions ranked</w:t>
      </w:r>
      <w:r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p-value</w:t>
      </w:r>
      <w:r>
        <w:rPr>
          <w:rFonts w:ascii="Arial" w:hAnsi="Arial" w:cs="Arial"/>
          <w:sz w:val="22"/>
          <w:szCs w:val="22"/>
        </w:rPr>
        <w:t>.</w:t>
      </w: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FF028F" w:rsidRDefault="00FF028F" w:rsidP="00FF028F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Supplemental Figure 3.</w:t>
      </w:r>
      <w:r w:rsidRPr="00FF0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Comparison of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transcriptional response</w:t>
      </w:r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xenoestrogens</w:t>
      </w:r>
      <w:proofErr w:type="spellEnd"/>
      <w:r>
        <w:rPr>
          <w:rFonts w:ascii="Arial" w:hAnsi="Arial" w:cs="Arial"/>
          <w:sz w:val="22"/>
          <w:szCs w:val="22"/>
        </w:rPr>
        <w:t xml:space="preserve"> in HepG2 cells. </w:t>
      </w:r>
      <w:r>
        <w:rPr>
          <w:rFonts w:ascii="Arial" w:hAnsi="Arial" w:cs="Arial"/>
          <w:sz w:val="22"/>
          <w:szCs w:val="22"/>
        </w:rPr>
        <w:t>Comparison analysis of the most significantly regulated Canonical Pathways and Molecular and Cellular Functions ranked by p-value.</w:t>
      </w: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Figure 4. </w:t>
      </w:r>
      <w:r>
        <w:rPr>
          <w:rFonts w:ascii="Arial" w:hAnsi="Arial" w:cs="Arial"/>
          <w:sz w:val="22"/>
          <w:szCs w:val="22"/>
        </w:rPr>
        <w:t xml:space="preserve">Comparison of </w:t>
      </w: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transcriptional response </w:t>
      </w:r>
      <w:r>
        <w:rPr>
          <w:rFonts w:ascii="Arial" w:hAnsi="Arial" w:cs="Arial"/>
          <w:sz w:val="22"/>
          <w:szCs w:val="22"/>
        </w:rPr>
        <w:t xml:space="preserve">to </w:t>
      </w:r>
      <w:proofErr w:type="spellStart"/>
      <w:r>
        <w:rPr>
          <w:rFonts w:ascii="Arial" w:hAnsi="Arial" w:cs="Arial"/>
          <w:sz w:val="22"/>
          <w:szCs w:val="22"/>
        </w:rPr>
        <w:t>xenoestrogens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Hep</w:t>
      </w:r>
      <w:r>
        <w:rPr>
          <w:rFonts w:ascii="Arial" w:hAnsi="Arial" w:cs="Arial"/>
          <w:sz w:val="22"/>
          <w:szCs w:val="22"/>
        </w:rPr>
        <w:t>aRG</w:t>
      </w:r>
      <w:proofErr w:type="spellEnd"/>
      <w:r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ells. Comparison analysis of the most significantly regulated Canonical Pathways and Molecular and Cellular Functions ranked by p-value.</w:t>
      </w: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FF028F" w:rsidRDefault="00FF028F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Figure 5. Comparing the </w:t>
      </w:r>
      <w:r>
        <w:rPr>
          <w:rFonts w:ascii="Arial" w:hAnsi="Arial" w:cs="Arial"/>
          <w:sz w:val="22"/>
          <w:szCs w:val="22"/>
        </w:rPr>
        <w:t>transcriptional response of genetically female (</w:t>
      </w:r>
      <w:proofErr w:type="spellStart"/>
      <w:r>
        <w:rPr>
          <w:rFonts w:ascii="Arial" w:hAnsi="Arial" w:cs="Arial"/>
          <w:sz w:val="22"/>
          <w:szCs w:val="22"/>
        </w:rPr>
        <w:t>HepaRG</w:t>
      </w:r>
      <w:proofErr w:type="spellEnd"/>
      <w:r>
        <w:rPr>
          <w:rFonts w:ascii="Arial" w:hAnsi="Arial" w:cs="Arial"/>
          <w:sz w:val="22"/>
          <w:szCs w:val="22"/>
        </w:rPr>
        <w:t xml:space="preserve">) and male (HepG2) hepatocytes to </w:t>
      </w:r>
      <w:r>
        <w:rPr>
          <w:rFonts w:ascii="Arial" w:hAnsi="Arial" w:cs="Arial"/>
          <w:sz w:val="22"/>
          <w:szCs w:val="22"/>
        </w:rPr>
        <w:t xml:space="preserve">genistein. </w:t>
      </w:r>
      <w:r>
        <w:rPr>
          <w:rFonts w:ascii="Arial" w:hAnsi="Arial" w:cs="Arial"/>
          <w:sz w:val="22"/>
          <w:szCs w:val="22"/>
        </w:rPr>
        <w:t xml:space="preserve">Comparison analysis of the most significantly regulated Canonical Pathways and Molecular and Cellular Functions ranked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by p-value.</w:t>
      </w:r>
    </w:p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 w:rsidRPr="00E13D36">
        <w:rPr>
          <w:rFonts w:ascii="Arial" w:hAnsi="Arial" w:cs="Arial"/>
          <w:sz w:val="22"/>
          <w:szCs w:val="22"/>
        </w:rPr>
        <w:t xml:space="preserve">Supplemental Table 1. </w:t>
      </w:r>
      <w:r>
        <w:rPr>
          <w:rFonts w:ascii="Arial" w:hAnsi="Arial" w:cs="Arial"/>
          <w:sz w:val="22"/>
          <w:szCs w:val="22"/>
        </w:rPr>
        <w:t xml:space="preserve">Identified Gene Expression Arrays by </w:t>
      </w:r>
      <w:proofErr w:type="spellStart"/>
      <w:r>
        <w:rPr>
          <w:rFonts w:ascii="Arial" w:hAnsi="Arial" w:cs="Arial"/>
          <w:sz w:val="22"/>
          <w:szCs w:val="22"/>
        </w:rPr>
        <w:t>Xenoestrogen</w:t>
      </w:r>
      <w:proofErr w:type="spellEnd"/>
      <w:r>
        <w:rPr>
          <w:rFonts w:ascii="Arial" w:hAnsi="Arial" w:cs="Arial"/>
          <w:sz w:val="22"/>
          <w:szCs w:val="22"/>
        </w:rPr>
        <w:t xml:space="preserve"> Classified by Cell Type, Chemical Treatment, Duration of Exposure, Chemical Concentration, Number of Experimental Replicates, and Genetic Sex of Cell Line.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838"/>
        <w:gridCol w:w="1402"/>
        <w:gridCol w:w="845"/>
        <w:gridCol w:w="926"/>
        <w:gridCol w:w="1028"/>
        <w:gridCol w:w="855"/>
        <w:gridCol w:w="1210"/>
      </w:tblGrid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Chemical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Cell Line Type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Tissue of origin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Time Course (h)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Replicate #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Accession # (*used in analysis)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E-MTAB-3509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Atrazine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SH-SY5Y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463.5uM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GSE24499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Adipocytes of lean children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Inguinal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GSE58516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380F">
              <w:rPr>
                <w:rFonts w:ascii="Arial" w:hAnsi="Arial" w:cs="Arial"/>
                <w:sz w:val="20"/>
                <w:szCs w:val="20"/>
              </w:rPr>
              <w:t>ER:PRL</w:t>
            </w:r>
            <w:proofErr w:type="gramEnd"/>
            <w:r w:rsidRPr="0074380F">
              <w:rPr>
                <w:rFonts w:ascii="Arial" w:hAnsi="Arial" w:cs="Arial"/>
                <w:sz w:val="20"/>
                <w:szCs w:val="20"/>
              </w:rPr>
              <w:t>-HeLa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Cervix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GSE22941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Fibroblast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GSE35034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HEEC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Endometrial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GSE10802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HEK293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E-MTAB-1959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HOS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GSE50527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HOS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GSE50527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Endometrial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GSE93437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GSE17624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MCF-10F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GSE26884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MCF-10F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GSE32158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MCF-10F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GSE26884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MCF-10F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GSE32158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1.56uM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1.95nM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1.95pM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GSE33481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12.5uM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125pM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15.6nM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GSE45721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3.125uM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3.12uM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3.91nM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3.91pM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31.25nM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31.25pM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398.6nM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GSE86472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GSE59345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6.25uM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62.5nM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62.5pM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7.81nM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7.81pM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GSE87701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GSE5200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Preadipocytes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Inguinal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GSE56085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Preadipocytes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Inguinal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GSE56085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 epithelial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GSE62953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 epithelial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GSE62953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 epithelial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GSE62953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SKOV3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Ovarian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E-MTAB-6295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SKOV3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Ovarian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E-MTAB-6295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GSE93441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subcuteaneous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adipocyte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GSE98682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subcuteaneous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adipocyte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GSE98682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BPAF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HOS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GSE50527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BPAF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HOS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GSE50527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BPAF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BPAF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GSE87701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HOS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GSE50527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HOS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GSE50527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subcuteaneous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adipocyte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GSE98680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subcuteaneous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adipocyte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Subcuteanous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fat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GSE98680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GSE43692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GSE43692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GSE43692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GSE43692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Daidzein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GSE5200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HEEC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GSE9252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GSE33481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DDT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GSE48990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GSE48990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10mM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GSE83321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GSE43653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Jurkat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GSE46909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DEHP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KhES-3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Embryonic 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GSE60154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DES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TK6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Spleen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GSE107162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GSE84711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MTAB-798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EE2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MTAB-798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A673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Muscle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AGS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Stomach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Embryonic 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GSE58591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Embryonic 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GSE58591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Embryonic 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GSE58591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Embryonic 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GSE58591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HT29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SH-SY5Y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Estrone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VCAP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GSE119291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ARCaP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>-E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GSE35242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ARCaP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>-M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GSE35242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CFBE41o-ΔF508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Bronchus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GSE67698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DU145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GSE46757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FTC-238/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hrTPO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>/RSK008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Thyroid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GSE30961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HaCaT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GSE60971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HaCaT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GSE60971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HaCaT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GSE60971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HaCaT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GSE60971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HaCaT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GSE60971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HaCaT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GSE60971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HDFa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Lot Specific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GSE34074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GSE40069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iPS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-derived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cadiomyocytes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GSE89972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GSE93440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GSE71717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Prostrate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GSE45721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8760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GSE59345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 (control adenovirus)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GSE56066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 (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Erb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>-expressing adenovirus)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GSE56066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GSE5200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GSE5200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E-MEXP-2034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GSE47657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PCa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GSE128339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GSE93444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TK6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Spleen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GSE107162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Genistein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UtLM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GSE19477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E-TOXM-31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1.95nM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12.5uM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15.6nM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3.125uM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6.25uM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62.5nM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NP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GSE5200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(HPR 116)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GSE109565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(HPR 116)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GSE109565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(HPR 116)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GSE109565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hMADs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GSE32026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126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138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2.41nM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GSE22632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HK2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HK2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HK2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hMADs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GSE32026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GSE19078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GSE24891</w:t>
            </w:r>
          </w:p>
        </w:tc>
      </w:tr>
      <w:tr w:rsidR="009C68E0" w:rsidRPr="0074380F" w:rsidTr="009C68E0">
        <w:trPr>
          <w:trHeight w:val="295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GSE19078</w:t>
            </w:r>
          </w:p>
        </w:tc>
      </w:tr>
      <w:tr w:rsidR="009C68E0" w:rsidRPr="0074380F" w:rsidTr="009C68E0">
        <w:trPr>
          <w:trHeight w:val="295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GSE24891</w:t>
            </w:r>
          </w:p>
        </w:tc>
      </w:tr>
      <w:tr w:rsidR="009C68E0" w:rsidRPr="0074380F" w:rsidTr="009C68E0">
        <w:trPr>
          <w:trHeight w:val="295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153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4.63pM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GSE22667</w:t>
            </w:r>
          </w:p>
        </w:tc>
      </w:tr>
      <w:tr w:rsidR="009C68E0" w:rsidRPr="0074380F" w:rsidTr="009C68E0">
        <w:trPr>
          <w:trHeight w:val="295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77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295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77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293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77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GSE6878</w:t>
            </w:r>
          </w:p>
        </w:tc>
      </w:tr>
      <w:tr w:rsidR="009C68E0" w:rsidRPr="0074380F" w:rsidTr="009C68E0">
        <w:trPr>
          <w:trHeight w:val="295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77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HK2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GSE23493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77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HK2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GSE23493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PCB 77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HK2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GSE23493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501Mel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GSE104869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A549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GSE109576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A549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GSE122733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 cell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GSE80953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 cell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GSE80953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 cell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GSE80953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BEAS-2B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Bronchus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GSE83886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BEAS-2B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Bronchus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GSE83886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CD34+ hemopoietic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GSE24193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Fibroblast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GSE35034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GSE46874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GSE122518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GSE69850*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E-MEXP-2574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E-MEXP-2817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E-MEXP-2574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E-MEXP-2817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E-MEXP-2574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E-MEXP-2817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GSE22909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GSE69850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HL-60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Blood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GSE16160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hMAD</w:t>
            </w:r>
            <w:proofErr w:type="spellEnd"/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GSE32026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Decidual stromal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Decidua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GSE114552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Decidual stromal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Decidua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GSE114552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GSE98514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GSE76608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GSE69845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Mel1 ES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Stem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GSE122002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Mesenchymal Stromal cells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GSE95072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NHEK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Neonatal foreskin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GSE36796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GSE19078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PBMC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Lymphocyte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GSE19078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PMBC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Blood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GSE24891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PMBC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Blood cell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GSE24891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10fM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316.2nM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GSE14553</w:t>
            </w:r>
          </w:p>
        </w:tc>
      </w:tr>
      <w:tr w:rsidR="009C68E0" w:rsidRPr="0074380F" w:rsidTr="009C68E0">
        <w:trPr>
          <w:trHeight w:val="310"/>
        </w:trPr>
        <w:tc>
          <w:tcPr>
            <w:tcW w:w="13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TCDD</w:t>
            </w:r>
          </w:p>
        </w:tc>
        <w:tc>
          <w:tcPr>
            <w:tcW w:w="1630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hepatocyte</w:t>
            </w:r>
          </w:p>
        </w:tc>
        <w:tc>
          <w:tcPr>
            <w:tcW w:w="1428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85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3pM</w:t>
            </w:r>
          </w:p>
        </w:tc>
        <w:tc>
          <w:tcPr>
            <w:tcW w:w="1045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9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32" w:type="dxa"/>
            <w:noWrap/>
            <w:hideMark/>
          </w:tcPr>
          <w:p w:rsidR="0074380F" w:rsidRPr="0074380F" w:rsidRDefault="0074380F" w:rsidP="0074380F">
            <w:pPr>
              <w:pStyle w:val="NormalWeb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GSE34249</w:t>
            </w:r>
          </w:p>
        </w:tc>
      </w:tr>
    </w:tbl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Table 2. </w:t>
      </w:r>
      <w:r w:rsidR="008E1C0F">
        <w:rPr>
          <w:rFonts w:ascii="Arial" w:hAnsi="Arial" w:cs="Arial"/>
          <w:sz w:val="22"/>
          <w:szCs w:val="22"/>
        </w:rPr>
        <w:t xml:space="preserve">List of thirty searched </w:t>
      </w:r>
      <w:proofErr w:type="spellStart"/>
      <w:r w:rsidR="008E1C0F">
        <w:rPr>
          <w:rFonts w:ascii="Arial" w:hAnsi="Arial" w:cs="Arial"/>
          <w:sz w:val="22"/>
          <w:szCs w:val="22"/>
        </w:rPr>
        <w:t>xenoestrogens</w:t>
      </w:r>
      <w:proofErr w:type="spellEnd"/>
      <w:r w:rsidR="008E1C0F">
        <w:rPr>
          <w:rFonts w:ascii="Arial" w:hAnsi="Arial" w:cs="Arial"/>
          <w:sz w:val="22"/>
          <w:szCs w:val="22"/>
        </w:rPr>
        <w:t xml:space="preserve">. </w:t>
      </w:r>
    </w:p>
    <w:tbl>
      <w:tblPr>
        <w:tblW w:w="5516" w:type="dxa"/>
        <w:tblLook w:val="04A0" w:firstRow="1" w:lastRow="0" w:firstColumn="1" w:lastColumn="0" w:noHBand="0" w:noVBand="1"/>
      </w:tblPr>
      <w:tblGrid>
        <w:gridCol w:w="4225"/>
        <w:gridCol w:w="1134"/>
        <w:gridCol w:w="1048"/>
      </w:tblGrid>
      <w:tr w:rsidR="008E1C0F" w:rsidRPr="008E1C0F" w:rsidTr="008E1C0F">
        <w:trPr>
          <w:trHeight w:val="29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b/>
                <w:color w:val="000000"/>
              </w:rPr>
              <w:t>Xenoestrogen</w:t>
            </w:r>
            <w:proofErr w:type="spellEnd"/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E1C0F">
              <w:rPr>
                <w:rFonts w:ascii="Arial" w:eastAsia="Times New Roman" w:hAnsi="Arial" w:cs="Arial"/>
                <w:b/>
                <w:color w:val="000000"/>
              </w:rPr>
              <w:t>Datasets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E1C0F">
              <w:rPr>
                <w:rFonts w:ascii="Arial" w:eastAsia="Times New Roman" w:hAnsi="Arial" w:cs="Arial"/>
                <w:b/>
                <w:color w:val="000000"/>
              </w:rPr>
              <w:t>Number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Genistein (GEN)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97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Bisphenol A (BPA)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94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Tetrachlorodibenzo</w:t>
            </w:r>
            <w:proofErr w:type="spellEnd"/>
            <w:r w:rsidRPr="008E1C0F">
              <w:rPr>
                <w:rFonts w:ascii="Arial" w:eastAsia="Times New Roman" w:hAnsi="Arial" w:cs="Arial"/>
                <w:color w:val="000000"/>
              </w:rPr>
              <w:t>-p-dioxin (TCDD)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Polychlorinated bisphenol (PCB)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17alpha-Ethinylestradiol (EE2)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4-Nonylphenol (NP)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Di-2-ethylhexyl phthalate (DEHP)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Estrone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Daidzein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Diethylstilbestrol (DES)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Dichlorodiphenyltrichloroethane (DDT)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Methoxychlor</w:t>
            </w:r>
            <w:proofErr w:type="spellEnd"/>
            <w:r w:rsidRPr="008E1C0F">
              <w:rPr>
                <w:rFonts w:ascii="Arial" w:eastAsia="Times New Roman" w:hAnsi="Arial" w:cs="Arial"/>
                <w:color w:val="000000"/>
              </w:rPr>
              <w:t xml:space="preserve"> (MOC)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Atrazine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Bisphenol S (BPS)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Bisphenol AF (BPAF)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Benzophenone-2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Zearalenone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Bisphenol B (BPB)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Testosterone propionate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 xml:space="preserve">No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Triphenylethylene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 xml:space="preserve">No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3-Tetramethylbutyl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4-Cumylphenol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4-Dodecylphenol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5HPP-33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Dodecylphenol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Equilin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Ethylhexylparaben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Meso-hexestrol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Mestranol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8E1C0F" w:rsidRPr="008E1C0F" w:rsidTr="008E1C0F">
        <w:trPr>
          <w:trHeight w:val="290"/>
        </w:trPr>
        <w:tc>
          <w:tcPr>
            <w:tcW w:w="4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1C0F">
              <w:rPr>
                <w:rFonts w:ascii="Arial" w:eastAsia="Times New Roman" w:hAnsi="Arial" w:cs="Arial"/>
                <w:color w:val="000000"/>
              </w:rPr>
              <w:t>Norgestrel</w:t>
            </w:r>
            <w:proofErr w:type="spellEnd"/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0F" w:rsidRPr="008E1C0F" w:rsidRDefault="008E1C0F" w:rsidP="008E1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1C0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:rsidR="0064053A" w:rsidRDefault="0064053A" w:rsidP="0064053A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Supplemental Table 3. </w:t>
      </w:r>
      <w:proofErr w:type="spellStart"/>
      <w:r>
        <w:rPr>
          <w:rFonts w:ascii="Arial" w:hAnsi="Arial" w:cs="Arial"/>
          <w:sz w:val="22"/>
          <w:szCs w:val="22"/>
        </w:rPr>
        <w:t>Xenoestrogens</w:t>
      </w:r>
      <w:proofErr w:type="spellEnd"/>
      <w:r>
        <w:rPr>
          <w:rFonts w:ascii="Arial" w:hAnsi="Arial" w:cs="Arial"/>
          <w:sz w:val="22"/>
          <w:szCs w:val="22"/>
        </w:rPr>
        <w:t xml:space="preserve"> with only one available dataset.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1741"/>
        <w:gridCol w:w="1054"/>
        <w:gridCol w:w="1004"/>
        <w:gridCol w:w="741"/>
        <w:gridCol w:w="979"/>
        <w:gridCol w:w="675"/>
        <w:gridCol w:w="1729"/>
      </w:tblGrid>
      <w:tr w:rsidR="0074380F" w:rsidRPr="0074380F" w:rsidTr="0074380F">
        <w:trPr>
          <w:trHeight w:val="290"/>
        </w:trPr>
        <w:tc>
          <w:tcPr>
            <w:tcW w:w="111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Chemical</w:t>
            </w:r>
          </w:p>
        </w:tc>
        <w:tc>
          <w:tcPr>
            <w:tcW w:w="1599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Cell Line Type</w:t>
            </w:r>
          </w:p>
        </w:tc>
        <w:tc>
          <w:tcPr>
            <w:tcW w:w="1193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Tissue of origin</w:t>
            </w:r>
          </w:p>
        </w:tc>
        <w:tc>
          <w:tcPr>
            <w:tcW w:w="1135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Time Course (</w:t>
            </w:r>
            <w:proofErr w:type="spellStart"/>
            <w:r w:rsidRPr="0074380F">
              <w:rPr>
                <w:rFonts w:ascii="Arial" w:hAnsi="Arial" w:cs="Arial"/>
                <w:b/>
                <w:bCs/>
                <w:sz w:val="20"/>
              </w:rPr>
              <w:t>Hr</w:t>
            </w:r>
            <w:proofErr w:type="spellEnd"/>
            <w:r w:rsidRPr="0074380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64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Dose</w:t>
            </w:r>
          </w:p>
        </w:tc>
        <w:tc>
          <w:tcPr>
            <w:tcW w:w="926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Replicate #</w:t>
            </w:r>
          </w:p>
        </w:tc>
        <w:tc>
          <w:tcPr>
            <w:tcW w:w="752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Sex</w:t>
            </w:r>
          </w:p>
        </w:tc>
        <w:tc>
          <w:tcPr>
            <w:tcW w:w="1981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</w:rPr>
              <w:t>Accession # (*used in analysis)</w:t>
            </w:r>
          </w:p>
        </w:tc>
      </w:tr>
      <w:tr w:rsidR="0074380F" w:rsidRPr="0074380F" w:rsidTr="0074380F">
        <w:trPr>
          <w:trHeight w:val="290"/>
        </w:trPr>
        <w:tc>
          <w:tcPr>
            <w:tcW w:w="111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Benzophenone-2</w:t>
            </w:r>
          </w:p>
        </w:tc>
        <w:tc>
          <w:tcPr>
            <w:tcW w:w="1599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FTC-238/</w:t>
            </w:r>
            <w:proofErr w:type="spellStart"/>
            <w:r w:rsidRPr="0074380F">
              <w:rPr>
                <w:rFonts w:ascii="Arial" w:hAnsi="Arial" w:cs="Arial"/>
                <w:sz w:val="20"/>
              </w:rPr>
              <w:t>hrTPO</w:t>
            </w:r>
            <w:proofErr w:type="spellEnd"/>
            <w:r w:rsidRPr="0074380F">
              <w:rPr>
                <w:rFonts w:ascii="Arial" w:hAnsi="Arial" w:cs="Arial"/>
                <w:sz w:val="20"/>
              </w:rPr>
              <w:t>/RSK008</w:t>
            </w:r>
          </w:p>
        </w:tc>
        <w:tc>
          <w:tcPr>
            <w:tcW w:w="1193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Thyroid</w:t>
            </w:r>
          </w:p>
        </w:tc>
        <w:tc>
          <w:tcPr>
            <w:tcW w:w="1135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4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1uM</w:t>
            </w:r>
          </w:p>
        </w:tc>
        <w:tc>
          <w:tcPr>
            <w:tcW w:w="926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52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981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GSE30961</w:t>
            </w:r>
          </w:p>
        </w:tc>
      </w:tr>
      <w:tr w:rsidR="0074380F" w:rsidRPr="0074380F" w:rsidTr="0074380F">
        <w:trPr>
          <w:trHeight w:val="290"/>
        </w:trPr>
        <w:tc>
          <w:tcPr>
            <w:tcW w:w="111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Bisphenol B</w:t>
            </w:r>
          </w:p>
        </w:tc>
        <w:tc>
          <w:tcPr>
            <w:tcW w:w="1599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MCF-7</w:t>
            </w:r>
          </w:p>
        </w:tc>
        <w:tc>
          <w:tcPr>
            <w:tcW w:w="1193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Breast</w:t>
            </w:r>
          </w:p>
        </w:tc>
        <w:tc>
          <w:tcPr>
            <w:tcW w:w="1135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4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300nM</w:t>
            </w:r>
          </w:p>
        </w:tc>
        <w:tc>
          <w:tcPr>
            <w:tcW w:w="926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GSE85350</w:t>
            </w:r>
          </w:p>
        </w:tc>
      </w:tr>
      <w:tr w:rsidR="0074380F" w:rsidRPr="0074380F" w:rsidTr="0074380F">
        <w:trPr>
          <w:trHeight w:val="290"/>
        </w:trPr>
        <w:tc>
          <w:tcPr>
            <w:tcW w:w="111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Zearalenone</w:t>
            </w:r>
          </w:p>
        </w:tc>
        <w:tc>
          <w:tcPr>
            <w:tcW w:w="1599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MCF-7</w:t>
            </w:r>
          </w:p>
        </w:tc>
        <w:tc>
          <w:tcPr>
            <w:tcW w:w="1193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Breast</w:t>
            </w:r>
          </w:p>
        </w:tc>
        <w:tc>
          <w:tcPr>
            <w:tcW w:w="1135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647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10nM</w:t>
            </w:r>
          </w:p>
        </w:tc>
        <w:tc>
          <w:tcPr>
            <w:tcW w:w="926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52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1981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74380F">
              <w:rPr>
                <w:rFonts w:ascii="Arial" w:hAnsi="Arial" w:cs="Arial"/>
                <w:sz w:val="20"/>
              </w:rPr>
              <w:t>GSE15249</w:t>
            </w:r>
          </w:p>
        </w:tc>
      </w:tr>
    </w:tbl>
    <w:p w:rsidR="0074380F" w:rsidRDefault="0074380F" w:rsidP="0064053A">
      <w:pPr>
        <w:spacing w:line="480" w:lineRule="auto"/>
        <w:jc w:val="both"/>
        <w:rPr>
          <w:rFonts w:ascii="Arial" w:hAnsi="Arial" w:cs="Arial"/>
        </w:rPr>
      </w:pPr>
    </w:p>
    <w:p w:rsidR="0074380F" w:rsidRDefault="0074380F" w:rsidP="0064053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Supplemental Table 4. Identified Estradiol Gene Expression Arrays Classified by Cell Type, Duration of Exposure, Chemical Concentration, Number of Experimental Replicates, and Genetic Sex of Cell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394"/>
        <w:gridCol w:w="839"/>
        <w:gridCol w:w="905"/>
        <w:gridCol w:w="803"/>
        <w:gridCol w:w="720"/>
        <w:gridCol w:w="1869"/>
      </w:tblGrid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Cell Line Type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Tissue of origin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Time Course (h)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Dose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Replicate #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80F">
              <w:rPr>
                <w:rFonts w:ascii="Arial" w:hAnsi="Arial" w:cs="Arial"/>
                <w:b/>
                <w:bCs/>
                <w:sz w:val="20"/>
                <w:szCs w:val="20"/>
              </w:rPr>
              <w:t>Accession # (*used in analysis)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3D epithelial breast culture specimen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GSE115112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3D epithelial breast culture specimen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GSE115112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A549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GSE92679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Adipocytes of lean children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Inguinal fat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GSE58516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BEAS-2Bs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GSE100574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BG-1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GSE58324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BLaER1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BT-20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BT-20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BT-20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BT-20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GSE70759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BT-474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BT-483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BT-483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BT-483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BT-483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C4-12/Flag.ERβ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GSE48159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C49R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GSE104985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C49R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GSE104985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C70R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GSE104985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C70R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GSE104985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CAMA-1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CAMA-1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CAMA-1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CAMA-1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CAMA-1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CAMA-1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Cancer Associated Fibroblasts (Early Stage)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Cervix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3.67nM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GSE65227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Cancer Associated Fibroblasts (Late Stage)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Cervix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3.67nM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GSE65227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CEBPA-inducible SKH-1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GSE102730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Dental pulp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Dental pulp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GSE44677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Dermal papilla cell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GSE102949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Eahy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926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Vascular endothelium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GSE72180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Eahy926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Vascular endothelium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GSE51535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EEC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GSE3013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EFM-19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EFM-19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4380F">
              <w:rPr>
                <w:rFonts w:ascii="Arial" w:hAnsi="Arial" w:cs="Arial"/>
                <w:sz w:val="20"/>
                <w:szCs w:val="20"/>
              </w:rPr>
              <w:t>ER:PRL</w:t>
            </w:r>
            <w:proofErr w:type="gramEnd"/>
            <w:r w:rsidRPr="0074380F">
              <w:rPr>
                <w:rFonts w:ascii="Arial" w:hAnsi="Arial" w:cs="Arial"/>
                <w:sz w:val="20"/>
                <w:szCs w:val="20"/>
              </w:rPr>
              <w:t>-HeLa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Cervix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GSE22941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H3396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GSE32348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H3396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GSE32348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H3396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GSE32348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H3396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GSE32348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H520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GSE92679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HBE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GSE23500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HCC1428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HCC1428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HCC1428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HCC1428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HCC1428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GSE75971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HCC1500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HCC1500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HEEC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GSE55691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MEXP-2458*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HepaRG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MEXP-2458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E-MEXP-2574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MEXP-2458*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E-MEXP-2574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GSE51952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GSE112983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E-MEXP-2574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GSE28878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HepG2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Liver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MEXP-2458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HESC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GSE14808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hESF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hESF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hESF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hFOB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GSE55769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HMC3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Microglia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0.1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GSE134782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HMEC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GSE6548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hSFC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GSE35034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HT29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E-MEXP-3176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HUAECs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cord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hUtSMC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GSE51470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hUtSMC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GSE51470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hUtSMC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GSE51470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hUtSMCs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Myometrium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GSE59231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HUVEC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cord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GSE1486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HUVEC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cord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GSE1486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HUVEC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cord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GSE16683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ICI-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GSE5840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IKK β-MCF-7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GSE85683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E-MTAB-822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GSE107693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GSE93439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GSE56946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GSE129804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GSE109892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GSE129804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E-MTAB-822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200pg/mL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GSE31149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GSE56946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GSE78182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GSE3762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GSE3762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200pg/mL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GSE31149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GSE115608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GSE115608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GSE3762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GSE3762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GSE68333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Ishikawa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JHUEM14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GSE107693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K562 p42-C/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EBPa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>-ER expressing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 Marrow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GSE43998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GSE37531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GSE58615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LNCaP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GSE37531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Mature luminal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GSE99680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Mature luminal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GSE99680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0.0833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GSE43835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GSE41324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0.333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0.41667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GSE41324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GSE43835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GSE41324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GSE59531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GSE86316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GSE45822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GSE60271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GSE62228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GSE18592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GSE22012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1.333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0.01nM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GSE55922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GSE11467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GSE64590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GSE43070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GSE109570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GSE85088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GSE104985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GSE13458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GSE59908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E-MTAB-822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GSE107693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GSE28006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GSE59345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GSE76507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GSE67295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GSE76453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GSE32667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367.134nM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GSE39417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GSE107858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0.01nM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GSE135427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GSE107924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GSE107924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GSE137559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E-MTAB-4923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GSE39786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E-SMDB-1443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GSE120756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GSE73663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GSE15717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GSE24592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GSE68918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GSE79761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GSE5840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GSE57935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GSE9936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GSE23445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5.333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GSE124270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GSE125606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GSE125606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GSE104985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GSE23610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GSE45643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GSE59908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GSE39623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GSE46856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GSE20081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GSE30931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GSE38252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GSE20342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GSE36683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E-MTAB-2577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GSE71297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GSE70759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GSE74146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E-MTAB-788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GSE107858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0.01nM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GSE77244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E-SMDB-1443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GSE78285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GSE77244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19nM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GSE15548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GSE77244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GSE24065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GSE24065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10.667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GSE133423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GSE132433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GSE22213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E-MTAB-822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GSE26740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GSE80366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GSE93193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E-MTAB-1196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GSE11266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GSE11352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GSE107858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GSE119455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GSE101860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GSE108883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GSE58324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21.33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GSE62789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0.01nM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GSE136595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GSE136595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E-MTAB-4923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GSE38621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E-SMDB-1443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GSE24592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GSE4006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GSE42347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GSE45047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GSE45557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GSE48989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GSE53394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GSE56066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GSE56245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GSE73663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GSE8383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GSE99626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GSE102367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GSE11352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GSE31118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GSE36586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GSE4025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GSE42619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GSE43702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GSE78167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GSE20342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GSE51403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GSE59536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GSE27375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GSE46924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GSE57935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GSE84981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GSE89888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GSE48925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GSE35428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25nM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GSE8597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GSE9936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GSE112243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GSE6803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100fM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GSE11352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GSE17460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GSE65620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GSE16881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500fM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50fM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GSE50705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GSE87701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GSE120931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GSE120931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GSE15249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GSE108549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GSE64155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GSE86565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GSE86565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E-MTAB-2729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E-MTAB-922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E-MTAB-922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E-MTAB-922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&gt;5040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GSE33287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&gt;5040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GSE33287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GSE12291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E-MTAB-6893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GSE100075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GSE75971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GSE15805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GSE94493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 C-TAP-ER-alpha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E-MTAB-1196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GSE4668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GSE4668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GSE5200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GSE4668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MCF-7/BUS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GSE4668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MCF7/Rx2dox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GSE30597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MCF-7/Rx2dox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GSE65616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MCF-7:2A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GSE59535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MCF-7:5C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MCF-7:PF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GSE54171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MCF-7:WS8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GSE29917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MCF-7aro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GSE114260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MCF-7aro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GSE2225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MCF-7aro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GSE2225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MCF7-B7TamS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GSE26459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MCF7-G11TamR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GSE26459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MCF7-tet-on-CARM1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GSE26259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MCF7-tet-on-CARM1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GSE26454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MCF7-tet-on-shCtr9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GSE73388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 MB 134VI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GSE50693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 MB 134VI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GSE50693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MDA231-derived brain trophic 231BR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Brain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GSE71272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MDA-MB-134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MDA-MB-134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MDA-MB-134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MDA-MB-134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MDA-MB-134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GSE128911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MDA-MB-134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GSE128911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MDA-MB-157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MDA-MB-157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MDA-MB-157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MDA-MB-157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MDA-MB-175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MDA-MB-175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MDA-MB-175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MDA-MB-175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GSE32668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GSE60879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GSE9757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GSE9758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GSE108980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0.333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GSE95122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GSE95122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GSE39718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GSE9757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GSE9758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GSE30574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GSE2251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MDA-MB-231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GSE30574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MDA-MB-330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MDA-MB-330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MDA-MB-361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MDA-MB-361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MDA-MB-361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MDA-MB-361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MDA-MB-415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MDA-MB-415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MDA-MB-415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MDA-MB-415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MDA-MB-468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GSE71960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NCI-H2196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E-MTAB-2706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NCI-H2198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E-MTAB-2706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OCI-Ly7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B-cell lymphoma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GSE60408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OCI-Ly7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B-cell lymphoma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GSE60408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OCI-Ly7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B-cell lymphoma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GSE60408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OHT-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GSE5840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Panc-1ER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Pancreas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GSE28901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Panc-1ER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Pancreas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GSE28902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Panc-1GLI1ER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Pancreas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GSE28901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Panc-1GLI1ER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Pancreas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GSE28902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GSE28899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GSE28900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PC3GLI1ER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GSE28899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PC3GLI1ER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GSE28900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PEO1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Ovary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GSE81612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PEO4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Ovary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GSE81612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Postmenupausal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Endometrium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Endometrium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2mg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p.o.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GSE12446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Atrial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Mixture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E-MEXP-2971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neuronal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Neuron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GSE17645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Osteoblasts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E-MEXP-1053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Primary uterine gland organoid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Uterus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GSE136795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Prostaspheres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Prostate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GSE62953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Random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periareolar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fine needle aspirates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GSE10270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siDOT1L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E-MTAB-6893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SKBR3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GSE11567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SKBR3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GSE32669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SKBR3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GSE39719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SKOV3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Ovary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GSE115481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SKOV3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Ovary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GSE115481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SUM149PT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GSE28542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SUM190PT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GSE28542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SUM44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GSE50694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SUM44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GSE50694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SUM44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GSE100075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SUM44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GSE75971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SUM52PE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GSE70759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SW480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E-MEXP-1473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T47-D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T47-D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T47-D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GSE7206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100pM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GSE89700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GSE32666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GSE39720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1uM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GSE60878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GSE107863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GSE93443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GSE7206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GSE74032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GSE70759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GSE107863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GSE38234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GSE80358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GSE80366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GSE7206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GSE107863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10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GSE127760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GSE7206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GSE62243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GSE118942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GSE45047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E-MTAB-4975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GSE99626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GSE89888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GSE69774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GSE3834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GSE7206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GSE77345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GSE75971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GSE3529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T-47D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pLB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 xml:space="preserve">T-47D 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pLUM</w:t>
            </w:r>
            <w:proofErr w:type="spellEnd"/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GSE55350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T-47D Y537S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GSE94493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T47D/A18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GSE85536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T47D/A18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6384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GSE85536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T47D-MTVL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GSE53463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Tamoxifen-</w:t>
            </w:r>
            <w:proofErr w:type="spellStart"/>
            <w:r w:rsidRPr="0074380F">
              <w:rPr>
                <w:rFonts w:ascii="Arial" w:hAnsi="Arial" w:cs="Arial"/>
                <w:sz w:val="20"/>
                <w:szCs w:val="20"/>
              </w:rPr>
              <w:t>resistent</w:t>
            </w:r>
            <w:proofErr w:type="spellEnd"/>
            <w:r w:rsidRPr="0074380F">
              <w:rPr>
                <w:rFonts w:ascii="Arial" w:hAnsi="Arial" w:cs="Arial"/>
                <w:sz w:val="20"/>
                <w:szCs w:val="20"/>
              </w:rPr>
              <w:t xml:space="preserve"> MCF-7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GSE21618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TDG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TDG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Term Decidual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Decidua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GSE65835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TYS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TYS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GSE108304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U2932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B-cell lymphoma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GSE60408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U2932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B-cell lymphoma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GSE60408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GSE2292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Bone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GSE2292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U2OS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GSE1153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U2OS-ERa with NCOA1 siRNA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Osteosarcoma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GSE90548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cord blood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Stem cell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GSE4609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endothelial cells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Umbilical cord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E-MEXP-1227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Vaginal biopsy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Vagina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0.5 mg/day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GSE11622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GSE80366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GSE75971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E-TABM-631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E-TABM-742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E-TABM-1194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ZR-75.1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50nM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GSE1864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GSE38132</w:t>
            </w:r>
          </w:p>
        </w:tc>
      </w:tr>
      <w:tr w:rsidR="0074380F" w:rsidRPr="0074380F" w:rsidTr="0074380F">
        <w:trPr>
          <w:trHeight w:val="310"/>
        </w:trPr>
        <w:tc>
          <w:tcPr>
            <w:tcW w:w="4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ZR-75-1</w:t>
            </w:r>
          </w:p>
        </w:tc>
        <w:tc>
          <w:tcPr>
            <w:tcW w:w="200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Breast</w:t>
            </w:r>
          </w:p>
        </w:tc>
        <w:tc>
          <w:tcPr>
            <w:tcW w:w="11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10nM</w:t>
            </w:r>
          </w:p>
        </w:tc>
        <w:tc>
          <w:tcPr>
            <w:tcW w:w="10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720" w:type="dxa"/>
            <w:noWrap/>
            <w:hideMark/>
          </w:tcPr>
          <w:p w:rsidR="0074380F" w:rsidRPr="0074380F" w:rsidRDefault="0074380F" w:rsidP="0074380F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80F">
              <w:rPr>
                <w:rFonts w:ascii="Arial" w:hAnsi="Arial" w:cs="Arial"/>
                <w:sz w:val="20"/>
                <w:szCs w:val="20"/>
              </w:rPr>
              <w:t>GSE61368</w:t>
            </w:r>
          </w:p>
        </w:tc>
      </w:tr>
    </w:tbl>
    <w:p w:rsidR="0074380F" w:rsidRDefault="0074380F" w:rsidP="0064053A">
      <w:pPr>
        <w:spacing w:line="480" w:lineRule="auto"/>
        <w:jc w:val="both"/>
        <w:rPr>
          <w:rFonts w:ascii="Arial" w:hAnsi="Arial" w:cs="Arial"/>
        </w:rPr>
      </w:pPr>
    </w:p>
    <w:p w:rsidR="008A429D" w:rsidRPr="009646F5" w:rsidRDefault="009646F5" w:rsidP="0064053A">
      <w:pPr>
        <w:spacing w:line="480" w:lineRule="auto"/>
        <w:jc w:val="both"/>
        <w:rPr>
          <w:rFonts w:ascii="Arial" w:hAnsi="Arial" w:cs="Arial"/>
        </w:rPr>
      </w:pPr>
      <w:r w:rsidRPr="009646F5">
        <w:rPr>
          <w:rFonts w:ascii="Arial" w:hAnsi="Arial" w:cs="Arial"/>
        </w:rPr>
        <w:t xml:space="preserve">Supplemental Table </w:t>
      </w:r>
      <w:r w:rsidR="0074380F">
        <w:rPr>
          <w:rFonts w:ascii="Arial" w:hAnsi="Arial" w:cs="Arial"/>
        </w:rPr>
        <w:t>5</w:t>
      </w:r>
      <w:r w:rsidRPr="009646F5">
        <w:rPr>
          <w:rFonts w:ascii="Arial" w:hAnsi="Arial" w:cs="Arial"/>
        </w:rPr>
        <w:t xml:space="preserve">. </w:t>
      </w:r>
      <w:r w:rsidR="0064053A">
        <w:rPr>
          <w:rFonts w:ascii="Arial" w:hAnsi="Arial" w:cs="Arial"/>
        </w:rPr>
        <w:t xml:space="preserve">The number of </w:t>
      </w:r>
      <w:r>
        <w:rPr>
          <w:rFonts w:ascii="Arial" w:hAnsi="Arial" w:cs="Arial"/>
        </w:rPr>
        <w:t>unique</w:t>
      </w:r>
      <w:r w:rsidR="0064053A">
        <w:rPr>
          <w:rFonts w:ascii="Arial" w:hAnsi="Arial" w:cs="Arial"/>
        </w:rPr>
        <w:t xml:space="preserve">ly regulated genes per </w:t>
      </w:r>
      <w:proofErr w:type="spellStart"/>
      <w:r w:rsidR="0064053A">
        <w:rPr>
          <w:rFonts w:ascii="Arial" w:hAnsi="Arial" w:cs="Arial"/>
        </w:rPr>
        <w:t>xenoestrogen</w:t>
      </w:r>
      <w:proofErr w:type="spellEnd"/>
      <w:r w:rsidR="0064053A">
        <w:rPr>
          <w:rFonts w:ascii="Arial" w:hAnsi="Arial" w:cs="Arial"/>
        </w:rPr>
        <w:t xml:space="preserve"> in HepG2 and </w:t>
      </w:r>
      <w:proofErr w:type="spellStart"/>
      <w:r w:rsidR="0064053A">
        <w:rPr>
          <w:rFonts w:ascii="Arial" w:hAnsi="Arial" w:cs="Arial"/>
        </w:rPr>
        <w:t>HepRG</w:t>
      </w:r>
      <w:proofErr w:type="spellEnd"/>
      <w:r w:rsidR="0064053A">
        <w:rPr>
          <w:rFonts w:ascii="Arial" w:hAnsi="Arial" w:cs="Arial"/>
        </w:rPr>
        <w:t xml:space="preserve"> cells</w:t>
      </w:r>
      <w:r>
        <w:rPr>
          <w:rFonts w:ascii="Arial" w:hAnsi="Arial" w:cs="Arial"/>
        </w:rPr>
        <w:t xml:space="preserve">.  </w:t>
      </w:r>
      <w:r w:rsidRPr="009646F5">
        <w:rPr>
          <w:rFonts w:ascii="Arial" w:hAnsi="Arial" w:cs="Arial"/>
        </w:rPr>
        <w:t xml:space="preserve"> </w:t>
      </w:r>
    </w:p>
    <w:tbl>
      <w:tblPr>
        <w:tblW w:w="4691" w:type="dxa"/>
        <w:tblLook w:val="04A0" w:firstRow="1" w:lastRow="0" w:firstColumn="1" w:lastColumn="0" w:noHBand="0" w:noVBand="1"/>
      </w:tblPr>
      <w:tblGrid>
        <w:gridCol w:w="1293"/>
        <w:gridCol w:w="1219"/>
        <w:gridCol w:w="1219"/>
        <w:gridCol w:w="960"/>
      </w:tblGrid>
      <w:tr w:rsidR="0064053A" w:rsidRPr="005F38BE" w:rsidTr="0064053A">
        <w:trPr>
          <w:trHeight w:val="290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64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HepG2 Cells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Compound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Total Regulated Genes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Unique Regulated Genes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% Unique Genes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Estradiol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  <w:r w:rsidR="005F38BE" w:rsidRPr="005F38B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EE2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  <w:r w:rsidR="005F38BE" w:rsidRPr="005F38B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TCDD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</w:t>
            </w:r>
            <w:r w:rsidR="005F38BE" w:rsidRPr="005F38B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DES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</w:t>
            </w:r>
            <w:r w:rsidR="005F38BE" w:rsidRPr="005F38B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BPA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5374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5F38BE" w:rsidRPr="005F38BE">
              <w:rPr>
                <w:rFonts w:ascii="Arial" w:eastAsia="Times New Roman" w:hAnsi="Arial" w:cs="Arial"/>
                <w:color w:val="000000"/>
              </w:rPr>
              <w:t>9%</w:t>
            </w:r>
          </w:p>
        </w:tc>
      </w:tr>
      <w:tr w:rsidR="005F38BE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5F38BE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GEN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8BE" w:rsidRPr="005F38BE" w:rsidRDefault="002F778D" w:rsidP="005F3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  <w:r w:rsidR="005F38BE" w:rsidRPr="005F38B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</w:tbl>
    <w:p w:rsidR="005F38BE" w:rsidRDefault="005F38BE"/>
    <w:tbl>
      <w:tblPr>
        <w:tblW w:w="4691" w:type="dxa"/>
        <w:tblLook w:val="04A0" w:firstRow="1" w:lastRow="0" w:firstColumn="1" w:lastColumn="0" w:noHBand="0" w:noVBand="1"/>
      </w:tblPr>
      <w:tblGrid>
        <w:gridCol w:w="1293"/>
        <w:gridCol w:w="1219"/>
        <w:gridCol w:w="1219"/>
        <w:gridCol w:w="960"/>
      </w:tblGrid>
      <w:tr w:rsidR="0064053A" w:rsidRPr="005F38BE" w:rsidTr="0074380F">
        <w:trPr>
          <w:trHeight w:val="290"/>
        </w:trPr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HepRG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Cells</w:t>
            </w:r>
          </w:p>
        </w:tc>
      </w:tr>
      <w:tr w:rsidR="0064053A" w:rsidRPr="005F38BE" w:rsidTr="0074380F">
        <w:trPr>
          <w:trHeight w:val="290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Compound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Total Regulated Genes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Unique Regulated Genes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% Unique Genes</w:t>
            </w:r>
          </w:p>
        </w:tc>
      </w:tr>
      <w:tr w:rsidR="0064053A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Estradiol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640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32%</w:t>
            </w:r>
          </w:p>
        </w:tc>
      </w:tr>
      <w:tr w:rsidR="0064053A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EE2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13%</w:t>
            </w:r>
          </w:p>
        </w:tc>
      </w:tr>
      <w:tr w:rsidR="0064053A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BE">
              <w:rPr>
                <w:rFonts w:ascii="Arial" w:eastAsia="Times New Roman" w:hAnsi="Arial" w:cs="Arial"/>
                <w:color w:val="000000"/>
              </w:rPr>
              <w:t>TCDD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36%</w:t>
            </w:r>
          </w:p>
        </w:tc>
      </w:tr>
      <w:tr w:rsidR="0064053A" w:rsidRPr="005F38BE" w:rsidTr="0064053A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BPA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64053A" w:rsidRPr="005F38BE" w:rsidTr="0074380F">
        <w:trPr>
          <w:trHeight w:val="290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6986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53A" w:rsidRPr="005F38BE" w:rsidRDefault="0064053A" w:rsidP="0074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Pr="005F38BE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</w:tbl>
    <w:p w:rsidR="005F38BE" w:rsidRDefault="005F38BE"/>
    <w:sectPr w:rsidR="005F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BE"/>
    <w:rsid w:val="002F778D"/>
    <w:rsid w:val="00465598"/>
    <w:rsid w:val="00526AC7"/>
    <w:rsid w:val="005F38BE"/>
    <w:rsid w:val="0064053A"/>
    <w:rsid w:val="0074380F"/>
    <w:rsid w:val="008A429D"/>
    <w:rsid w:val="008E1C0F"/>
    <w:rsid w:val="009646F5"/>
    <w:rsid w:val="009C68E0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F827"/>
  <w15:chartTrackingRefBased/>
  <w15:docId w15:val="{A91E60C0-3F42-4A45-A61F-CDF6B9B5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55</Pages>
  <Words>7250</Words>
  <Characters>41327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Whirledge, Shannon (NIH/NIEHS) [V]</dc:creator>
  <cp:keywords/>
  <dc:description/>
  <cp:lastModifiedBy>Whirledge, Shannon</cp:lastModifiedBy>
  <cp:revision>7</cp:revision>
  <dcterms:created xsi:type="dcterms:W3CDTF">2019-04-07T16:21:00Z</dcterms:created>
  <dcterms:modified xsi:type="dcterms:W3CDTF">2020-01-02T19:10:00Z</dcterms:modified>
</cp:coreProperties>
</file>