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6C" w:rsidRPr="001B6C5C" w:rsidRDefault="007C626C" w:rsidP="0013496B">
      <w:pPr>
        <w:spacing w:line="336" w:lineRule="auto"/>
        <w:contextualSpacing/>
        <w:jc w:val="both"/>
        <w:rPr>
          <w:b/>
          <w:color w:val="000000" w:themeColor="text1"/>
          <w:sz w:val="24"/>
        </w:rPr>
      </w:pPr>
      <w:r w:rsidRPr="001B6C5C">
        <w:rPr>
          <w:b/>
          <w:color w:val="000000" w:themeColor="text1"/>
          <w:sz w:val="24"/>
        </w:rPr>
        <w:t>Materials and Methods</w:t>
      </w:r>
    </w:p>
    <w:p w:rsidR="007C626C" w:rsidRPr="001B6C5C" w:rsidRDefault="007C626C" w:rsidP="0013496B">
      <w:pPr>
        <w:spacing w:line="336" w:lineRule="auto"/>
        <w:contextualSpacing/>
        <w:jc w:val="both"/>
        <w:rPr>
          <w:b/>
          <w:color w:val="000000" w:themeColor="text1"/>
          <w:sz w:val="24"/>
        </w:rPr>
      </w:pPr>
    </w:p>
    <w:p w:rsidR="007C626C" w:rsidRPr="001B6C5C" w:rsidRDefault="007C626C" w:rsidP="0013496B">
      <w:pPr>
        <w:spacing w:line="336" w:lineRule="auto"/>
        <w:contextualSpacing/>
        <w:jc w:val="both"/>
        <w:rPr>
          <w:b/>
          <w:color w:val="000000" w:themeColor="text1"/>
          <w:sz w:val="24"/>
        </w:rPr>
      </w:pPr>
      <w:r w:rsidRPr="001B6C5C">
        <w:rPr>
          <w:b/>
          <w:color w:val="000000" w:themeColor="text1"/>
          <w:sz w:val="24"/>
        </w:rPr>
        <w:t>Animals</w:t>
      </w:r>
    </w:p>
    <w:p w:rsidR="007C626C" w:rsidRPr="001B6C5C" w:rsidRDefault="007C626C" w:rsidP="0013496B">
      <w:pPr>
        <w:tabs>
          <w:tab w:val="left" w:pos="808"/>
        </w:tabs>
        <w:spacing w:line="336" w:lineRule="auto"/>
        <w:contextualSpacing/>
        <w:jc w:val="both"/>
        <w:rPr>
          <w:color w:val="000000" w:themeColor="text1"/>
          <w:sz w:val="24"/>
        </w:rPr>
      </w:pPr>
      <w:r w:rsidRPr="001B6C5C">
        <w:rPr>
          <w:color w:val="000000" w:themeColor="text1"/>
          <w:sz w:val="24"/>
        </w:rPr>
        <w:t>Adult zebrafish (</w:t>
      </w:r>
      <w:r w:rsidRPr="001B6C5C">
        <w:rPr>
          <w:i/>
          <w:color w:val="000000" w:themeColor="text1"/>
          <w:sz w:val="24"/>
        </w:rPr>
        <w:t xml:space="preserve">Danio </w:t>
      </w:r>
      <w:proofErr w:type="spellStart"/>
      <w:r w:rsidRPr="001B6C5C">
        <w:rPr>
          <w:i/>
          <w:color w:val="000000" w:themeColor="text1"/>
          <w:sz w:val="24"/>
        </w:rPr>
        <w:t>rerio</w:t>
      </w:r>
      <w:proofErr w:type="spellEnd"/>
      <w:r w:rsidRPr="001B6C5C">
        <w:rPr>
          <w:color w:val="000000" w:themeColor="text1"/>
          <w:sz w:val="24"/>
        </w:rPr>
        <w:t>) were housed in tanks with recirculating system under a 14 h/10 h light/dark cycle at 28</w:t>
      </w:r>
      <w:r w:rsidRPr="001B6C5C">
        <w:rPr>
          <w:rFonts w:ascii="Cambria Math" w:hAnsi="Cambria Math" w:cs="Cambria Math"/>
          <w:color w:val="000000" w:themeColor="text1"/>
          <w:sz w:val="24"/>
        </w:rPr>
        <w:t>℃</w:t>
      </w:r>
      <w:r w:rsidRPr="001B6C5C">
        <w:rPr>
          <w:color w:val="000000" w:themeColor="text1"/>
          <w:sz w:val="24"/>
        </w:rPr>
        <w:t xml:space="preserve">. For dose determination, wild zebrafish were purchased (Meito </w:t>
      </w:r>
      <w:proofErr w:type="spellStart"/>
      <w:r w:rsidRPr="001B6C5C">
        <w:rPr>
          <w:color w:val="000000" w:themeColor="text1"/>
          <w:sz w:val="24"/>
        </w:rPr>
        <w:t>Suien</w:t>
      </w:r>
      <w:proofErr w:type="spellEnd"/>
      <w:r w:rsidRPr="001B6C5C">
        <w:rPr>
          <w:color w:val="000000" w:themeColor="text1"/>
          <w:sz w:val="24"/>
        </w:rPr>
        <w:t xml:space="preserve"> Co., Ltd., Nagoya, Japan) and used. AB wild-type strain fish were used for the behavior and transcriptome analyses. Fish were kept in groups of 3-11 individuals with a balanced sex ratio in tanks, and were fed once a day. For comparing control group with drug treated groups, fish with the same date of birth were equally distributed in each group. All zebrafish experiments were performed in accordance with the ethical guidelines of Kyoto University and were approved by the Institutional Animal Care and Use Committees of Kyoto University Graduate School of Medicine (approval number Med </w:t>
      </w:r>
      <w:proofErr w:type="spellStart"/>
      <w:r w:rsidRPr="001B6C5C">
        <w:rPr>
          <w:color w:val="000000" w:themeColor="text1"/>
          <w:sz w:val="24"/>
        </w:rPr>
        <w:t>Kyo</w:t>
      </w:r>
      <w:proofErr w:type="spellEnd"/>
      <w:r w:rsidRPr="001B6C5C">
        <w:rPr>
          <w:color w:val="000000" w:themeColor="text1"/>
          <w:sz w:val="24"/>
        </w:rPr>
        <w:t xml:space="preserve"> 19076).</w:t>
      </w:r>
    </w:p>
    <w:p w:rsidR="007C626C" w:rsidRPr="001B6C5C" w:rsidRDefault="007C626C" w:rsidP="0013496B">
      <w:pPr>
        <w:tabs>
          <w:tab w:val="left" w:pos="808"/>
        </w:tabs>
        <w:spacing w:line="336" w:lineRule="auto"/>
        <w:contextualSpacing/>
        <w:jc w:val="both"/>
        <w:rPr>
          <w:color w:val="000000" w:themeColor="text1"/>
          <w:sz w:val="24"/>
        </w:rPr>
      </w:pPr>
    </w:p>
    <w:p w:rsidR="007C626C" w:rsidRPr="001B6C5C" w:rsidRDefault="007C626C" w:rsidP="0013496B">
      <w:pPr>
        <w:tabs>
          <w:tab w:val="left" w:pos="808"/>
        </w:tabs>
        <w:spacing w:line="336" w:lineRule="auto"/>
        <w:contextualSpacing/>
        <w:jc w:val="both"/>
        <w:rPr>
          <w:b/>
          <w:color w:val="000000" w:themeColor="text1"/>
          <w:sz w:val="24"/>
        </w:rPr>
      </w:pPr>
      <w:r w:rsidRPr="001B6C5C">
        <w:rPr>
          <w:b/>
          <w:color w:val="000000" w:themeColor="text1"/>
          <w:sz w:val="24"/>
        </w:rPr>
        <w:t>Dose determination and drug treatment</w:t>
      </w:r>
    </w:p>
    <w:p w:rsidR="007C626C" w:rsidRPr="001B6C5C" w:rsidRDefault="007C626C" w:rsidP="0013496B">
      <w:pPr>
        <w:spacing w:line="336" w:lineRule="auto"/>
        <w:contextualSpacing/>
        <w:jc w:val="both"/>
        <w:rPr>
          <w:color w:val="000000" w:themeColor="text1"/>
          <w:sz w:val="24"/>
        </w:rPr>
      </w:pPr>
      <w:r w:rsidRPr="001B6C5C">
        <w:rPr>
          <w:color w:val="000000" w:themeColor="text1"/>
          <w:sz w:val="24"/>
        </w:rPr>
        <w:t>To determine the appropriate dose of MPH and ATX, we conducted a novel tank assay using adult zebrafish. Methylphenidate hydrochloride (MPH; Sigma-Aldrich Japan, Tokyo, Japan) was dissolved in water at a concentration of 3, 10, and 30 mg/kg, while atomoxetine hydrochloride (ATX; Tokyo Chemical Industry Co., Tokyo, Japan) was dissolved in water at a concentration of 1, 3, and 10 mg/kg. Fish were treated for 4 hours in water containing the drug. The results of the novel tank test with different doses are shown in Additional file 5: Figure S1. The minimum dose that altered the behavior was adopted for further analysis using AB wild-type strain fish (10 mg/L for MPH, and 3 mg/L for ATX). The behavior and transcriptome analyses of AB wild-type strain fish were performed after 4-hour and 8-day drug exposure. For 8-day exposure, water containing the drug was replaced daily.</w:t>
      </w:r>
    </w:p>
    <w:p w:rsidR="007C626C" w:rsidRPr="001B6C5C" w:rsidRDefault="007C626C" w:rsidP="0013496B">
      <w:pPr>
        <w:spacing w:line="336" w:lineRule="auto"/>
        <w:contextualSpacing/>
        <w:jc w:val="both"/>
        <w:rPr>
          <w:color w:val="000000" w:themeColor="text1"/>
          <w:sz w:val="24"/>
        </w:rPr>
      </w:pPr>
    </w:p>
    <w:p w:rsidR="007C626C" w:rsidRPr="001B6C5C" w:rsidRDefault="007C626C" w:rsidP="0013496B">
      <w:pPr>
        <w:spacing w:line="336" w:lineRule="auto"/>
        <w:contextualSpacing/>
        <w:jc w:val="both"/>
        <w:rPr>
          <w:b/>
          <w:color w:val="000000" w:themeColor="text1"/>
          <w:sz w:val="24"/>
        </w:rPr>
      </w:pPr>
      <w:r w:rsidRPr="001B6C5C">
        <w:rPr>
          <w:b/>
          <w:color w:val="000000" w:themeColor="text1"/>
          <w:sz w:val="24"/>
        </w:rPr>
        <w:t xml:space="preserve">Novel tank test </w:t>
      </w:r>
    </w:p>
    <w:p w:rsidR="007C626C" w:rsidRPr="001B6C5C" w:rsidRDefault="007C626C" w:rsidP="0013496B">
      <w:pPr>
        <w:spacing w:line="336" w:lineRule="auto"/>
        <w:contextualSpacing/>
        <w:jc w:val="both"/>
        <w:rPr>
          <w:color w:val="000000" w:themeColor="text1"/>
          <w:sz w:val="24"/>
        </w:rPr>
      </w:pPr>
      <w:r w:rsidRPr="001B6C5C">
        <w:rPr>
          <w:color w:val="000000" w:themeColor="text1"/>
          <w:sz w:val="24"/>
        </w:rPr>
        <w:lastRenderedPageBreak/>
        <w:t xml:space="preserve">The novel tank test was performed in a rectangular tank (width 200 mm, depth 50 mm, height 150 mm) filled with water to a height of 120 mm. The upper portion of the tank was defined as “top area” and the lower portion as “bottom area” (Fig. 1a). The test was performed according to previously described method </w:t>
      </w:r>
      <w:r w:rsidRPr="001B6C5C">
        <w:rPr>
          <w:noProof/>
          <w:color w:val="000000" w:themeColor="text1"/>
          <w:sz w:val="24"/>
        </w:rPr>
        <w:t>[1]</w:t>
      </w:r>
      <w:r w:rsidRPr="001B6C5C">
        <w:rPr>
          <w:color w:val="000000" w:themeColor="text1"/>
          <w:sz w:val="24"/>
        </w:rPr>
        <w:t>. Briefly, fish were individually introduced into the test tank, and their behaviors were recorded under 300 lux light for 10 minutes. Total distance traveled (mm), time spent in the top area (s), and time spent in the bottom area (s) were recorded.</w:t>
      </w:r>
      <w:r w:rsidRPr="001B6C5C">
        <w:rPr>
          <w:color w:val="000000" w:themeColor="text1"/>
        </w:rPr>
        <w:t xml:space="preserve"> </w:t>
      </w:r>
      <w:r w:rsidRPr="001B6C5C">
        <w:rPr>
          <w:color w:val="000000" w:themeColor="text1"/>
          <w:sz w:val="24"/>
        </w:rPr>
        <w:t xml:space="preserve">The test was performed in 10 fish per group. </w:t>
      </w:r>
      <w:r w:rsidRPr="001B6C5C">
        <w:rPr>
          <w:bCs/>
          <w:color w:val="000000" w:themeColor="text1"/>
          <w:sz w:val="24"/>
        </w:rPr>
        <w:t xml:space="preserve">Data were analyzed using the Student’s </w:t>
      </w:r>
      <w:r w:rsidRPr="001B6C5C">
        <w:rPr>
          <w:bCs/>
          <w:i/>
          <w:color w:val="000000" w:themeColor="text1"/>
          <w:sz w:val="24"/>
        </w:rPr>
        <w:t>t</w:t>
      </w:r>
      <w:r w:rsidRPr="001B6C5C">
        <w:rPr>
          <w:bCs/>
          <w:color w:val="000000" w:themeColor="text1"/>
          <w:sz w:val="24"/>
        </w:rPr>
        <w:t>-test. Differences with a p-value of less than 0.05 were considered as statistically significant.</w:t>
      </w:r>
    </w:p>
    <w:p w:rsidR="007C626C" w:rsidRPr="001B6C5C" w:rsidRDefault="007C626C" w:rsidP="0013496B">
      <w:pPr>
        <w:spacing w:line="336" w:lineRule="auto"/>
        <w:contextualSpacing/>
        <w:jc w:val="both"/>
        <w:rPr>
          <w:color w:val="000000" w:themeColor="text1"/>
          <w:sz w:val="24"/>
        </w:rPr>
      </w:pPr>
    </w:p>
    <w:p w:rsidR="007C626C" w:rsidRPr="001B6C5C" w:rsidRDefault="007C626C" w:rsidP="0013496B">
      <w:pPr>
        <w:spacing w:line="336" w:lineRule="auto"/>
        <w:contextualSpacing/>
        <w:jc w:val="both"/>
        <w:rPr>
          <w:b/>
          <w:color w:val="000000" w:themeColor="text1"/>
          <w:sz w:val="24"/>
        </w:rPr>
      </w:pPr>
      <w:r w:rsidRPr="001B6C5C">
        <w:rPr>
          <w:b/>
          <w:color w:val="000000" w:themeColor="text1"/>
          <w:sz w:val="24"/>
        </w:rPr>
        <w:t>Tissue collection and RNA isolation</w:t>
      </w:r>
    </w:p>
    <w:p w:rsidR="007C626C" w:rsidRPr="001B6C5C" w:rsidRDefault="007C626C" w:rsidP="0013496B">
      <w:pPr>
        <w:spacing w:line="336" w:lineRule="auto"/>
        <w:contextualSpacing/>
        <w:jc w:val="both"/>
        <w:rPr>
          <w:color w:val="000000" w:themeColor="text1"/>
          <w:sz w:val="24"/>
        </w:rPr>
      </w:pPr>
      <w:r w:rsidRPr="001B6C5C">
        <w:rPr>
          <w:color w:val="000000" w:themeColor="text1"/>
          <w:sz w:val="24"/>
        </w:rPr>
        <w:t>Following the drug treatment, whole brains of fish we</w:t>
      </w:r>
      <w:bookmarkStart w:id="0" w:name="_GoBack"/>
      <w:bookmarkEnd w:id="0"/>
      <w:r w:rsidRPr="001B6C5C">
        <w:rPr>
          <w:color w:val="000000" w:themeColor="text1"/>
          <w:sz w:val="24"/>
        </w:rPr>
        <w:t xml:space="preserve">re removed as described previously </w:t>
      </w:r>
      <w:r w:rsidRPr="001B6C5C">
        <w:rPr>
          <w:noProof/>
          <w:color w:val="000000" w:themeColor="text1"/>
          <w:sz w:val="24"/>
        </w:rPr>
        <w:t>[2]</w:t>
      </w:r>
      <w:r w:rsidRPr="001B6C5C">
        <w:rPr>
          <w:color w:val="000000" w:themeColor="text1"/>
          <w:sz w:val="24"/>
        </w:rPr>
        <w:t xml:space="preserve">. Each brain was immediately immersed in </w:t>
      </w:r>
      <w:proofErr w:type="spellStart"/>
      <w:r w:rsidRPr="001B6C5C">
        <w:rPr>
          <w:color w:val="000000" w:themeColor="text1"/>
          <w:sz w:val="24"/>
        </w:rPr>
        <w:t>RNAlater</w:t>
      </w:r>
      <w:proofErr w:type="spellEnd"/>
      <w:r w:rsidRPr="001B6C5C">
        <w:rPr>
          <w:color w:val="000000" w:themeColor="text1"/>
          <w:sz w:val="24"/>
        </w:rPr>
        <w:t xml:space="preserve"> (</w:t>
      </w:r>
      <w:proofErr w:type="spellStart"/>
      <w:r w:rsidRPr="001B6C5C">
        <w:rPr>
          <w:color w:val="000000" w:themeColor="text1"/>
          <w:sz w:val="24"/>
        </w:rPr>
        <w:t>Thermo</w:t>
      </w:r>
      <w:proofErr w:type="spellEnd"/>
      <w:r w:rsidRPr="001B6C5C">
        <w:rPr>
          <w:color w:val="000000" w:themeColor="text1"/>
          <w:sz w:val="24"/>
        </w:rPr>
        <w:t xml:space="preserve"> Fisher Scientific, Waltham, MA, USA) and kept on ice. Total RNA was extracted from each brain using RNeasy Mini Kit (Qiagen, Hilden, Germany) according to the manufacturer's instructions. The quantity of RNA was measured using </w:t>
      </w:r>
      <w:proofErr w:type="spellStart"/>
      <w:r w:rsidRPr="001B6C5C">
        <w:rPr>
          <w:color w:val="000000" w:themeColor="text1"/>
          <w:sz w:val="24"/>
        </w:rPr>
        <w:t>NanoDrop</w:t>
      </w:r>
      <w:proofErr w:type="spellEnd"/>
      <w:r w:rsidRPr="001B6C5C">
        <w:rPr>
          <w:color w:val="000000" w:themeColor="text1"/>
          <w:sz w:val="24"/>
        </w:rPr>
        <w:t xml:space="preserve"> 2000 spectrophotometer (</w:t>
      </w:r>
      <w:proofErr w:type="spellStart"/>
      <w:r w:rsidRPr="001B6C5C">
        <w:rPr>
          <w:color w:val="000000" w:themeColor="text1"/>
          <w:sz w:val="24"/>
        </w:rPr>
        <w:t>Thermo</w:t>
      </w:r>
      <w:proofErr w:type="spellEnd"/>
      <w:r w:rsidRPr="001B6C5C">
        <w:rPr>
          <w:color w:val="000000" w:themeColor="text1"/>
          <w:sz w:val="24"/>
        </w:rPr>
        <w:t xml:space="preserve"> Fisher Scientific). The quality of RNA was assessed using the RNA 6000 Pico Kit (Agilent Technologies, Santa Clara, CA, USA) with Agilent 2100 Bioanalyzer. RNA samples with RNA integrity number larger than 8 were used for the following analysis.</w:t>
      </w:r>
    </w:p>
    <w:p w:rsidR="007C626C" w:rsidRPr="001B6C5C" w:rsidRDefault="007C626C" w:rsidP="0013496B">
      <w:pPr>
        <w:spacing w:line="336" w:lineRule="auto"/>
        <w:contextualSpacing/>
        <w:jc w:val="both"/>
        <w:rPr>
          <w:color w:val="000000" w:themeColor="text1"/>
          <w:sz w:val="24"/>
        </w:rPr>
      </w:pPr>
    </w:p>
    <w:p w:rsidR="007C626C" w:rsidRPr="001B6C5C" w:rsidRDefault="007C626C" w:rsidP="0013496B">
      <w:pPr>
        <w:spacing w:line="336" w:lineRule="auto"/>
        <w:contextualSpacing/>
        <w:jc w:val="both"/>
        <w:rPr>
          <w:b/>
          <w:color w:val="000000" w:themeColor="text1"/>
          <w:sz w:val="24"/>
        </w:rPr>
      </w:pPr>
      <w:r w:rsidRPr="001B6C5C">
        <w:rPr>
          <w:b/>
          <w:color w:val="000000" w:themeColor="text1"/>
          <w:sz w:val="24"/>
        </w:rPr>
        <w:t>RNA-sequencing analysis</w:t>
      </w:r>
    </w:p>
    <w:p w:rsidR="007C626C" w:rsidRPr="001B6C5C" w:rsidRDefault="007C626C" w:rsidP="0013496B">
      <w:pPr>
        <w:spacing w:line="336" w:lineRule="auto"/>
        <w:contextualSpacing/>
        <w:jc w:val="both"/>
        <w:rPr>
          <w:color w:val="000000" w:themeColor="text1"/>
          <w:sz w:val="24"/>
        </w:rPr>
      </w:pPr>
      <w:r w:rsidRPr="001B6C5C">
        <w:rPr>
          <w:color w:val="000000" w:themeColor="text1"/>
          <w:sz w:val="24"/>
        </w:rPr>
        <w:t>In total, 26 RNA samples were isolated from three main groups: control (n = 10), MPH-treated (n = 8), and ATX-treated (n = 8). Each group was further divided into two subgroups (n = 4 or 5) for pooling samples for RNA-sequencing (RNA-</w:t>
      </w:r>
      <w:proofErr w:type="spellStart"/>
      <w:r w:rsidRPr="001B6C5C">
        <w:rPr>
          <w:color w:val="000000" w:themeColor="text1"/>
          <w:sz w:val="24"/>
        </w:rPr>
        <w:t>seq</w:t>
      </w:r>
      <w:proofErr w:type="spellEnd"/>
      <w:r w:rsidRPr="001B6C5C">
        <w:rPr>
          <w:color w:val="000000" w:themeColor="text1"/>
          <w:sz w:val="24"/>
        </w:rPr>
        <w:t>) analysis. RNA-</w:t>
      </w:r>
      <w:proofErr w:type="spellStart"/>
      <w:r w:rsidRPr="001B6C5C">
        <w:rPr>
          <w:color w:val="000000" w:themeColor="text1"/>
          <w:sz w:val="24"/>
        </w:rPr>
        <w:t>Seq</w:t>
      </w:r>
      <w:proofErr w:type="spellEnd"/>
      <w:r w:rsidRPr="001B6C5C">
        <w:rPr>
          <w:color w:val="000000" w:themeColor="text1"/>
          <w:sz w:val="24"/>
        </w:rPr>
        <w:t xml:space="preserve"> libraries were prepared from 200 ng of total RNA using the </w:t>
      </w:r>
      <w:proofErr w:type="spellStart"/>
      <w:r w:rsidRPr="001B6C5C">
        <w:rPr>
          <w:color w:val="000000" w:themeColor="text1"/>
          <w:sz w:val="24"/>
        </w:rPr>
        <w:t>TruSeq</w:t>
      </w:r>
      <w:proofErr w:type="spellEnd"/>
      <w:r w:rsidRPr="001B6C5C">
        <w:rPr>
          <w:color w:val="000000" w:themeColor="text1"/>
          <w:sz w:val="24"/>
        </w:rPr>
        <w:t xml:space="preserve"> Stranded mRNA LT Sample Prep kit set A (Illumina, San Diego, CA, USA). Libraries were sequenced using </w:t>
      </w:r>
      <w:proofErr w:type="spellStart"/>
      <w:r w:rsidRPr="001B6C5C">
        <w:rPr>
          <w:color w:val="000000" w:themeColor="text1"/>
          <w:sz w:val="24"/>
        </w:rPr>
        <w:t>Novaseq</w:t>
      </w:r>
      <w:proofErr w:type="spellEnd"/>
      <w:r w:rsidRPr="001B6C5C">
        <w:rPr>
          <w:color w:val="000000" w:themeColor="text1"/>
          <w:sz w:val="24"/>
        </w:rPr>
        <w:t xml:space="preserve"> 6000 sequencing system (Illumina) with paired-end </w:t>
      </w:r>
      <w:r w:rsidRPr="001B6C5C">
        <w:rPr>
          <w:color w:val="000000" w:themeColor="text1"/>
          <w:sz w:val="24"/>
        </w:rPr>
        <w:lastRenderedPageBreak/>
        <w:t xml:space="preserve">101-bp reads. Sequencing and library preparation were performed by </w:t>
      </w:r>
      <w:proofErr w:type="spellStart"/>
      <w:r w:rsidRPr="001B6C5C">
        <w:rPr>
          <w:color w:val="000000" w:themeColor="text1"/>
          <w:sz w:val="24"/>
        </w:rPr>
        <w:t>Macrogen</w:t>
      </w:r>
      <w:proofErr w:type="spellEnd"/>
      <w:r w:rsidRPr="001B6C5C">
        <w:rPr>
          <w:color w:val="000000" w:themeColor="text1"/>
          <w:sz w:val="24"/>
        </w:rPr>
        <w:t xml:space="preserve"> Japan Corp. (Kyoto, Japan).</w:t>
      </w:r>
    </w:p>
    <w:p w:rsidR="007C626C" w:rsidRPr="001B6C5C" w:rsidRDefault="007C626C" w:rsidP="0013496B">
      <w:pPr>
        <w:spacing w:line="336" w:lineRule="auto"/>
        <w:contextualSpacing/>
        <w:jc w:val="both"/>
        <w:rPr>
          <w:color w:val="000000" w:themeColor="text1"/>
          <w:sz w:val="24"/>
        </w:rPr>
      </w:pPr>
    </w:p>
    <w:p w:rsidR="007C626C" w:rsidRPr="001B6C5C" w:rsidRDefault="007C626C" w:rsidP="0013496B">
      <w:pPr>
        <w:spacing w:line="336" w:lineRule="auto"/>
        <w:contextualSpacing/>
        <w:jc w:val="both"/>
        <w:rPr>
          <w:b/>
          <w:color w:val="000000" w:themeColor="text1"/>
          <w:sz w:val="24"/>
        </w:rPr>
      </w:pPr>
      <w:r w:rsidRPr="001B6C5C">
        <w:rPr>
          <w:b/>
          <w:color w:val="000000" w:themeColor="text1"/>
          <w:sz w:val="24"/>
        </w:rPr>
        <w:t>Differential expression analysis</w:t>
      </w:r>
    </w:p>
    <w:p w:rsidR="007C626C" w:rsidRPr="001B6C5C" w:rsidRDefault="007C626C" w:rsidP="0013496B">
      <w:pPr>
        <w:spacing w:line="336" w:lineRule="auto"/>
        <w:contextualSpacing/>
        <w:jc w:val="both"/>
        <w:rPr>
          <w:color w:val="000000" w:themeColor="text1"/>
          <w:sz w:val="24"/>
        </w:rPr>
      </w:pPr>
      <w:r w:rsidRPr="001B6C5C">
        <w:rPr>
          <w:color w:val="000000" w:themeColor="text1"/>
          <w:sz w:val="24"/>
        </w:rPr>
        <w:t xml:space="preserve">The quality assessment of raw reads was performed with </w:t>
      </w:r>
      <w:proofErr w:type="spellStart"/>
      <w:r w:rsidRPr="001B6C5C">
        <w:rPr>
          <w:color w:val="000000" w:themeColor="text1"/>
          <w:sz w:val="24"/>
        </w:rPr>
        <w:t>FastQC</w:t>
      </w:r>
      <w:proofErr w:type="spellEnd"/>
      <w:r w:rsidRPr="001B6C5C">
        <w:rPr>
          <w:color w:val="000000" w:themeColor="text1"/>
          <w:sz w:val="24"/>
        </w:rPr>
        <w:t xml:space="preserve">. Relevant adapter sequences were removed with </w:t>
      </w:r>
      <w:proofErr w:type="spellStart"/>
      <w:r w:rsidRPr="001B6C5C">
        <w:rPr>
          <w:color w:val="000000" w:themeColor="text1"/>
          <w:sz w:val="24"/>
        </w:rPr>
        <w:t>Cutadapt</w:t>
      </w:r>
      <w:proofErr w:type="spellEnd"/>
      <w:r w:rsidRPr="001B6C5C">
        <w:rPr>
          <w:color w:val="000000" w:themeColor="text1"/>
          <w:sz w:val="24"/>
        </w:rPr>
        <w:t xml:space="preserve">. The reads were aligned against zebrafish reference genome (GRCz10) using Hisat2. The resulting BAM files were processed with </w:t>
      </w:r>
      <w:proofErr w:type="spellStart"/>
      <w:r w:rsidRPr="001B6C5C">
        <w:rPr>
          <w:color w:val="000000" w:themeColor="text1"/>
          <w:sz w:val="24"/>
        </w:rPr>
        <w:t>SAMtools</w:t>
      </w:r>
      <w:proofErr w:type="spellEnd"/>
      <w:r w:rsidRPr="001B6C5C">
        <w:rPr>
          <w:color w:val="000000" w:themeColor="text1"/>
          <w:sz w:val="24"/>
        </w:rPr>
        <w:t xml:space="preserve">. The mapped reads were assembled into transcripts and calculated as gene expression level using </w:t>
      </w:r>
      <w:proofErr w:type="spellStart"/>
      <w:r w:rsidRPr="001B6C5C">
        <w:rPr>
          <w:color w:val="000000" w:themeColor="text1"/>
          <w:sz w:val="24"/>
        </w:rPr>
        <w:t>StringTie</w:t>
      </w:r>
      <w:proofErr w:type="spellEnd"/>
      <w:r w:rsidRPr="001B6C5C">
        <w:rPr>
          <w:color w:val="000000" w:themeColor="text1"/>
          <w:sz w:val="24"/>
        </w:rPr>
        <w:t xml:space="preserve">. </w:t>
      </w:r>
      <w:proofErr w:type="spellStart"/>
      <w:r w:rsidRPr="001B6C5C">
        <w:rPr>
          <w:color w:val="000000" w:themeColor="text1"/>
          <w:sz w:val="24"/>
        </w:rPr>
        <w:t>EdgeR</w:t>
      </w:r>
      <w:proofErr w:type="spellEnd"/>
      <w:r w:rsidRPr="001B6C5C">
        <w:rPr>
          <w:color w:val="000000" w:themeColor="text1"/>
          <w:sz w:val="24"/>
        </w:rPr>
        <w:t xml:space="preserve"> in R was used to identify differentially expressed genes (DEGs). Genes with false discovery rate of less than 0.25 and absolute value of fold change larger than 1.2 were considered as DEGs.</w:t>
      </w:r>
    </w:p>
    <w:p w:rsidR="007C626C" w:rsidRPr="001B6C5C" w:rsidRDefault="007C626C" w:rsidP="0013496B">
      <w:pPr>
        <w:spacing w:line="336" w:lineRule="auto"/>
        <w:contextualSpacing/>
        <w:jc w:val="both"/>
        <w:rPr>
          <w:color w:val="000000" w:themeColor="text1"/>
          <w:sz w:val="24"/>
        </w:rPr>
      </w:pPr>
    </w:p>
    <w:p w:rsidR="007C626C" w:rsidRPr="001B6C5C" w:rsidRDefault="007C626C" w:rsidP="0013496B">
      <w:pPr>
        <w:spacing w:line="336" w:lineRule="auto"/>
        <w:contextualSpacing/>
        <w:jc w:val="both"/>
        <w:rPr>
          <w:b/>
          <w:color w:val="000000" w:themeColor="text1"/>
          <w:sz w:val="24"/>
        </w:rPr>
      </w:pPr>
      <w:r w:rsidRPr="001B6C5C">
        <w:rPr>
          <w:b/>
          <w:color w:val="000000" w:themeColor="text1"/>
          <w:sz w:val="24"/>
        </w:rPr>
        <w:t>Pathway and network analysis</w:t>
      </w:r>
    </w:p>
    <w:p w:rsidR="007C626C" w:rsidRPr="001B6C5C" w:rsidRDefault="007C626C" w:rsidP="0013496B">
      <w:pPr>
        <w:spacing w:line="336" w:lineRule="auto"/>
        <w:contextualSpacing/>
        <w:jc w:val="both"/>
        <w:rPr>
          <w:color w:val="000000" w:themeColor="text1"/>
          <w:sz w:val="24"/>
        </w:rPr>
      </w:pPr>
      <w:r w:rsidRPr="001B6C5C">
        <w:rPr>
          <w:color w:val="000000" w:themeColor="text1"/>
          <w:sz w:val="24"/>
        </w:rPr>
        <w:t xml:space="preserve">Pathway analysis was performed using the Kyoto Encyclopedia of Genes and Genomes (KEGG) pathway database via </w:t>
      </w:r>
      <w:proofErr w:type="spellStart"/>
      <w:r w:rsidRPr="001B6C5C">
        <w:rPr>
          <w:color w:val="000000" w:themeColor="text1"/>
          <w:sz w:val="24"/>
        </w:rPr>
        <w:t>FishEnrichr</w:t>
      </w:r>
      <w:proofErr w:type="spellEnd"/>
      <w:r w:rsidRPr="001B6C5C">
        <w:rPr>
          <w:color w:val="000000" w:themeColor="text1"/>
          <w:sz w:val="24"/>
        </w:rPr>
        <w:t xml:space="preserve"> </w:t>
      </w:r>
      <w:r w:rsidRPr="001B6C5C">
        <w:rPr>
          <w:noProof/>
          <w:color w:val="000000" w:themeColor="text1"/>
          <w:sz w:val="24"/>
        </w:rPr>
        <w:t>[3-5]</w:t>
      </w:r>
      <w:r w:rsidRPr="001B6C5C">
        <w:rPr>
          <w:color w:val="000000" w:themeColor="text1"/>
          <w:sz w:val="24"/>
        </w:rPr>
        <w:t xml:space="preserve">. The enriched terms that had adjusted p-value less than 0.05 were considered as statistically significant. Network analysis was performed using </w:t>
      </w:r>
      <w:proofErr w:type="spellStart"/>
      <w:r w:rsidRPr="001B6C5C">
        <w:rPr>
          <w:color w:val="000000" w:themeColor="text1"/>
          <w:sz w:val="24"/>
        </w:rPr>
        <w:t>GeneMANIA</w:t>
      </w:r>
      <w:proofErr w:type="spellEnd"/>
      <w:r w:rsidRPr="001B6C5C">
        <w:rPr>
          <w:color w:val="000000" w:themeColor="text1"/>
          <w:sz w:val="24"/>
        </w:rPr>
        <w:t xml:space="preserve"> plugin in </w:t>
      </w:r>
      <w:proofErr w:type="spellStart"/>
      <w:r w:rsidRPr="001B6C5C">
        <w:rPr>
          <w:color w:val="000000" w:themeColor="text1"/>
          <w:sz w:val="24"/>
        </w:rPr>
        <w:t>Cytoscape</w:t>
      </w:r>
      <w:proofErr w:type="spellEnd"/>
      <w:r w:rsidRPr="001B6C5C">
        <w:rPr>
          <w:color w:val="000000" w:themeColor="text1"/>
          <w:sz w:val="24"/>
        </w:rPr>
        <w:t xml:space="preserve"> with default setting </w:t>
      </w:r>
      <w:r w:rsidRPr="001B6C5C">
        <w:rPr>
          <w:noProof/>
          <w:color w:val="000000" w:themeColor="text1"/>
          <w:sz w:val="24"/>
        </w:rPr>
        <w:t>[6]</w:t>
      </w:r>
      <w:r w:rsidRPr="001B6C5C">
        <w:rPr>
          <w:color w:val="000000" w:themeColor="text1"/>
          <w:sz w:val="24"/>
        </w:rPr>
        <w:t xml:space="preserve">. The </w:t>
      </w:r>
      <w:proofErr w:type="spellStart"/>
      <w:r w:rsidRPr="001B6C5C">
        <w:rPr>
          <w:color w:val="000000" w:themeColor="text1"/>
          <w:sz w:val="24"/>
        </w:rPr>
        <w:t>modEnrichr</w:t>
      </w:r>
      <w:proofErr w:type="spellEnd"/>
      <w:r w:rsidRPr="001B6C5C">
        <w:rPr>
          <w:color w:val="000000" w:themeColor="text1"/>
          <w:sz w:val="24"/>
        </w:rPr>
        <w:t xml:space="preserve"> was used for ortholog conversion of identifiers from zebrafish (</w:t>
      </w:r>
      <w:r w:rsidRPr="001B6C5C">
        <w:rPr>
          <w:i/>
          <w:color w:val="000000" w:themeColor="text1"/>
          <w:sz w:val="24"/>
        </w:rPr>
        <w:t xml:space="preserve">Danio </w:t>
      </w:r>
      <w:proofErr w:type="spellStart"/>
      <w:r w:rsidRPr="001B6C5C">
        <w:rPr>
          <w:i/>
          <w:color w:val="000000" w:themeColor="text1"/>
          <w:sz w:val="24"/>
        </w:rPr>
        <w:t>rerio</w:t>
      </w:r>
      <w:proofErr w:type="spellEnd"/>
      <w:r w:rsidRPr="001B6C5C">
        <w:rPr>
          <w:color w:val="000000" w:themeColor="text1"/>
          <w:sz w:val="24"/>
        </w:rPr>
        <w:t>) to identifiers in human (</w:t>
      </w:r>
      <w:r w:rsidRPr="001B6C5C">
        <w:rPr>
          <w:i/>
          <w:color w:val="000000" w:themeColor="text1"/>
          <w:sz w:val="24"/>
        </w:rPr>
        <w:t>Homo sapiens</w:t>
      </w:r>
      <w:r w:rsidRPr="001B6C5C">
        <w:rPr>
          <w:color w:val="000000" w:themeColor="text1"/>
          <w:sz w:val="24"/>
        </w:rPr>
        <w:t xml:space="preserve">) </w:t>
      </w:r>
      <w:r w:rsidRPr="001B6C5C">
        <w:rPr>
          <w:noProof/>
          <w:color w:val="000000" w:themeColor="text1"/>
          <w:sz w:val="24"/>
        </w:rPr>
        <w:t>[4]</w:t>
      </w:r>
      <w:r w:rsidRPr="001B6C5C">
        <w:rPr>
          <w:color w:val="000000" w:themeColor="text1"/>
          <w:sz w:val="24"/>
        </w:rPr>
        <w:t>.</w:t>
      </w:r>
    </w:p>
    <w:p w:rsidR="007C626C" w:rsidRPr="001B6C5C" w:rsidRDefault="007C626C" w:rsidP="0013496B">
      <w:pPr>
        <w:spacing w:line="336" w:lineRule="auto"/>
        <w:contextualSpacing/>
        <w:jc w:val="both"/>
        <w:rPr>
          <w:color w:val="000000" w:themeColor="text1"/>
          <w:sz w:val="24"/>
        </w:rPr>
      </w:pPr>
    </w:p>
    <w:p w:rsidR="0013496B" w:rsidRPr="001B6C5C" w:rsidRDefault="0013496B" w:rsidP="0013496B">
      <w:pPr>
        <w:spacing w:line="336" w:lineRule="auto"/>
        <w:contextualSpacing/>
        <w:rPr>
          <w:b/>
          <w:sz w:val="24"/>
        </w:rPr>
      </w:pPr>
      <w:r w:rsidRPr="001B6C5C">
        <w:rPr>
          <w:b/>
          <w:sz w:val="24"/>
        </w:rPr>
        <w:t>References</w:t>
      </w:r>
    </w:p>
    <w:p w:rsidR="0013496B" w:rsidRPr="001B6C5C" w:rsidRDefault="0013496B" w:rsidP="0013496B">
      <w:pPr>
        <w:pStyle w:val="EndNoteBibliography"/>
        <w:adjustRightInd/>
        <w:spacing w:line="336" w:lineRule="auto"/>
        <w:ind w:left="720" w:hanging="720"/>
        <w:contextualSpacing/>
      </w:pPr>
      <w:r w:rsidRPr="001B6C5C">
        <w:t>1.</w:t>
      </w:r>
      <w:r w:rsidRPr="001B6C5C">
        <w:tab/>
      </w:r>
      <w:proofErr w:type="spellStart"/>
      <w:r w:rsidRPr="001B6C5C">
        <w:t>Ansai</w:t>
      </w:r>
      <w:proofErr w:type="spellEnd"/>
      <w:r w:rsidRPr="001B6C5C">
        <w:t xml:space="preserve"> S, Hosokawa H, </w:t>
      </w:r>
      <w:proofErr w:type="spellStart"/>
      <w:r w:rsidRPr="001B6C5C">
        <w:t>Maegawa</w:t>
      </w:r>
      <w:proofErr w:type="spellEnd"/>
      <w:r w:rsidRPr="001B6C5C">
        <w:t xml:space="preserve"> S, Kinoshita M. Chronic fluoxetine treatment induces anxiolytic responses and altered social behaviors in medaka, </w:t>
      </w:r>
      <w:proofErr w:type="spellStart"/>
      <w:r w:rsidRPr="001B6C5C">
        <w:rPr>
          <w:i/>
        </w:rPr>
        <w:t>Oryzias</w:t>
      </w:r>
      <w:proofErr w:type="spellEnd"/>
      <w:r w:rsidRPr="001B6C5C">
        <w:rPr>
          <w:i/>
        </w:rPr>
        <w:t xml:space="preserve"> </w:t>
      </w:r>
      <w:proofErr w:type="spellStart"/>
      <w:r w:rsidRPr="001B6C5C">
        <w:rPr>
          <w:i/>
        </w:rPr>
        <w:t>latipes</w:t>
      </w:r>
      <w:proofErr w:type="spellEnd"/>
      <w:r w:rsidRPr="001B6C5C">
        <w:t xml:space="preserve">. </w:t>
      </w:r>
      <w:proofErr w:type="spellStart"/>
      <w:r w:rsidRPr="001B6C5C">
        <w:t>Behav</w:t>
      </w:r>
      <w:proofErr w:type="spellEnd"/>
      <w:r w:rsidRPr="001B6C5C">
        <w:t xml:space="preserve"> Brain Res. </w:t>
      </w:r>
      <w:proofErr w:type="gramStart"/>
      <w:r w:rsidRPr="001B6C5C">
        <w:t>2016;303:126</w:t>
      </w:r>
      <w:proofErr w:type="gramEnd"/>
      <w:r w:rsidRPr="001B6C5C">
        <w:t>-36.</w:t>
      </w:r>
    </w:p>
    <w:p w:rsidR="0013496B" w:rsidRPr="001B6C5C" w:rsidRDefault="0013496B" w:rsidP="0013496B">
      <w:pPr>
        <w:pStyle w:val="EndNoteBibliography"/>
        <w:adjustRightInd/>
        <w:spacing w:line="336" w:lineRule="auto"/>
        <w:ind w:left="720" w:hanging="720"/>
        <w:contextualSpacing/>
      </w:pPr>
      <w:r w:rsidRPr="001B6C5C">
        <w:t>2.</w:t>
      </w:r>
      <w:r w:rsidRPr="001B6C5C">
        <w:tab/>
        <w:t>Gupta T, Mullins MC. Dissection of organs from the adult zebrafish. J Vis Exp. 2010(37): e1717.</w:t>
      </w:r>
    </w:p>
    <w:p w:rsidR="0013496B" w:rsidRPr="001B6C5C" w:rsidRDefault="0013496B" w:rsidP="0013496B">
      <w:pPr>
        <w:pStyle w:val="EndNoteBibliography"/>
        <w:adjustRightInd/>
        <w:spacing w:line="336" w:lineRule="auto"/>
        <w:ind w:left="720" w:hanging="720"/>
        <w:contextualSpacing/>
      </w:pPr>
      <w:r w:rsidRPr="001B6C5C">
        <w:lastRenderedPageBreak/>
        <w:t>3.</w:t>
      </w:r>
      <w:r w:rsidRPr="001B6C5C">
        <w:tab/>
        <w:t xml:space="preserve">Chen EY, Tan CM, Kou Y, </w:t>
      </w:r>
      <w:proofErr w:type="spellStart"/>
      <w:r w:rsidRPr="001B6C5C">
        <w:t>Duan</w:t>
      </w:r>
      <w:proofErr w:type="spellEnd"/>
      <w:r w:rsidRPr="001B6C5C">
        <w:t xml:space="preserve"> Q, Wang Z, </w:t>
      </w:r>
      <w:proofErr w:type="spellStart"/>
      <w:r w:rsidRPr="001B6C5C">
        <w:t>Meirelles</w:t>
      </w:r>
      <w:proofErr w:type="spellEnd"/>
      <w:r w:rsidRPr="001B6C5C">
        <w:t xml:space="preserve"> GV, et al. </w:t>
      </w:r>
      <w:proofErr w:type="spellStart"/>
      <w:r w:rsidRPr="001B6C5C">
        <w:t>Enrichr</w:t>
      </w:r>
      <w:proofErr w:type="spellEnd"/>
      <w:r w:rsidRPr="001B6C5C">
        <w:t xml:space="preserve">: interactive and collaborative HTML5 gene list enrichment analysis tool. BMC Bioinformatics. </w:t>
      </w:r>
      <w:proofErr w:type="gramStart"/>
      <w:r w:rsidRPr="001B6C5C">
        <w:t>2013;14:128</w:t>
      </w:r>
      <w:proofErr w:type="gramEnd"/>
      <w:r w:rsidRPr="001B6C5C">
        <w:t>.</w:t>
      </w:r>
    </w:p>
    <w:p w:rsidR="0013496B" w:rsidRPr="001B6C5C" w:rsidRDefault="0013496B" w:rsidP="0013496B">
      <w:pPr>
        <w:pStyle w:val="EndNoteBibliography"/>
        <w:adjustRightInd/>
        <w:spacing w:line="336" w:lineRule="auto"/>
        <w:ind w:left="720" w:hanging="720"/>
        <w:contextualSpacing/>
      </w:pPr>
      <w:r w:rsidRPr="001B6C5C">
        <w:t>4.</w:t>
      </w:r>
      <w:r w:rsidRPr="001B6C5C">
        <w:tab/>
        <w:t xml:space="preserve">Kuleshov MV, Diaz JEL, </w:t>
      </w:r>
      <w:proofErr w:type="spellStart"/>
      <w:r w:rsidRPr="001B6C5C">
        <w:t>Flamholz</w:t>
      </w:r>
      <w:proofErr w:type="spellEnd"/>
      <w:r w:rsidRPr="001B6C5C">
        <w:t xml:space="preserve"> ZN, Keenan AB, </w:t>
      </w:r>
      <w:proofErr w:type="spellStart"/>
      <w:r w:rsidRPr="001B6C5C">
        <w:t>Lachmann</w:t>
      </w:r>
      <w:proofErr w:type="spellEnd"/>
      <w:r w:rsidRPr="001B6C5C">
        <w:t xml:space="preserve"> A, </w:t>
      </w:r>
      <w:proofErr w:type="spellStart"/>
      <w:r w:rsidRPr="001B6C5C">
        <w:t>Wojciechowicz</w:t>
      </w:r>
      <w:proofErr w:type="spellEnd"/>
      <w:r w:rsidRPr="001B6C5C">
        <w:t xml:space="preserve"> ML, et al. </w:t>
      </w:r>
      <w:proofErr w:type="spellStart"/>
      <w:r w:rsidRPr="001B6C5C">
        <w:t>modEnrichr</w:t>
      </w:r>
      <w:proofErr w:type="spellEnd"/>
      <w:r w:rsidRPr="001B6C5C">
        <w:t>: a suite of gene set enrichment analysis tools for model organisms. Nucleic Acids Res. 2019;47(W1</w:t>
      </w:r>
      <w:proofErr w:type="gramStart"/>
      <w:r w:rsidRPr="001B6C5C">
        <w:t>):W</w:t>
      </w:r>
      <w:proofErr w:type="gramEnd"/>
      <w:r w:rsidRPr="001B6C5C">
        <w:t>183-90.</w:t>
      </w:r>
    </w:p>
    <w:p w:rsidR="0013496B" w:rsidRPr="001B6C5C" w:rsidRDefault="0013496B" w:rsidP="0013496B">
      <w:pPr>
        <w:pStyle w:val="EndNoteBibliography"/>
        <w:adjustRightInd/>
        <w:spacing w:line="336" w:lineRule="auto"/>
        <w:ind w:left="720" w:hanging="720"/>
        <w:contextualSpacing/>
      </w:pPr>
      <w:r w:rsidRPr="001B6C5C">
        <w:t>5.</w:t>
      </w:r>
      <w:r w:rsidRPr="001B6C5C">
        <w:tab/>
        <w:t xml:space="preserve">Kuleshov MV, Jones MR, Rouillard AD, Fernandez NF, </w:t>
      </w:r>
      <w:proofErr w:type="spellStart"/>
      <w:r w:rsidRPr="001B6C5C">
        <w:t>Duan</w:t>
      </w:r>
      <w:proofErr w:type="spellEnd"/>
      <w:r w:rsidRPr="001B6C5C">
        <w:t xml:space="preserve"> Q, Wang Z, et al. </w:t>
      </w:r>
      <w:proofErr w:type="spellStart"/>
      <w:r w:rsidRPr="001B6C5C">
        <w:t>Enrichr</w:t>
      </w:r>
      <w:proofErr w:type="spellEnd"/>
      <w:r w:rsidRPr="001B6C5C">
        <w:t>: a comprehensive gene set enrichment analysis web server 2016 update. Nucleic Acids Res. 2016;44(W1</w:t>
      </w:r>
      <w:proofErr w:type="gramStart"/>
      <w:r w:rsidRPr="001B6C5C">
        <w:t>):W</w:t>
      </w:r>
      <w:proofErr w:type="gramEnd"/>
      <w:r w:rsidRPr="001B6C5C">
        <w:t>90-7.</w:t>
      </w:r>
    </w:p>
    <w:p w:rsidR="0013496B" w:rsidRPr="001B6C5C" w:rsidRDefault="0013496B" w:rsidP="0013496B">
      <w:pPr>
        <w:pStyle w:val="EndNoteBibliography"/>
        <w:adjustRightInd/>
        <w:spacing w:line="336" w:lineRule="auto"/>
        <w:ind w:left="720" w:hanging="720"/>
        <w:contextualSpacing/>
      </w:pPr>
      <w:r w:rsidRPr="001B6C5C">
        <w:t>6.</w:t>
      </w:r>
      <w:r w:rsidRPr="001B6C5C">
        <w:tab/>
      </w:r>
      <w:proofErr w:type="spellStart"/>
      <w:r w:rsidRPr="001B6C5C">
        <w:t>Warde</w:t>
      </w:r>
      <w:proofErr w:type="spellEnd"/>
      <w:r w:rsidRPr="001B6C5C">
        <w:t xml:space="preserve">-Farley D, Donaldson SL, Comes O, </w:t>
      </w:r>
      <w:proofErr w:type="spellStart"/>
      <w:r w:rsidRPr="001B6C5C">
        <w:t>Zuberi</w:t>
      </w:r>
      <w:proofErr w:type="spellEnd"/>
      <w:r w:rsidRPr="001B6C5C">
        <w:t xml:space="preserve"> K, </w:t>
      </w:r>
      <w:proofErr w:type="spellStart"/>
      <w:r w:rsidRPr="001B6C5C">
        <w:t>Badrawi</w:t>
      </w:r>
      <w:proofErr w:type="spellEnd"/>
      <w:r w:rsidRPr="001B6C5C">
        <w:t xml:space="preserve"> R, Chao P, et al. The </w:t>
      </w:r>
      <w:proofErr w:type="spellStart"/>
      <w:r w:rsidRPr="001B6C5C">
        <w:t>GeneMANIA</w:t>
      </w:r>
      <w:proofErr w:type="spellEnd"/>
      <w:r w:rsidRPr="001B6C5C">
        <w:t xml:space="preserve"> prediction server: biological network integration for gene prioritization and predicting gene function. Nucleic Acids Res. 2010;38(suppl_2</w:t>
      </w:r>
      <w:proofErr w:type="gramStart"/>
      <w:r w:rsidRPr="001B6C5C">
        <w:t>):W</w:t>
      </w:r>
      <w:proofErr w:type="gramEnd"/>
      <w:r w:rsidRPr="001B6C5C">
        <w:t>214-20.</w:t>
      </w:r>
    </w:p>
    <w:p w:rsidR="007C626C" w:rsidRPr="001B6C5C" w:rsidRDefault="007C626C" w:rsidP="0013496B">
      <w:pPr>
        <w:spacing w:line="336" w:lineRule="auto"/>
        <w:contextualSpacing/>
        <w:rPr>
          <w:b/>
          <w:color w:val="000000" w:themeColor="text1"/>
          <w:sz w:val="24"/>
        </w:rPr>
      </w:pPr>
    </w:p>
    <w:p w:rsidR="007C626C" w:rsidRPr="001B6C5C" w:rsidRDefault="007C626C" w:rsidP="0013496B">
      <w:pPr>
        <w:spacing w:line="336" w:lineRule="auto"/>
        <w:contextualSpacing/>
        <w:rPr>
          <w:b/>
          <w:color w:val="000000" w:themeColor="text1"/>
          <w:sz w:val="24"/>
        </w:rPr>
      </w:pPr>
    </w:p>
    <w:p w:rsidR="003045D6" w:rsidRPr="001B6C5C" w:rsidRDefault="001B6C5C" w:rsidP="0013496B">
      <w:pPr>
        <w:spacing w:line="336" w:lineRule="auto"/>
        <w:contextualSpacing/>
        <w:rPr>
          <w:color w:val="000000" w:themeColor="text1"/>
        </w:rPr>
      </w:pPr>
    </w:p>
    <w:sectPr w:rsidR="003045D6" w:rsidRPr="001B6C5C" w:rsidSect="00D80E73">
      <w:headerReference w:type="even" r:id="rId5"/>
      <w:headerReference w:type="default" r:id="rId6"/>
      <w:footerReference w:type="even" r:id="rId7"/>
      <w:footerReference w:type="default" r:id="rId8"/>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Ｐゴシック">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D0" w:rsidRDefault="001B6C5C" w:rsidP="009F7475">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1DD0" w:rsidRDefault="001B6C5C" w:rsidP="009F747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D0" w:rsidRDefault="001B6C5C" w:rsidP="009F7475">
    <w:pPr>
      <w:pStyle w:val="a7"/>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620422792"/>
      <w:docPartObj>
        <w:docPartGallery w:val="Page Numbers (Top of Page)"/>
        <w:docPartUnique/>
      </w:docPartObj>
    </w:sdtPr>
    <w:sdtEndPr>
      <w:rPr>
        <w:rStyle w:val="a9"/>
      </w:rPr>
    </w:sdtEndPr>
    <w:sdtContent>
      <w:p w:rsidR="00810071" w:rsidRDefault="001B6C5C" w:rsidP="001F200C">
        <w:pPr>
          <w:pStyle w:val="af1"/>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810071" w:rsidRDefault="001B6C5C" w:rsidP="00810071">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352525363"/>
      <w:docPartObj>
        <w:docPartGallery w:val="Page Numbers (Top of Page)"/>
        <w:docPartUnique/>
      </w:docPartObj>
    </w:sdtPr>
    <w:sdtEndPr>
      <w:rPr>
        <w:rStyle w:val="a9"/>
      </w:rPr>
    </w:sdtEndPr>
    <w:sdtContent>
      <w:p w:rsidR="00810071" w:rsidRDefault="001B6C5C" w:rsidP="001F200C">
        <w:pPr>
          <w:pStyle w:val="af1"/>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810071" w:rsidRDefault="001B6C5C" w:rsidP="00810071">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2383C"/>
    <w:multiLevelType w:val="hybridMultilevel"/>
    <w:tmpl w:val="2368C024"/>
    <w:lvl w:ilvl="0" w:tplc="A8E62F44">
      <w:start w:val="1"/>
      <w:numFmt w:val="upperLetter"/>
      <w:lvlText w:val="%1."/>
      <w:lvlJc w:val="left"/>
      <w:pPr>
        <w:tabs>
          <w:tab w:val="num" w:pos="720"/>
        </w:tabs>
        <w:ind w:left="720" w:hanging="360"/>
      </w:pPr>
    </w:lvl>
    <w:lvl w:ilvl="1" w:tplc="A40E220A" w:tentative="1">
      <w:start w:val="1"/>
      <w:numFmt w:val="upperLetter"/>
      <w:lvlText w:val="%2."/>
      <w:lvlJc w:val="left"/>
      <w:pPr>
        <w:tabs>
          <w:tab w:val="num" w:pos="1440"/>
        </w:tabs>
        <w:ind w:left="1440" w:hanging="360"/>
      </w:pPr>
    </w:lvl>
    <w:lvl w:ilvl="2" w:tplc="40EE506C" w:tentative="1">
      <w:start w:val="1"/>
      <w:numFmt w:val="upperLetter"/>
      <w:lvlText w:val="%3."/>
      <w:lvlJc w:val="left"/>
      <w:pPr>
        <w:tabs>
          <w:tab w:val="num" w:pos="2160"/>
        </w:tabs>
        <w:ind w:left="2160" w:hanging="360"/>
      </w:pPr>
    </w:lvl>
    <w:lvl w:ilvl="3" w:tplc="8DC8BD56" w:tentative="1">
      <w:start w:val="1"/>
      <w:numFmt w:val="upperLetter"/>
      <w:lvlText w:val="%4."/>
      <w:lvlJc w:val="left"/>
      <w:pPr>
        <w:tabs>
          <w:tab w:val="num" w:pos="2880"/>
        </w:tabs>
        <w:ind w:left="2880" w:hanging="360"/>
      </w:pPr>
    </w:lvl>
    <w:lvl w:ilvl="4" w:tplc="1C5C4166" w:tentative="1">
      <w:start w:val="1"/>
      <w:numFmt w:val="upperLetter"/>
      <w:lvlText w:val="%5."/>
      <w:lvlJc w:val="left"/>
      <w:pPr>
        <w:tabs>
          <w:tab w:val="num" w:pos="3600"/>
        </w:tabs>
        <w:ind w:left="3600" w:hanging="360"/>
      </w:pPr>
    </w:lvl>
    <w:lvl w:ilvl="5" w:tplc="6ED43B3C" w:tentative="1">
      <w:start w:val="1"/>
      <w:numFmt w:val="upperLetter"/>
      <w:lvlText w:val="%6."/>
      <w:lvlJc w:val="left"/>
      <w:pPr>
        <w:tabs>
          <w:tab w:val="num" w:pos="4320"/>
        </w:tabs>
        <w:ind w:left="4320" w:hanging="360"/>
      </w:pPr>
    </w:lvl>
    <w:lvl w:ilvl="6" w:tplc="F65EF478" w:tentative="1">
      <w:start w:val="1"/>
      <w:numFmt w:val="upperLetter"/>
      <w:lvlText w:val="%7."/>
      <w:lvlJc w:val="left"/>
      <w:pPr>
        <w:tabs>
          <w:tab w:val="num" w:pos="5040"/>
        </w:tabs>
        <w:ind w:left="5040" w:hanging="360"/>
      </w:pPr>
    </w:lvl>
    <w:lvl w:ilvl="7" w:tplc="5E928FE0" w:tentative="1">
      <w:start w:val="1"/>
      <w:numFmt w:val="upperLetter"/>
      <w:lvlText w:val="%8."/>
      <w:lvlJc w:val="left"/>
      <w:pPr>
        <w:tabs>
          <w:tab w:val="num" w:pos="5760"/>
        </w:tabs>
        <w:ind w:left="5760" w:hanging="360"/>
      </w:pPr>
    </w:lvl>
    <w:lvl w:ilvl="8" w:tplc="1F486DD0" w:tentative="1">
      <w:start w:val="1"/>
      <w:numFmt w:val="upperLetter"/>
      <w:lvlText w:val="%9."/>
      <w:lvlJc w:val="left"/>
      <w:pPr>
        <w:tabs>
          <w:tab w:val="num" w:pos="6480"/>
        </w:tabs>
        <w:ind w:left="6480" w:hanging="360"/>
      </w:pPr>
    </w:lvl>
  </w:abstractNum>
  <w:abstractNum w:abstractNumId="1" w15:restartNumberingAfterBreak="0">
    <w:nsid w:val="5CF44438"/>
    <w:multiLevelType w:val="hybridMultilevel"/>
    <w:tmpl w:val="8C4E253E"/>
    <w:lvl w:ilvl="0" w:tplc="CDE2DB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0111DF"/>
    <w:multiLevelType w:val="hybridMultilevel"/>
    <w:tmpl w:val="574C94B0"/>
    <w:lvl w:ilvl="0" w:tplc="F83EFC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960"/>
  <w:drawingGridHorizontalSpacing w:val="10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C626C"/>
    <w:rsid w:val="000015B9"/>
    <w:rsid w:val="00002C4A"/>
    <w:rsid w:val="000124E2"/>
    <w:rsid w:val="00025ADD"/>
    <w:rsid w:val="00037028"/>
    <w:rsid w:val="00054A92"/>
    <w:rsid w:val="000D32BB"/>
    <w:rsid w:val="00103169"/>
    <w:rsid w:val="00121883"/>
    <w:rsid w:val="0013496B"/>
    <w:rsid w:val="00151B60"/>
    <w:rsid w:val="00180603"/>
    <w:rsid w:val="00185CCF"/>
    <w:rsid w:val="001B6C5C"/>
    <w:rsid w:val="001C4EDE"/>
    <w:rsid w:val="001D528C"/>
    <w:rsid w:val="001F68FC"/>
    <w:rsid w:val="00227B3E"/>
    <w:rsid w:val="002434D9"/>
    <w:rsid w:val="00270977"/>
    <w:rsid w:val="00273F27"/>
    <w:rsid w:val="002E0702"/>
    <w:rsid w:val="002F42DB"/>
    <w:rsid w:val="002F4B14"/>
    <w:rsid w:val="002F518B"/>
    <w:rsid w:val="00300DDD"/>
    <w:rsid w:val="00314BB6"/>
    <w:rsid w:val="003B49AD"/>
    <w:rsid w:val="003C3541"/>
    <w:rsid w:val="003E2BF6"/>
    <w:rsid w:val="003E7D20"/>
    <w:rsid w:val="00451D9E"/>
    <w:rsid w:val="00453984"/>
    <w:rsid w:val="00471B8A"/>
    <w:rsid w:val="00473F8A"/>
    <w:rsid w:val="004A25D1"/>
    <w:rsid w:val="004A56BC"/>
    <w:rsid w:val="004E7F48"/>
    <w:rsid w:val="004F3223"/>
    <w:rsid w:val="004F5655"/>
    <w:rsid w:val="00502FD5"/>
    <w:rsid w:val="005305F6"/>
    <w:rsid w:val="00543195"/>
    <w:rsid w:val="00554401"/>
    <w:rsid w:val="00576E94"/>
    <w:rsid w:val="005D3F69"/>
    <w:rsid w:val="005E5887"/>
    <w:rsid w:val="00613211"/>
    <w:rsid w:val="00670793"/>
    <w:rsid w:val="00690343"/>
    <w:rsid w:val="006A16BC"/>
    <w:rsid w:val="007041DB"/>
    <w:rsid w:val="007133A4"/>
    <w:rsid w:val="00726206"/>
    <w:rsid w:val="00727577"/>
    <w:rsid w:val="0073158B"/>
    <w:rsid w:val="007516DE"/>
    <w:rsid w:val="007B791A"/>
    <w:rsid w:val="007C3F24"/>
    <w:rsid w:val="007C626C"/>
    <w:rsid w:val="007D6835"/>
    <w:rsid w:val="00872199"/>
    <w:rsid w:val="00873300"/>
    <w:rsid w:val="00891284"/>
    <w:rsid w:val="00896C80"/>
    <w:rsid w:val="008C3125"/>
    <w:rsid w:val="009125F1"/>
    <w:rsid w:val="0092401A"/>
    <w:rsid w:val="00942FB8"/>
    <w:rsid w:val="00967CCD"/>
    <w:rsid w:val="009A21ED"/>
    <w:rsid w:val="009C681C"/>
    <w:rsid w:val="00A21C23"/>
    <w:rsid w:val="00A46102"/>
    <w:rsid w:val="00A95A51"/>
    <w:rsid w:val="00AF7813"/>
    <w:rsid w:val="00B06222"/>
    <w:rsid w:val="00B14C4E"/>
    <w:rsid w:val="00B265A1"/>
    <w:rsid w:val="00B276E5"/>
    <w:rsid w:val="00B35DF0"/>
    <w:rsid w:val="00B51EFE"/>
    <w:rsid w:val="00B602AA"/>
    <w:rsid w:val="00B85143"/>
    <w:rsid w:val="00BA0664"/>
    <w:rsid w:val="00BB07B2"/>
    <w:rsid w:val="00C14BEF"/>
    <w:rsid w:val="00C301DB"/>
    <w:rsid w:val="00C62300"/>
    <w:rsid w:val="00C87358"/>
    <w:rsid w:val="00C92728"/>
    <w:rsid w:val="00CB57E4"/>
    <w:rsid w:val="00CD626B"/>
    <w:rsid w:val="00CE3CEC"/>
    <w:rsid w:val="00D153D4"/>
    <w:rsid w:val="00D462EA"/>
    <w:rsid w:val="00D50E08"/>
    <w:rsid w:val="00D80E73"/>
    <w:rsid w:val="00DC4A97"/>
    <w:rsid w:val="00DD7DE9"/>
    <w:rsid w:val="00E154CD"/>
    <w:rsid w:val="00E3204C"/>
    <w:rsid w:val="00E62AB6"/>
    <w:rsid w:val="00E87CDB"/>
    <w:rsid w:val="00E90028"/>
    <w:rsid w:val="00E93219"/>
    <w:rsid w:val="00EF73A7"/>
    <w:rsid w:val="00F50651"/>
    <w:rsid w:val="00F65FF0"/>
    <w:rsid w:val="00F8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84DD88"/>
  <w14:defaultImageDpi w14:val="32767"/>
  <w15:chartTrackingRefBased/>
  <w15:docId w15:val="{BF8CDF3A-D332-604F-A8C1-64397136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C626C"/>
    <w:rPr>
      <w:rFonts w:ascii="Times New Roman" w:hAnsi="Times New Roman" w:cs="Times New Roman"/>
      <w:kern w:val="0"/>
      <w:sz w:val="20"/>
    </w:rPr>
  </w:style>
  <w:style w:type="character" w:default="1" w:styleId="a0">
    <w:name w:val="Default Paragraph Font"/>
    <w:uiPriority w:val="1"/>
    <w:semiHidden/>
    <w:unhideWhenUsed/>
    <w:rsid w:val="007C626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C626C"/>
  </w:style>
  <w:style w:type="character" w:styleId="a3">
    <w:name w:val="Hyperlink"/>
    <w:uiPriority w:val="99"/>
    <w:rsid w:val="007C626C"/>
  </w:style>
  <w:style w:type="paragraph" w:customStyle="1" w:styleId="EndNoteBibliography">
    <w:name w:val="EndNote Bibliography"/>
    <w:basedOn w:val="a"/>
    <w:rsid w:val="007C626C"/>
    <w:pPr>
      <w:autoSpaceDE w:val="0"/>
      <w:autoSpaceDN w:val="0"/>
      <w:adjustRightInd w:val="0"/>
      <w:spacing w:line="480" w:lineRule="auto"/>
      <w:jc w:val="both"/>
    </w:pPr>
    <w:rPr>
      <w:rFonts w:eastAsia="ＭＳ 明朝"/>
      <w:sz w:val="24"/>
      <w:szCs w:val="20"/>
    </w:rPr>
  </w:style>
  <w:style w:type="paragraph" w:styleId="a4">
    <w:name w:val="List Paragraph"/>
    <w:basedOn w:val="a"/>
    <w:uiPriority w:val="34"/>
    <w:qFormat/>
    <w:rsid w:val="007C626C"/>
    <w:pPr>
      <w:widowControl w:val="0"/>
      <w:ind w:leftChars="400" w:left="960"/>
      <w:jc w:val="both"/>
    </w:pPr>
    <w:rPr>
      <w:rFonts w:cstheme="minorBidi"/>
      <w:kern w:val="2"/>
      <w:szCs w:val="20"/>
    </w:rPr>
  </w:style>
  <w:style w:type="character" w:styleId="a5">
    <w:name w:val="line number"/>
    <w:basedOn w:val="a0"/>
    <w:uiPriority w:val="99"/>
    <w:semiHidden/>
    <w:unhideWhenUsed/>
    <w:rsid w:val="007C626C"/>
  </w:style>
  <w:style w:type="character" w:styleId="a6">
    <w:name w:val="FollowedHyperlink"/>
    <w:basedOn w:val="a0"/>
    <w:uiPriority w:val="99"/>
    <w:semiHidden/>
    <w:unhideWhenUsed/>
    <w:rsid w:val="007C626C"/>
    <w:rPr>
      <w:color w:val="954F72" w:themeColor="followedHyperlink"/>
      <w:u w:val="single"/>
    </w:rPr>
  </w:style>
  <w:style w:type="paragraph" w:styleId="a7">
    <w:name w:val="footer"/>
    <w:basedOn w:val="a"/>
    <w:link w:val="a8"/>
    <w:uiPriority w:val="99"/>
    <w:unhideWhenUsed/>
    <w:rsid w:val="007C626C"/>
    <w:pPr>
      <w:tabs>
        <w:tab w:val="center" w:pos="4252"/>
        <w:tab w:val="right" w:pos="8504"/>
      </w:tabs>
      <w:snapToGrid w:val="0"/>
    </w:pPr>
  </w:style>
  <w:style w:type="character" w:customStyle="1" w:styleId="a8">
    <w:name w:val="フッター (文字)"/>
    <w:basedOn w:val="a0"/>
    <w:link w:val="a7"/>
    <w:uiPriority w:val="99"/>
    <w:rsid w:val="007C626C"/>
    <w:rPr>
      <w:rFonts w:ascii="Times New Roman" w:hAnsi="Times New Roman" w:cs="Times New Roman"/>
      <w:kern w:val="0"/>
      <w:sz w:val="20"/>
    </w:rPr>
  </w:style>
  <w:style w:type="character" w:styleId="a9">
    <w:name w:val="page number"/>
    <w:basedOn w:val="a0"/>
    <w:uiPriority w:val="99"/>
    <w:semiHidden/>
    <w:unhideWhenUsed/>
    <w:rsid w:val="007C626C"/>
  </w:style>
  <w:style w:type="paragraph" w:customStyle="1" w:styleId="EndNoteBibliographyTitle">
    <w:name w:val="EndNote Bibliography Title"/>
    <w:basedOn w:val="a"/>
    <w:rsid w:val="007C626C"/>
    <w:pPr>
      <w:jc w:val="center"/>
    </w:pPr>
    <w:rPr>
      <w:sz w:val="24"/>
    </w:rPr>
  </w:style>
  <w:style w:type="character" w:customStyle="1" w:styleId="UnresolvedMention1">
    <w:name w:val="Unresolved Mention1"/>
    <w:basedOn w:val="a0"/>
    <w:uiPriority w:val="99"/>
    <w:rsid w:val="007C626C"/>
    <w:rPr>
      <w:color w:val="808080"/>
      <w:shd w:val="clear" w:color="auto" w:fill="E6E6E6"/>
    </w:rPr>
  </w:style>
  <w:style w:type="paragraph" w:styleId="aa">
    <w:name w:val="Balloon Text"/>
    <w:basedOn w:val="a"/>
    <w:link w:val="ab"/>
    <w:uiPriority w:val="99"/>
    <w:semiHidden/>
    <w:unhideWhenUsed/>
    <w:rsid w:val="007C626C"/>
    <w:rPr>
      <w:rFonts w:ascii="Lucida Grande" w:hAnsi="Lucida Grande"/>
      <w:sz w:val="18"/>
      <w:szCs w:val="18"/>
    </w:rPr>
  </w:style>
  <w:style w:type="character" w:customStyle="1" w:styleId="ab">
    <w:name w:val="吹き出し (文字)"/>
    <w:basedOn w:val="a0"/>
    <w:link w:val="aa"/>
    <w:uiPriority w:val="99"/>
    <w:semiHidden/>
    <w:rsid w:val="007C626C"/>
    <w:rPr>
      <w:rFonts w:ascii="Lucida Grande" w:hAnsi="Lucida Grande" w:cs="Times New Roman"/>
      <w:kern w:val="0"/>
      <w:sz w:val="18"/>
      <w:szCs w:val="18"/>
    </w:rPr>
  </w:style>
  <w:style w:type="character" w:styleId="ac">
    <w:name w:val="annotation reference"/>
    <w:basedOn w:val="a0"/>
    <w:uiPriority w:val="99"/>
    <w:semiHidden/>
    <w:unhideWhenUsed/>
    <w:rsid w:val="007C626C"/>
    <w:rPr>
      <w:sz w:val="18"/>
      <w:szCs w:val="18"/>
    </w:rPr>
  </w:style>
  <w:style w:type="paragraph" w:styleId="ad">
    <w:name w:val="annotation text"/>
    <w:basedOn w:val="a"/>
    <w:link w:val="ae"/>
    <w:uiPriority w:val="99"/>
    <w:semiHidden/>
    <w:unhideWhenUsed/>
    <w:rsid w:val="007C626C"/>
  </w:style>
  <w:style w:type="character" w:customStyle="1" w:styleId="ae">
    <w:name w:val="コメント文字列 (文字)"/>
    <w:basedOn w:val="a0"/>
    <w:link w:val="ad"/>
    <w:uiPriority w:val="99"/>
    <w:semiHidden/>
    <w:rsid w:val="007C626C"/>
    <w:rPr>
      <w:rFonts w:ascii="Times New Roman" w:hAnsi="Times New Roman" w:cs="Times New Roman"/>
      <w:kern w:val="0"/>
      <w:sz w:val="20"/>
    </w:rPr>
  </w:style>
  <w:style w:type="paragraph" w:styleId="af">
    <w:name w:val="annotation subject"/>
    <w:basedOn w:val="ad"/>
    <w:next w:val="ad"/>
    <w:link w:val="af0"/>
    <w:uiPriority w:val="99"/>
    <w:semiHidden/>
    <w:unhideWhenUsed/>
    <w:rsid w:val="007C626C"/>
    <w:rPr>
      <w:b/>
      <w:bCs/>
      <w:szCs w:val="20"/>
    </w:rPr>
  </w:style>
  <w:style w:type="character" w:customStyle="1" w:styleId="af0">
    <w:name w:val="コメント内容 (文字)"/>
    <w:basedOn w:val="ae"/>
    <w:link w:val="af"/>
    <w:uiPriority w:val="99"/>
    <w:semiHidden/>
    <w:rsid w:val="007C626C"/>
    <w:rPr>
      <w:rFonts w:ascii="Times New Roman" w:hAnsi="Times New Roman" w:cs="Times New Roman"/>
      <w:b/>
      <w:bCs/>
      <w:kern w:val="0"/>
      <w:sz w:val="20"/>
      <w:szCs w:val="20"/>
    </w:rPr>
  </w:style>
  <w:style w:type="paragraph" w:styleId="af1">
    <w:name w:val="header"/>
    <w:basedOn w:val="a"/>
    <w:link w:val="af2"/>
    <w:uiPriority w:val="99"/>
    <w:unhideWhenUsed/>
    <w:rsid w:val="007C626C"/>
    <w:pPr>
      <w:tabs>
        <w:tab w:val="center" w:pos="4513"/>
        <w:tab w:val="right" w:pos="9026"/>
      </w:tabs>
    </w:pPr>
  </w:style>
  <w:style w:type="character" w:customStyle="1" w:styleId="af2">
    <w:name w:val="ヘッダー (文字)"/>
    <w:basedOn w:val="a0"/>
    <w:link w:val="af1"/>
    <w:uiPriority w:val="99"/>
    <w:rsid w:val="007C626C"/>
    <w:rPr>
      <w:rFonts w:ascii="Times New Roman" w:hAnsi="Times New Roman" w:cs="Times New Roman"/>
      <w:kern w:val="0"/>
      <w:sz w:val="20"/>
    </w:rPr>
  </w:style>
  <w:style w:type="paragraph" w:styleId="af3">
    <w:name w:val="Revision"/>
    <w:hidden/>
    <w:uiPriority w:val="99"/>
    <w:semiHidden/>
    <w:rsid w:val="007C626C"/>
    <w:rPr>
      <w:rFonts w:ascii="Times New Roman" w:hAnsi="Times New Roman" w:cs="Times New Roman"/>
      <w:kern w:val="0"/>
    </w:rPr>
  </w:style>
  <w:style w:type="paragraph" w:styleId="Web">
    <w:name w:val="Normal (Web)"/>
    <w:basedOn w:val="a"/>
    <w:uiPriority w:val="99"/>
    <w:semiHidden/>
    <w:unhideWhenUsed/>
    <w:rsid w:val="007C626C"/>
    <w:pPr>
      <w:spacing w:before="100" w:beforeAutospacing="1" w:after="100" w:afterAutospacing="1"/>
    </w:pPr>
    <w:rPr>
      <w:rFonts w:ascii="ＭＳ Ｐゴシック" w:eastAsia="ＭＳ Ｐゴシック" w:hAnsi="ＭＳ Ｐゴシック" w:cs="ＭＳ Ｐゴシック"/>
      <w:sz w:val="24"/>
    </w:rPr>
  </w:style>
  <w:style w:type="character" w:styleId="af4">
    <w:name w:val="Unresolved Mention"/>
    <w:basedOn w:val="a0"/>
    <w:uiPriority w:val="99"/>
    <w:rsid w:val="007C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941</Words>
  <Characters>5085</Characters>
  <Application>Microsoft Office Word</Application>
  <DocSecurity>0</DocSecurity>
  <Lines>86</Lines>
  <Paragraphs>26</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shiho</dc:creator>
  <cp:keywords/>
  <dc:description/>
  <cp:lastModifiedBy>suzuki shiho</cp:lastModifiedBy>
  <cp:revision>4</cp:revision>
  <cp:lastPrinted>2020-04-10T08:40:00Z</cp:lastPrinted>
  <dcterms:created xsi:type="dcterms:W3CDTF">2020-04-10T08:34:00Z</dcterms:created>
  <dcterms:modified xsi:type="dcterms:W3CDTF">2020-04-10T08:40:00Z</dcterms:modified>
</cp:coreProperties>
</file>