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26" w:rsidRPr="00350D05" w:rsidRDefault="00420BAB" w:rsidP="00350D05">
      <w:pPr>
        <w:pStyle w:val="NoSpacing"/>
        <w:spacing w:line="480" w:lineRule="auto"/>
        <w:rPr>
          <w:b/>
        </w:rPr>
      </w:pPr>
      <w:bookmarkStart w:id="0" w:name="_GoBack"/>
      <w:r>
        <w:rPr>
          <w:b/>
        </w:rPr>
        <w:t>Additional file</w:t>
      </w:r>
      <w:r w:rsidR="00350D05">
        <w:rPr>
          <w:b/>
        </w:rPr>
        <w:t xml:space="preserve"> </w:t>
      </w:r>
      <w:r>
        <w:rPr>
          <w:b/>
        </w:rPr>
        <w:t>T</w:t>
      </w:r>
      <w:r w:rsidRPr="00D64FBB">
        <w:rPr>
          <w:b/>
        </w:rPr>
        <w:t xml:space="preserve">able </w:t>
      </w:r>
      <w:r w:rsidR="00CF723A">
        <w:rPr>
          <w:b/>
        </w:rPr>
        <w:t>S</w:t>
      </w:r>
      <w:r w:rsidR="00350D05" w:rsidRPr="00D64FBB">
        <w:rPr>
          <w:b/>
        </w:rPr>
        <w:t>1. Baseline characteristics of patients</w:t>
      </w:r>
      <w:r w:rsidR="009E6585">
        <w:rPr>
          <w:b/>
        </w:rPr>
        <w:t xml:space="preserve"> in the RPV, EFV and boosted PI groups 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1885"/>
        <w:gridCol w:w="1990"/>
        <w:gridCol w:w="2181"/>
      </w:tblGrid>
      <w:tr w:rsidR="00350D05" w:rsidRPr="000A6C01" w:rsidTr="00C23416">
        <w:tc>
          <w:tcPr>
            <w:tcW w:w="2960" w:type="dxa"/>
          </w:tcPr>
          <w:p w:rsidR="00350D05" w:rsidRPr="000A6C01" w:rsidRDefault="00350D05" w:rsidP="00C23416">
            <w:pPr>
              <w:pStyle w:val="NoSpacing"/>
              <w:spacing w:line="480" w:lineRule="auto"/>
            </w:pPr>
          </w:p>
        </w:tc>
        <w:tc>
          <w:tcPr>
            <w:tcW w:w="1885" w:type="dxa"/>
          </w:tcPr>
          <w:p w:rsidR="00350D05" w:rsidRPr="000A6C01" w:rsidRDefault="00350D05" w:rsidP="00C23416">
            <w:pPr>
              <w:pStyle w:val="NoSpacing"/>
              <w:spacing w:line="480" w:lineRule="auto"/>
            </w:pPr>
            <w:r w:rsidRPr="000A6C01">
              <w:t>ABC/3TC/RPV</w:t>
            </w:r>
            <w:r>
              <w:t xml:space="preserve"> (n=66) (%)</w:t>
            </w:r>
          </w:p>
        </w:tc>
        <w:tc>
          <w:tcPr>
            <w:tcW w:w="1990" w:type="dxa"/>
          </w:tcPr>
          <w:p w:rsidR="00350D05" w:rsidRDefault="00350D05" w:rsidP="00C23416">
            <w:pPr>
              <w:pStyle w:val="NoSpacing"/>
              <w:spacing w:line="480" w:lineRule="auto"/>
            </w:pPr>
            <w:r w:rsidRPr="000A6C01">
              <w:t>ABC/3TC/EFV</w:t>
            </w:r>
            <w:r>
              <w:t xml:space="preserve"> </w:t>
            </w:r>
          </w:p>
          <w:p w:rsidR="00350D05" w:rsidRPr="000A6C01" w:rsidRDefault="00350D05" w:rsidP="00C23416">
            <w:pPr>
              <w:pStyle w:val="NoSpacing"/>
              <w:spacing w:line="480" w:lineRule="auto"/>
            </w:pPr>
            <w:r>
              <w:t>(n=89) (%)</w:t>
            </w:r>
          </w:p>
        </w:tc>
        <w:tc>
          <w:tcPr>
            <w:tcW w:w="2181" w:type="dxa"/>
          </w:tcPr>
          <w:p w:rsidR="00350D05" w:rsidRPr="000A6C01" w:rsidRDefault="00350D05" w:rsidP="00C23416">
            <w:pPr>
              <w:pStyle w:val="NoSpacing"/>
              <w:spacing w:line="480" w:lineRule="auto"/>
            </w:pPr>
            <w:r w:rsidRPr="000A6C01">
              <w:t>ABC/3TC</w:t>
            </w:r>
            <w:r>
              <w:t>/boosted PIs (n=15) (%)</w:t>
            </w:r>
          </w:p>
        </w:tc>
      </w:tr>
      <w:tr w:rsidR="00350D05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>Age</w:t>
            </w:r>
            <w:r>
              <w:t xml:space="preserve">, years, </w:t>
            </w:r>
            <w:r w:rsidRPr="00F10051">
              <w:t>median</w:t>
            </w:r>
            <w:r>
              <w:t xml:space="preserve"> (IQR)</w:t>
            </w:r>
          </w:p>
        </w:tc>
        <w:tc>
          <w:tcPr>
            <w:tcW w:w="1885" w:type="dxa"/>
          </w:tcPr>
          <w:p w:rsidR="00350D05" w:rsidRPr="007C4343" w:rsidRDefault="00350D05" w:rsidP="00C23416">
            <w:pPr>
              <w:pStyle w:val="NoSpacing"/>
              <w:spacing w:line="480" w:lineRule="auto"/>
            </w:pPr>
            <w:r w:rsidRPr="007C4343">
              <w:t>35 (28-46)</w:t>
            </w:r>
          </w:p>
        </w:tc>
        <w:tc>
          <w:tcPr>
            <w:tcW w:w="1990" w:type="dxa"/>
          </w:tcPr>
          <w:p w:rsidR="00350D05" w:rsidRPr="007C4343" w:rsidRDefault="00350D05" w:rsidP="00C23416">
            <w:pPr>
              <w:pStyle w:val="NoSpacing"/>
              <w:spacing w:line="480" w:lineRule="auto"/>
            </w:pPr>
            <w:r>
              <w:t>39 (30-49)</w:t>
            </w:r>
          </w:p>
        </w:tc>
        <w:tc>
          <w:tcPr>
            <w:tcW w:w="2181" w:type="dxa"/>
          </w:tcPr>
          <w:p w:rsidR="00350D05" w:rsidRDefault="00350D05" w:rsidP="00C23416">
            <w:pPr>
              <w:pStyle w:val="NoSpacing"/>
              <w:spacing w:line="480" w:lineRule="auto"/>
            </w:pPr>
            <w:r>
              <w:t>35 (28-47)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Male</w:t>
            </w:r>
          </w:p>
        </w:tc>
        <w:tc>
          <w:tcPr>
            <w:tcW w:w="1885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63 (95.4)</w:t>
            </w:r>
          </w:p>
        </w:tc>
        <w:tc>
          <w:tcPr>
            <w:tcW w:w="199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81 (91.0)</w:t>
            </w:r>
          </w:p>
        </w:tc>
        <w:tc>
          <w:tcPr>
            <w:tcW w:w="2181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14 (93.3)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>Race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Chinese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Malay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Indian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Others</w:t>
            </w:r>
          </w:p>
        </w:tc>
        <w:tc>
          <w:tcPr>
            <w:tcW w:w="1885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45 (68.2)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16 (24.2)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5 (7.5)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  <w:tc>
          <w:tcPr>
            <w:tcW w:w="1990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62 (69.7)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18 (20.2)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5 (5.6)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4 (4.5)</w:t>
            </w:r>
          </w:p>
        </w:tc>
        <w:tc>
          <w:tcPr>
            <w:tcW w:w="2181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11 (73.3)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3 (20.0)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1 (6.7)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>HIV transmission route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</w:t>
            </w:r>
            <w:r>
              <w:t>Homosexual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 w:rsidRPr="00F10051">
              <w:t xml:space="preserve">  Heterosexual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 xml:space="preserve">  Bisexual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 xml:space="preserve">  </w:t>
            </w:r>
            <w:r w:rsidRPr="00F10051">
              <w:t>IVDU</w:t>
            </w:r>
            <w:r>
              <w:t xml:space="preserve"> + Sexual contact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Others</w:t>
            </w:r>
          </w:p>
        </w:tc>
        <w:tc>
          <w:tcPr>
            <w:tcW w:w="1885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42 (63.6)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12 (18.2)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8 (12.1)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 (3.0)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2 (3.0)</w:t>
            </w:r>
          </w:p>
        </w:tc>
        <w:tc>
          <w:tcPr>
            <w:tcW w:w="1990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45 (50.6)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26 (29.2)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16 (18.0)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 (1.1)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1 (1.1)</w:t>
            </w:r>
          </w:p>
        </w:tc>
        <w:tc>
          <w:tcPr>
            <w:tcW w:w="2181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9 (60.0)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4 (26.7)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 (13.3)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Baseline viral load (copies/ml) 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&lt;10,000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10,000 – 50,000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&gt;50,000</w:t>
            </w:r>
          </w:p>
        </w:tc>
        <w:tc>
          <w:tcPr>
            <w:tcW w:w="1885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21 (31.8)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34 (51.5)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11 (16.7)</w:t>
            </w:r>
          </w:p>
        </w:tc>
        <w:tc>
          <w:tcPr>
            <w:tcW w:w="1990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18 (20.2)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54 (60.7)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17 (19.1)</w:t>
            </w:r>
          </w:p>
        </w:tc>
        <w:tc>
          <w:tcPr>
            <w:tcW w:w="2181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6 (40.0)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4 (26.7)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5 (33.3)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>Baseline CD4 count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 xml:space="preserve">  </w:t>
            </w:r>
            <w:r w:rsidRPr="00F10051">
              <w:t>200-350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&gt;350-500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&gt;500</w:t>
            </w:r>
          </w:p>
        </w:tc>
        <w:tc>
          <w:tcPr>
            <w:tcW w:w="1885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21 (31.8)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21 (31.8)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24 (36.4)</w:t>
            </w:r>
          </w:p>
        </w:tc>
        <w:tc>
          <w:tcPr>
            <w:tcW w:w="1990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38 (42.7)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26 (29.2)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25 (28.1)</w:t>
            </w:r>
          </w:p>
        </w:tc>
        <w:tc>
          <w:tcPr>
            <w:tcW w:w="2181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6 (40.0)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4 (26.7)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5 (33.3)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AIDS defining illness </w:t>
            </w:r>
          </w:p>
        </w:tc>
        <w:tc>
          <w:tcPr>
            <w:tcW w:w="1885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  <w:tc>
          <w:tcPr>
            <w:tcW w:w="199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  <w:tc>
          <w:tcPr>
            <w:tcW w:w="2181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lastRenderedPageBreak/>
              <w:t xml:space="preserve">HCV co-infection </w:t>
            </w:r>
          </w:p>
        </w:tc>
        <w:tc>
          <w:tcPr>
            <w:tcW w:w="1885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2 (3.0)</w:t>
            </w:r>
          </w:p>
        </w:tc>
        <w:tc>
          <w:tcPr>
            <w:tcW w:w="199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3 (3.4)</w:t>
            </w:r>
          </w:p>
        </w:tc>
        <w:tc>
          <w:tcPr>
            <w:tcW w:w="2181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Genotype test at diagnosis </w:t>
            </w:r>
          </w:p>
        </w:tc>
        <w:tc>
          <w:tcPr>
            <w:tcW w:w="1885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29 (44.0)</w:t>
            </w:r>
          </w:p>
        </w:tc>
        <w:tc>
          <w:tcPr>
            <w:tcW w:w="199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46 (51.7)</w:t>
            </w:r>
          </w:p>
        </w:tc>
        <w:tc>
          <w:tcPr>
            <w:tcW w:w="2181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9 (60.0)</w:t>
            </w:r>
          </w:p>
        </w:tc>
      </w:tr>
      <w:tr w:rsidR="00350D05" w:rsidRPr="007C4343" w:rsidTr="00C23416">
        <w:tc>
          <w:tcPr>
            <w:tcW w:w="2960" w:type="dxa"/>
          </w:tcPr>
          <w:p w:rsidR="00350D05" w:rsidRPr="007C4343" w:rsidRDefault="00350D05" w:rsidP="00C23416">
            <w:pPr>
              <w:pStyle w:val="NoSpacing"/>
              <w:spacing w:line="480" w:lineRule="auto"/>
            </w:pPr>
            <w:r w:rsidRPr="007C4343">
              <w:t>Time from diagnosis to treatment, days, median (IQR)</w:t>
            </w:r>
          </w:p>
        </w:tc>
        <w:tc>
          <w:tcPr>
            <w:tcW w:w="1885" w:type="dxa"/>
          </w:tcPr>
          <w:p w:rsidR="00350D05" w:rsidRPr="007C4343" w:rsidRDefault="00350D05" w:rsidP="00C23416">
            <w:pPr>
              <w:pStyle w:val="NoSpacing"/>
              <w:spacing w:line="480" w:lineRule="auto"/>
            </w:pPr>
            <w:r w:rsidRPr="007C4343">
              <w:t>67 (45-215)</w:t>
            </w:r>
          </w:p>
        </w:tc>
        <w:tc>
          <w:tcPr>
            <w:tcW w:w="1990" w:type="dxa"/>
          </w:tcPr>
          <w:p w:rsidR="00350D05" w:rsidRPr="007C4343" w:rsidRDefault="00350D05" w:rsidP="00C23416">
            <w:pPr>
              <w:pStyle w:val="NoSpacing"/>
              <w:spacing w:line="480" w:lineRule="auto"/>
            </w:pPr>
            <w:r>
              <w:t>48 (85-448)</w:t>
            </w:r>
          </w:p>
        </w:tc>
        <w:tc>
          <w:tcPr>
            <w:tcW w:w="2181" w:type="dxa"/>
          </w:tcPr>
          <w:p w:rsidR="00350D05" w:rsidRPr="007C4343" w:rsidRDefault="00350D05" w:rsidP="00C23416">
            <w:pPr>
              <w:pStyle w:val="NoSpacing"/>
              <w:spacing w:line="480" w:lineRule="auto"/>
            </w:pPr>
            <w:r>
              <w:t>33 (73-206)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>HLA B*5701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</w:t>
            </w:r>
            <w:r>
              <w:t>Positive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 w:rsidRPr="00F10051">
              <w:t xml:space="preserve"> </w:t>
            </w:r>
            <w:r>
              <w:t xml:space="preserve"> Negative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 xml:space="preserve">  Not done</w:t>
            </w:r>
          </w:p>
        </w:tc>
        <w:tc>
          <w:tcPr>
            <w:tcW w:w="1885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61 (92.4)</w:t>
            </w:r>
          </w:p>
          <w:p w:rsidR="00350D05" w:rsidRPr="00D67603" w:rsidRDefault="00350D05" w:rsidP="00C23416">
            <w:pPr>
              <w:pStyle w:val="NoSpacing"/>
              <w:spacing w:line="480" w:lineRule="auto"/>
            </w:pPr>
            <w:r>
              <w:t>5 (7.6)</w:t>
            </w:r>
          </w:p>
        </w:tc>
        <w:tc>
          <w:tcPr>
            <w:tcW w:w="1990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 (1.1)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52 (58.4)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36 (40.4)</w:t>
            </w:r>
          </w:p>
        </w:tc>
        <w:tc>
          <w:tcPr>
            <w:tcW w:w="2181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13 (86.7)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2 (13.3)</w:t>
            </w:r>
          </w:p>
        </w:tc>
      </w:tr>
      <w:tr w:rsidR="00350D05" w:rsidRPr="00F10051" w:rsidTr="00C23416">
        <w:tc>
          <w:tcPr>
            <w:tcW w:w="2960" w:type="dxa"/>
          </w:tcPr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>Comorbidities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Diabetes mellitus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Hypertension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Hyperlipidemia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IHD/CAD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Congestive cardiac failure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Chronic liver disease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Chronic kidney disease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Cancer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CVA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 w:rsidRPr="00F10051">
              <w:t xml:space="preserve">  Osteoporosis</w:t>
            </w:r>
          </w:p>
        </w:tc>
        <w:tc>
          <w:tcPr>
            <w:tcW w:w="1885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5 (7.5)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7 (10.6)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5 (7.6)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 (1.5)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  <w:tc>
          <w:tcPr>
            <w:tcW w:w="1990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5 (5.6)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9 (10.1)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9 (10.1)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 (2.2)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2 (2.2)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 (1.1)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  <w:tc>
          <w:tcPr>
            <w:tcW w:w="2181" w:type="dxa"/>
          </w:tcPr>
          <w:p w:rsidR="00350D05" w:rsidRDefault="00350D05" w:rsidP="00C23416">
            <w:pPr>
              <w:pStyle w:val="NoSpacing"/>
              <w:spacing w:line="480" w:lineRule="auto"/>
            </w:pP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 (6.7)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1 (6.7)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  <w:p w:rsidR="00350D05" w:rsidRPr="00F10051" w:rsidRDefault="00350D05" w:rsidP="00C23416">
            <w:pPr>
              <w:pStyle w:val="NoSpacing"/>
              <w:spacing w:line="480" w:lineRule="auto"/>
            </w:pPr>
            <w:r>
              <w:t>0 (0)</w:t>
            </w:r>
          </w:p>
        </w:tc>
      </w:tr>
    </w:tbl>
    <w:p w:rsidR="00350D05" w:rsidRDefault="00350D05"/>
    <w:p w:rsidR="00350D05" w:rsidRDefault="00350D05" w:rsidP="00350D05">
      <w:pPr>
        <w:spacing w:line="480" w:lineRule="auto"/>
      </w:pPr>
      <w:r>
        <w:t xml:space="preserve">ABC: Abacavir; 3TC: Lamivudine; RPV: Rilpivirine; IQR: Interquartile Range; IVDU: Intravenous Drug Use; AIDS: Acquired Immunodeficiency Syndrome; HCV: Hepatitis C Virus; IHD: Ischaemic Heart Disease; CAD: Coronary Artery Disease; CVA: Cerebrovascular Accident </w:t>
      </w:r>
    </w:p>
    <w:p w:rsidR="00350D05" w:rsidRDefault="00350D05"/>
    <w:sectPr w:rsidR="00350D05" w:rsidSect="003C6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5C" w:rsidRDefault="008F165C" w:rsidP="00350D05">
      <w:pPr>
        <w:spacing w:after="0" w:line="240" w:lineRule="auto"/>
      </w:pPr>
      <w:r>
        <w:separator/>
      </w:r>
    </w:p>
  </w:endnote>
  <w:endnote w:type="continuationSeparator" w:id="0">
    <w:p w:rsidR="008F165C" w:rsidRDefault="008F165C" w:rsidP="0035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5C" w:rsidRDefault="008F165C" w:rsidP="00350D05">
      <w:pPr>
        <w:spacing w:after="0" w:line="240" w:lineRule="auto"/>
      </w:pPr>
      <w:r>
        <w:separator/>
      </w:r>
    </w:p>
  </w:footnote>
  <w:footnote w:type="continuationSeparator" w:id="0">
    <w:p w:rsidR="008F165C" w:rsidRDefault="008F165C" w:rsidP="0035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0C1"/>
    <w:rsid w:val="00163E11"/>
    <w:rsid w:val="00210F26"/>
    <w:rsid w:val="002645F2"/>
    <w:rsid w:val="002B4BB9"/>
    <w:rsid w:val="003373E7"/>
    <w:rsid w:val="00350D05"/>
    <w:rsid w:val="003C64C9"/>
    <w:rsid w:val="003E6F78"/>
    <w:rsid w:val="00420BAB"/>
    <w:rsid w:val="004501CE"/>
    <w:rsid w:val="005B73E4"/>
    <w:rsid w:val="00614301"/>
    <w:rsid w:val="00745C21"/>
    <w:rsid w:val="008D48B5"/>
    <w:rsid w:val="008F165C"/>
    <w:rsid w:val="009120D8"/>
    <w:rsid w:val="0091278E"/>
    <w:rsid w:val="00981497"/>
    <w:rsid w:val="009C41B6"/>
    <w:rsid w:val="009E6585"/>
    <w:rsid w:val="00A674DB"/>
    <w:rsid w:val="00C17827"/>
    <w:rsid w:val="00CF723A"/>
    <w:rsid w:val="00D023D1"/>
    <w:rsid w:val="00EB61A0"/>
    <w:rsid w:val="00F800C1"/>
    <w:rsid w:val="00FC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C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00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97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05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ho</dc:creator>
  <cp:keywords/>
  <dc:description/>
  <cp:lastModifiedBy>0016236</cp:lastModifiedBy>
  <cp:revision>16</cp:revision>
  <dcterms:created xsi:type="dcterms:W3CDTF">2020-04-11T01:43:00Z</dcterms:created>
  <dcterms:modified xsi:type="dcterms:W3CDTF">2020-05-06T06:21:00Z</dcterms:modified>
</cp:coreProperties>
</file>