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4B" w:rsidRPr="002521BC" w:rsidRDefault="005D594B" w:rsidP="005D594B">
      <w:pPr>
        <w:spacing w:after="0" w:line="480" w:lineRule="auto"/>
        <w:jc w:val="center"/>
        <w:rPr>
          <w:rFonts w:ascii="Times New Roman" w:hAnsi="Times New Roman"/>
        </w:rPr>
      </w:pPr>
      <w:bookmarkStart w:id="0" w:name="_GoBack"/>
      <w:proofErr w:type="gramStart"/>
      <w:r>
        <w:rPr>
          <w:rFonts w:ascii="Times New Roman" w:hAnsi="Times New Roman"/>
        </w:rPr>
        <w:t>Additional file 1.</w:t>
      </w:r>
      <w:proofErr w:type="gramEnd"/>
      <w:r>
        <w:rPr>
          <w:rFonts w:ascii="Times New Roman" w:hAnsi="Times New Roman"/>
        </w:rPr>
        <w:t xml:space="preserve"> Correlation of AF risk factors and RA volume at study initiation</w:t>
      </w:r>
    </w:p>
    <w:tbl>
      <w:tblPr>
        <w:tblpPr w:leftFromText="180" w:rightFromText="180" w:vertAnchor="text" w:horzAnchor="margin" w:tblpY="9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1589"/>
        <w:gridCol w:w="1183"/>
        <w:gridCol w:w="1653"/>
        <w:gridCol w:w="1147"/>
      </w:tblGrid>
      <w:tr w:rsidR="005D594B" w:rsidRPr="007860A6" w:rsidTr="00EF7FD7">
        <w:trPr>
          <w:trHeight w:val="20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94B" w:rsidRPr="00E349F9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 Volume Maximum Index (mL/m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94B" w:rsidRPr="00E349F9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 Volume Minimum Index (mL/m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 Factor, continuous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Coefficient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Coefficient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>P-value</w:t>
            </w: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Age, per year</w:t>
            </w:r>
          </w:p>
        </w:tc>
        <w:tc>
          <w:tcPr>
            <w:tcW w:w="838" w:type="pct"/>
            <w:tcBorders>
              <w:top w:val="single" w:sz="8" w:space="0" w:color="000000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624" w:type="pct"/>
            <w:tcBorders>
              <w:top w:val="single" w:sz="8" w:space="0" w:color="000000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872" w:type="pct"/>
            <w:tcBorders>
              <w:top w:val="single" w:sz="8" w:space="0" w:color="000000"/>
              <w:bottom w:val="single" w:sz="4" w:space="0" w:color="auto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605" w:type="pc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BMI, per kg/m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0.44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8" w:space="0" w:color="000000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 Factor, categorical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± SD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  <w:r w:rsidRPr="007860A6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Mean ± SD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860A6">
              <w:rPr>
                <w:rFonts w:ascii="Times New Roman" w:hAnsi="Times New Roman" w:cs="Times New Roman"/>
              </w:rPr>
              <w:t>P-value</w:t>
            </w: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top w:val="single" w:sz="8" w:space="0" w:color="000000"/>
              <w:lef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94B" w:rsidRPr="007860A6" w:rsidRDefault="005D594B" w:rsidP="00EF7FD7">
            <w:pPr>
              <w:tabs>
                <w:tab w:val="right" w:pos="3634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  <w:r>
              <w:rPr>
                <w:rFonts w:ascii="Times New Roman" w:hAnsi="Times New Roman" w:cs="Times New Roman"/>
              </w:rPr>
              <w:tab/>
              <w:t>Female</w:t>
            </w:r>
          </w:p>
        </w:tc>
        <w:tc>
          <w:tcPr>
            <w:tcW w:w="838" w:type="pct"/>
            <w:tcBorders>
              <w:top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22±7.6</w:t>
            </w:r>
          </w:p>
        </w:tc>
        <w:tc>
          <w:tcPr>
            <w:tcW w:w="624" w:type="pct"/>
            <w:vMerge w:val="restart"/>
            <w:tcBorders>
              <w:top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&lt;0.001</w:t>
            </w:r>
          </w:p>
        </w:tc>
        <w:tc>
          <w:tcPr>
            <w:tcW w:w="872" w:type="pct"/>
            <w:tcBorders>
              <w:top w:val="single" w:sz="8" w:space="0" w:color="000000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</w:t>
            </w:r>
            <w:r>
              <w:rPr>
                <w:rFonts w:ascii="Times New Roman" w:hAnsi="Times New Roman" w:cs="Times New Roman"/>
              </w:rPr>
              <w:t>±7.6</w:t>
            </w:r>
          </w:p>
        </w:tc>
        <w:tc>
          <w:tcPr>
            <w:tcW w:w="605" w:type="pct"/>
            <w:vMerge w:val="restart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&lt;0.001</w:t>
            </w: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left w:val="single" w:sz="8" w:space="0" w:color="000000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23±8.7</w:t>
            </w: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23</w:t>
            </w:r>
            <w:r>
              <w:rPr>
                <w:rFonts w:ascii="Times New Roman" w:hAnsi="Times New Roman" w:cs="Times New Roman"/>
              </w:rPr>
              <w:t>±8.7</w:t>
            </w: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top w:val="single" w:sz="4" w:space="0" w:color="auto"/>
              <w:lef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66D14" w:rsidRDefault="005D594B" w:rsidP="00EF7FD7">
            <w:pPr>
              <w:tabs>
                <w:tab w:val="right" w:pos="3634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</w:t>
            </w:r>
            <w:r>
              <w:rPr>
                <w:rFonts w:ascii="Times New Roman" w:hAnsi="Times New Roman" w:cs="Times New Roman"/>
              </w:rPr>
              <w:tab/>
              <w:t>Caucasian</w:t>
            </w:r>
          </w:p>
        </w:tc>
        <w:tc>
          <w:tcPr>
            <w:tcW w:w="838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21±7.9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&lt;0.001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11±5.8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&lt;0.001</w:t>
            </w: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lef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83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25±8.6</w:t>
            </w:r>
          </w:p>
        </w:tc>
        <w:tc>
          <w:tcPr>
            <w:tcW w:w="624" w:type="pct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2" w:type="pct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13±6.4</w:t>
            </w: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lef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African American</w:t>
            </w:r>
          </w:p>
        </w:tc>
        <w:tc>
          <w:tcPr>
            <w:tcW w:w="83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22±7.4</w:t>
            </w:r>
          </w:p>
        </w:tc>
        <w:tc>
          <w:tcPr>
            <w:tcW w:w="624" w:type="pct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2" w:type="pct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12±5.4</w:t>
            </w: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left w:val="single" w:sz="8" w:space="0" w:color="000000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25±8.5</w:t>
            </w: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14±6.3</w:t>
            </w: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top w:val="single" w:sz="4" w:space="0" w:color="auto"/>
              <w:lef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tabs>
                <w:tab w:val="right" w:pos="3634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Smoking status</w:t>
            </w:r>
            <w:r>
              <w:rPr>
                <w:rFonts w:ascii="Times New Roman" w:hAnsi="Times New Roman" w:cs="Times New Roman"/>
              </w:rPr>
              <w:tab/>
              <w:t>Never</w:t>
            </w:r>
          </w:p>
        </w:tc>
        <w:tc>
          <w:tcPr>
            <w:tcW w:w="838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23±8.2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0.82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12±5.9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0.41</w:t>
            </w: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lef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tabs>
                <w:tab w:val="right" w:pos="3634"/>
              </w:tabs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83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22±8.0</w:t>
            </w:r>
          </w:p>
        </w:tc>
        <w:tc>
          <w:tcPr>
            <w:tcW w:w="624" w:type="pct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2" w:type="pct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12±5.9</w:t>
            </w: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left w:val="single" w:sz="8" w:space="0" w:color="000000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21±8.1</w:t>
            </w: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12±6.2</w:t>
            </w: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top w:val="single" w:sz="4" w:space="0" w:color="auto"/>
              <w:lef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tabs>
                <w:tab w:val="right" w:pos="3634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Use</w:t>
            </w:r>
            <w:r>
              <w:rPr>
                <w:rFonts w:ascii="Times New Roman" w:hAnsi="Times New Roman" w:cs="Times New Roman"/>
              </w:rPr>
              <w:tab/>
              <w:t>Never</w:t>
            </w:r>
          </w:p>
        </w:tc>
        <w:tc>
          <w:tcPr>
            <w:tcW w:w="838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23±8.4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0.11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12±5.9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0.12</w:t>
            </w: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lef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83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22±7.8</w:t>
            </w:r>
          </w:p>
        </w:tc>
        <w:tc>
          <w:tcPr>
            <w:tcW w:w="624" w:type="pct"/>
            <w:vMerge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2" w:type="pct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112±5.7</w:t>
            </w: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left w:val="single" w:sz="8" w:space="0" w:color="000000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23±8.1</w:t>
            </w: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12±6.0</w:t>
            </w: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top w:val="single" w:sz="4" w:space="0" w:color="auto"/>
              <w:lef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tabs>
                <w:tab w:val="right" w:pos="3634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Hypertension Medications</w:t>
            </w:r>
            <w:r>
              <w:rPr>
                <w:rFonts w:ascii="Times New Roman" w:hAnsi="Times New Roman" w:cs="Times New Roman"/>
              </w:rPr>
              <w:tab/>
              <w:t>No</w:t>
            </w:r>
          </w:p>
        </w:tc>
        <w:tc>
          <w:tcPr>
            <w:tcW w:w="838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23±8.2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0.87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12±6.0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0.92</w:t>
            </w: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left w:val="single" w:sz="8" w:space="0" w:color="000000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838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22±8.1</w:t>
            </w: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12±</w:t>
            </w:r>
          </w:p>
        </w:tc>
        <w:tc>
          <w:tcPr>
            <w:tcW w:w="605" w:type="pct"/>
            <w:vMerge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top w:val="single" w:sz="4" w:space="0" w:color="auto"/>
              <w:lef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tabs>
                <w:tab w:val="right" w:pos="3634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Diabetes History</w:t>
            </w:r>
            <w:r>
              <w:rPr>
                <w:rFonts w:ascii="Times New Roman" w:hAnsi="Times New Roman" w:cs="Times New Roman"/>
              </w:rPr>
              <w:tab/>
              <w:t>No</w:t>
            </w:r>
          </w:p>
        </w:tc>
        <w:tc>
          <w:tcPr>
            <w:tcW w:w="838" w:type="pc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23±8.1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D594B" w:rsidRPr="007860A6" w:rsidRDefault="005D594B" w:rsidP="00EF7FD7">
            <w:pPr>
              <w:spacing w:after="0" w:line="48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0.91</w:t>
            </w:r>
          </w:p>
        </w:tc>
        <w:tc>
          <w:tcPr>
            <w:tcW w:w="872" w:type="pct"/>
            <w:tcBorders>
              <w:top w:val="single" w:sz="4" w:space="0" w:color="auto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12±6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0.23</w:t>
            </w: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lef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Impaired fasting glucose</w:t>
            </w:r>
          </w:p>
        </w:tc>
        <w:tc>
          <w:tcPr>
            <w:tcW w:w="838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22±8.1</w:t>
            </w:r>
          </w:p>
        </w:tc>
        <w:tc>
          <w:tcPr>
            <w:tcW w:w="624" w:type="pct"/>
            <w:vMerge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2" w:type="pct"/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13±5.9</w:t>
            </w:r>
          </w:p>
        </w:tc>
        <w:tc>
          <w:tcPr>
            <w:tcW w:w="605" w:type="pct"/>
            <w:vMerge/>
            <w:tcBorders>
              <w:right w:val="single" w:sz="8" w:space="0" w:color="000000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5D594B" w:rsidRPr="007860A6" w:rsidTr="00EF7FD7">
        <w:trPr>
          <w:trHeight w:val="20"/>
        </w:trPr>
        <w:tc>
          <w:tcPr>
            <w:tcW w:w="2061" w:type="pct"/>
            <w:tcBorders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Default="005D594B" w:rsidP="00EF7FD7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Diabetic</w:t>
            </w:r>
          </w:p>
        </w:tc>
        <w:tc>
          <w:tcPr>
            <w:tcW w:w="838" w:type="pct"/>
            <w:tcBorders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22±8.3</w:t>
            </w:r>
          </w:p>
        </w:tc>
        <w:tc>
          <w:tcPr>
            <w:tcW w:w="624" w:type="pct"/>
            <w:vMerge/>
            <w:tcBorders>
              <w:bottom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72" w:type="pct"/>
            <w:tcBorders>
              <w:bottom w:val="single" w:sz="8" w:space="0" w:color="000000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12±5.6</w:t>
            </w:r>
          </w:p>
        </w:tc>
        <w:tc>
          <w:tcPr>
            <w:tcW w:w="605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D594B" w:rsidRPr="007860A6" w:rsidRDefault="005D594B" w:rsidP="00EF7FD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5D594B" w:rsidRDefault="005D594B" w:rsidP="005D594B">
      <w:pPr>
        <w:spacing w:after="0" w:line="480" w:lineRule="auto"/>
        <w:jc w:val="center"/>
        <w:rPr>
          <w:rFonts w:ascii="Times New Roman" w:hAnsi="Times New Roman"/>
        </w:rPr>
      </w:pPr>
    </w:p>
    <w:p w:rsidR="005D594B" w:rsidRDefault="005D594B" w:rsidP="005D594B">
      <w:pPr>
        <w:spacing w:after="0" w:line="480" w:lineRule="auto"/>
        <w:rPr>
          <w:rFonts w:ascii="Times New Roman" w:hAnsi="Times New Roman" w:cs="Times New Roman"/>
        </w:rPr>
      </w:pPr>
      <w:r w:rsidRPr="0049267C">
        <w:rPr>
          <w:rFonts w:ascii="Times New Roman" w:hAnsi="Times New Roman" w:cs="Times New Roman"/>
        </w:rPr>
        <w:t>SD: Standard deviation; BMI: Body mass index</w:t>
      </w:r>
    </w:p>
    <w:p w:rsidR="00284A9D" w:rsidRDefault="005D594B" w:rsidP="005D594B">
      <w:r>
        <w:rPr>
          <w:rFonts w:ascii="Times New Roman" w:hAnsi="Times New Roman"/>
        </w:rPr>
        <w:t xml:space="preserve"> Association of risk factors for AF and RA volume indices is shown</w:t>
      </w:r>
      <w:proofErr w:type="gramStart"/>
      <w:r>
        <w:rPr>
          <w:rFonts w:ascii="Times New Roman" w:hAnsi="Times New Roman"/>
        </w:rPr>
        <w:t xml:space="preserve">.  </w:t>
      </w:r>
      <w:proofErr w:type="gramEnd"/>
      <w:r>
        <w:rPr>
          <w:rFonts w:ascii="Times New Roman" w:hAnsi="Times New Roman"/>
        </w:rPr>
        <w:t>RA volume was generally not significantly different for risk factors though demographic differences by sex and race are evident</w:t>
      </w:r>
      <w:proofErr w:type="gramStart"/>
      <w:r>
        <w:rPr>
          <w:rFonts w:ascii="Times New Roman" w:hAnsi="Times New Roman"/>
        </w:rPr>
        <w:t xml:space="preserve">.  </w:t>
      </w:r>
      <w:proofErr w:type="gramEnd"/>
      <w:r>
        <w:rPr>
          <w:rFonts w:ascii="Times New Roman" w:hAnsi="Times New Roman"/>
        </w:rPr>
        <w:t>Volume is indexed by body-surface area which may affect the significance risk factors due to collinearity.</w:t>
      </w:r>
      <w:bookmarkEnd w:id="0"/>
    </w:p>
    <w:sectPr w:rsidR="00284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4B"/>
    <w:rsid w:val="001611F9"/>
    <w:rsid w:val="00284A9D"/>
    <w:rsid w:val="005D594B"/>
    <w:rsid w:val="00666E43"/>
    <w:rsid w:val="00DE13C1"/>
    <w:rsid w:val="00F1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1080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2020-04-25T03:51:00Z</dcterms:created>
  <dcterms:modified xsi:type="dcterms:W3CDTF">2020-04-25T03:51:00Z</dcterms:modified>
</cp:coreProperties>
</file>