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31538" w14:textId="77777777" w:rsidR="00F233AE" w:rsidRPr="00F233AE" w:rsidRDefault="00F233AE" w:rsidP="00C04695">
      <w:pPr>
        <w:spacing w:line="480" w:lineRule="auto"/>
        <w:contextualSpacing/>
        <w:jc w:val="both"/>
        <w:rPr>
          <w:rFonts w:ascii="Times New Roman" w:hAnsi="Times New Roman"/>
          <w:b/>
          <w:iCs/>
          <w:sz w:val="24"/>
          <w:szCs w:val="24"/>
          <w:lang w:val="en-GB" w:eastAsia="fr-FR"/>
        </w:rPr>
      </w:pPr>
      <w:r w:rsidRPr="00F233AE">
        <w:rPr>
          <w:rFonts w:ascii="Times New Roman" w:hAnsi="Times New Roman"/>
          <w:b/>
          <w:iCs/>
          <w:sz w:val="24"/>
          <w:szCs w:val="24"/>
          <w:lang w:val="en-GB" w:eastAsia="fr-FR"/>
        </w:rPr>
        <w:t>SUPPLEMENTARY METHODS</w:t>
      </w:r>
    </w:p>
    <w:p w14:paraId="7961FA27" w14:textId="77777777" w:rsidR="00C04695" w:rsidRPr="00C729B6" w:rsidRDefault="00A574C0" w:rsidP="00C04695">
      <w:pPr>
        <w:spacing w:line="480" w:lineRule="auto"/>
        <w:contextualSpacing/>
        <w:jc w:val="both"/>
        <w:rPr>
          <w:rFonts w:ascii="Times New Roman" w:hAnsi="Times New Roman"/>
          <w:b/>
          <w:i/>
          <w:sz w:val="24"/>
          <w:szCs w:val="24"/>
          <w:lang w:val="en-GB" w:eastAsia="fr-FR"/>
        </w:rPr>
      </w:pPr>
      <w:r>
        <w:rPr>
          <w:rFonts w:ascii="Times New Roman" w:hAnsi="Times New Roman"/>
          <w:b/>
          <w:i/>
          <w:sz w:val="24"/>
          <w:szCs w:val="24"/>
          <w:lang w:val="en-GB" w:eastAsia="fr-FR"/>
        </w:rPr>
        <w:t xml:space="preserve">Endpoints and </w:t>
      </w:r>
      <w:r w:rsidR="00C04695" w:rsidRPr="00C729B6">
        <w:rPr>
          <w:rFonts w:ascii="Times New Roman" w:hAnsi="Times New Roman"/>
          <w:b/>
          <w:i/>
          <w:sz w:val="24"/>
          <w:szCs w:val="24"/>
          <w:lang w:val="en-GB" w:eastAsia="fr-FR"/>
        </w:rPr>
        <w:t>Statistical Analysis</w:t>
      </w:r>
    </w:p>
    <w:p w14:paraId="3EC6B130" w14:textId="77777777" w:rsidR="00C04695" w:rsidRDefault="00C04695" w:rsidP="00C04695">
      <w:pPr>
        <w:spacing w:line="480" w:lineRule="auto"/>
        <w:contextualSpacing/>
        <w:jc w:val="both"/>
        <w:rPr>
          <w:rFonts w:ascii="Times New Roman" w:hAnsi="Times New Roman"/>
          <w:sz w:val="24"/>
          <w:szCs w:val="24"/>
          <w:lang w:val="en-GB"/>
        </w:rPr>
      </w:pPr>
      <w:r w:rsidRPr="00C729B6">
        <w:rPr>
          <w:rFonts w:ascii="Times New Roman" w:hAnsi="Times New Roman"/>
          <w:sz w:val="24"/>
          <w:szCs w:val="24"/>
          <w:lang w:val="en-GB"/>
        </w:rPr>
        <w:t>For each trial, objective response rate (ORR) was defined as the number of responses (complete [CR] and partial [PR]) divided by the total number of patients (CR + PR + SD</w:t>
      </w:r>
      <w:r>
        <w:rPr>
          <w:rFonts w:ascii="Times New Roman" w:hAnsi="Times New Roman"/>
          <w:sz w:val="24"/>
          <w:szCs w:val="24"/>
          <w:lang w:val="en-GB"/>
        </w:rPr>
        <w:t xml:space="preserve"> + PD + NE</w:t>
      </w:r>
      <w:r w:rsidRPr="00C729B6">
        <w:rPr>
          <w:rFonts w:ascii="Times New Roman" w:hAnsi="Times New Roman"/>
          <w:sz w:val="24"/>
          <w:szCs w:val="24"/>
          <w:lang w:val="en-GB"/>
        </w:rPr>
        <w:t>). Non-progression rate (NPR) was defined as the number of CR, PR and SD divided by the number of reported patients.</w:t>
      </w:r>
    </w:p>
    <w:p w14:paraId="67886490" w14:textId="77777777" w:rsidR="00C04695" w:rsidRDefault="00C04695" w:rsidP="00C04695">
      <w:pPr>
        <w:spacing w:line="480" w:lineRule="auto"/>
        <w:contextualSpacing/>
        <w:jc w:val="both"/>
        <w:rPr>
          <w:rFonts w:ascii="Times New Roman" w:hAnsi="Times New Roman"/>
          <w:sz w:val="24"/>
          <w:szCs w:val="24"/>
          <w:lang w:val="en-GB"/>
        </w:rPr>
      </w:pPr>
      <w:r>
        <w:rPr>
          <w:rFonts w:ascii="Times New Roman" w:hAnsi="Times New Roman"/>
          <w:sz w:val="24"/>
          <w:szCs w:val="24"/>
          <w:lang w:val="en-GB"/>
        </w:rPr>
        <w:t xml:space="preserve">To account for varying sample sizes across trials, we relied on generalized linear models (binomial link function) to provide unbiased estimates of the trial-level ORR and NPR using </w:t>
      </w:r>
      <w:proofErr w:type="gramStart"/>
      <w:r>
        <w:rPr>
          <w:rFonts w:ascii="Times New Roman" w:hAnsi="Times New Roman"/>
          <w:sz w:val="24"/>
          <w:szCs w:val="24"/>
          <w:lang w:val="en-GB"/>
        </w:rPr>
        <w:t>a the</w:t>
      </w:r>
      <w:proofErr w:type="gramEnd"/>
      <w:r>
        <w:rPr>
          <w:rFonts w:ascii="Times New Roman" w:hAnsi="Times New Roman"/>
          <w:sz w:val="24"/>
          <w:szCs w:val="24"/>
          <w:lang w:val="en-GB"/>
        </w:rPr>
        <w:t xml:space="preserve"> trial as a random effect. We reported the estimated mean trial-level ORR and NPR, together with their respective 95% confidence intervals (</w:t>
      </w:r>
      <w:r>
        <w:rPr>
          <w:rFonts w:ascii="Times New Roman" w:hAnsi="Times New Roman"/>
          <w:sz w:val="24"/>
          <w:szCs w:val="24"/>
          <w:lang w:val="en-GB" w:eastAsia="fr-FR"/>
        </w:rPr>
        <w:t>95%CI</w:t>
      </w:r>
      <w:r>
        <w:rPr>
          <w:rFonts w:ascii="Times New Roman" w:hAnsi="Times New Roman"/>
          <w:sz w:val="24"/>
          <w:szCs w:val="24"/>
          <w:lang w:val="en-GB"/>
        </w:rPr>
        <w:t>).</w:t>
      </w:r>
      <w:r w:rsidRPr="00C729B6">
        <w:rPr>
          <w:rFonts w:ascii="Times New Roman" w:hAnsi="Times New Roman"/>
          <w:sz w:val="24"/>
          <w:szCs w:val="24"/>
          <w:lang w:val="en-GB"/>
        </w:rPr>
        <w:t xml:space="preserve"> </w:t>
      </w:r>
      <w:r>
        <w:rPr>
          <w:rFonts w:ascii="Times New Roman" w:hAnsi="Times New Roman"/>
          <w:sz w:val="24"/>
          <w:szCs w:val="24"/>
          <w:lang w:val="en-GB"/>
        </w:rPr>
        <w:t xml:space="preserve">Statistical significance was set at 5%. </w:t>
      </w:r>
      <w:r w:rsidRPr="00600027">
        <w:rPr>
          <w:rFonts w:ascii="Times New Roman" w:hAnsi="Times New Roman"/>
          <w:sz w:val="24"/>
          <w:szCs w:val="24"/>
          <w:lang w:val="en-GB"/>
        </w:rPr>
        <w:t>Statistical analyses were performed using SAS version 9.4 software (SAS Institute, North Carolina, USA).</w:t>
      </w:r>
    </w:p>
    <w:p w14:paraId="7686D841" w14:textId="77777777" w:rsidR="00F233AE" w:rsidRDefault="00F233AE">
      <w:pPr>
        <w:spacing w:after="160" w:line="259" w:lineRule="auto"/>
        <w:rPr>
          <w:rFonts w:ascii="Times New Roman" w:hAnsi="Times New Roman"/>
          <w:sz w:val="24"/>
          <w:szCs w:val="24"/>
          <w:lang w:val="en-GB"/>
        </w:rPr>
      </w:pPr>
      <w:r>
        <w:rPr>
          <w:rFonts w:ascii="Times New Roman" w:hAnsi="Times New Roman"/>
          <w:sz w:val="24"/>
          <w:szCs w:val="24"/>
          <w:lang w:val="en-GB"/>
        </w:rPr>
        <w:br w:type="page"/>
      </w:r>
    </w:p>
    <w:p w14:paraId="2E231DB1" w14:textId="77777777" w:rsidR="00F233AE" w:rsidRDefault="00F233AE" w:rsidP="00C04695">
      <w:pPr>
        <w:spacing w:line="480" w:lineRule="auto"/>
        <w:contextualSpacing/>
        <w:jc w:val="both"/>
        <w:rPr>
          <w:rFonts w:ascii="Times New Roman" w:hAnsi="Times New Roman"/>
          <w:sz w:val="24"/>
          <w:szCs w:val="24"/>
          <w:lang w:val="en-GB"/>
        </w:rPr>
      </w:pPr>
    </w:p>
    <w:p w14:paraId="1436CE52" w14:textId="77777777" w:rsidR="00F233AE" w:rsidRDefault="00F233AE" w:rsidP="00F233AE">
      <w:pPr>
        <w:spacing w:line="480" w:lineRule="auto"/>
        <w:contextualSpacing/>
        <w:jc w:val="both"/>
        <w:rPr>
          <w:rFonts w:ascii="Times New Roman" w:hAnsi="Times New Roman"/>
          <w:b/>
          <w:iCs/>
          <w:sz w:val="24"/>
          <w:szCs w:val="24"/>
          <w:lang w:val="en-GB" w:eastAsia="fr-FR"/>
        </w:rPr>
      </w:pPr>
      <w:r w:rsidRPr="00F233AE">
        <w:rPr>
          <w:rFonts w:ascii="Times New Roman" w:hAnsi="Times New Roman"/>
          <w:b/>
          <w:iCs/>
          <w:sz w:val="24"/>
          <w:szCs w:val="24"/>
          <w:lang w:val="en-GB" w:eastAsia="fr-FR"/>
        </w:rPr>
        <w:t xml:space="preserve">SUPPLEMENTARY </w:t>
      </w:r>
      <w:r>
        <w:rPr>
          <w:rFonts w:ascii="Times New Roman" w:hAnsi="Times New Roman"/>
          <w:b/>
          <w:iCs/>
          <w:sz w:val="24"/>
          <w:szCs w:val="24"/>
          <w:lang w:val="en-GB" w:eastAsia="fr-FR"/>
        </w:rPr>
        <w:t>RESULTS</w:t>
      </w:r>
    </w:p>
    <w:p w14:paraId="1595CA0D" w14:textId="77777777" w:rsidR="00F233AE" w:rsidRDefault="00F233AE" w:rsidP="00F233AE">
      <w:pPr>
        <w:pStyle w:val="Paragraphedeliste"/>
        <w:spacing w:line="480" w:lineRule="auto"/>
        <w:rPr>
          <w:rFonts w:ascii="Times New Roman" w:hAnsi="Times New Roman"/>
          <w:b/>
          <w:color w:val="000000"/>
          <w:sz w:val="24"/>
          <w:szCs w:val="24"/>
          <w:lang w:val="en-GB"/>
        </w:rPr>
      </w:pPr>
    </w:p>
    <w:tbl>
      <w:tblPr>
        <w:tblW w:w="9225" w:type="dxa"/>
        <w:jc w:val="center"/>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998"/>
        <w:gridCol w:w="1900"/>
        <w:gridCol w:w="860"/>
        <w:gridCol w:w="877"/>
        <w:gridCol w:w="208"/>
        <w:gridCol w:w="510"/>
        <w:gridCol w:w="208"/>
        <w:gridCol w:w="510"/>
        <w:gridCol w:w="208"/>
        <w:gridCol w:w="510"/>
        <w:gridCol w:w="208"/>
        <w:gridCol w:w="510"/>
        <w:gridCol w:w="208"/>
        <w:gridCol w:w="510"/>
      </w:tblGrid>
      <w:tr w:rsidR="00F233AE" w:rsidRPr="00817611" w14:paraId="5D57C0B6" w14:textId="77777777" w:rsidTr="00CC2BF9">
        <w:trPr>
          <w:cantSplit/>
          <w:trHeight w:val="245"/>
          <w:tblHeader/>
          <w:jc w:val="center"/>
        </w:trPr>
        <w:tc>
          <w:tcPr>
            <w:tcW w:w="0" w:type="auto"/>
            <w:gridSpan w:val="14"/>
            <w:shd w:val="clear" w:color="auto" w:fill="FFFFFF"/>
            <w:vAlign w:val="bottom"/>
          </w:tcPr>
          <w:p w14:paraId="2E751949" w14:textId="034AAAA5" w:rsidR="00F233AE" w:rsidRPr="006371A6" w:rsidRDefault="00817611" w:rsidP="00CC2BF9">
            <w:pPr>
              <w:adjustRightInd w:val="0"/>
              <w:spacing w:after="0" w:line="240" w:lineRule="auto"/>
              <w:jc w:val="center"/>
              <w:rPr>
                <w:rFonts w:cs="Calibri"/>
                <w:b/>
                <w:bCs/>
                <w:color w:val="000000"/>
                <w:sz w:val="16"/>
                <w:szCs w:val="16"/>
                <w:lang w:val="en-US"/>
              </w:rPr>
            </w:pPr>
            <w:r>
              <w:rPr>
                <w:rFonts w:cs="Calibri"/>
                <w:b/>
                <w:bCs/>
                <w:color w:val="000000"/>
                <w:sz w:val="16"/>
                <w:szCs w:val="16"/>
                <w:lang w:val="en-US"/>
              </w:rPr>
              <w:t xml:space="preserve">Supplementary </w:t>
            </w:r>
            <w:r w:rsidR="00F233AE" w:rsidRPr="006371A6">
              <w:rPr>
                <w:rFonts w:cs="Calibri"/>
                <w:b/>
                <w:bCs/>
                <w:color w:val="000000"/>
                <w:sz w:val="16"/>
                <w:szCs w:val="16"/>
                <w:lang w:val="en-US"/>
              </w:rPr>
              <w:t>Table 1. Characteristics of the studies included in the pooled analysis (n=384)</w:t>
            </w:r>
          </w:p>
        </w:tc>
      </w:tr>
      <w:tr w:rsidR="00F233AE" w:rsidRPr="0033270C" w14:paraId="61158DDF" w14:textId="77777777" w:rsidTr="00CC2BF9">
        <w:trPr>
          <w:cantSplit/>
          <w:trHeight w:val="245"/>
          <w:tblHeader/>
          <w:jc w:val="center"/>
        </w:trPr>
        <w:tc>
          <w:tcPr>
            <w:tcW w:w="0" w:type="auto"/>
            <w:vMerge w:val="restart"/>
            <w:shd w:val="clear" w:color="auto" w:fill="FFFFFF"/>
            <w:vAlign w:val="bottom"/>
          </w:tcPr>
          <w:p w14:paraId="0A88F2FE" w14:textId="77777777" w:rsidR="00F233AE" w:rsidRPr="00E736CC" w:rsidRDefault="00F233AE" w:rsidP="00CC2BF9">
            <w:pPr>
              <w:adjustRightInd w:val="0"/>
              <w:spacing w:after="0" w:line="240" w:lineRule="auto"/>
              <w:jc w:val="center"/>
              <w:rPr>
                <w:rFonts w:cs="Calibri"/>
                <w:b/>
                <w:bCs/>
                <w:color w:val="000000"/>
                <w:sz w:val="16"/>
                <w:szCs w:val="16"/>
                <w:lang w:val="en-US"/>
              </w:rPr>
            </w:pPr>
            <w:r w:rsidRPr="00E736CC">
              <w:rPr>
                <w:rFonts w:cs="Calibri"/>
                <w:b/>
                <w:bCs/>
                <w:color w:val="000000"/>
                <w:sz w:val="16"/>
                <w:szCs w:val="16"/>
                <w:lang w:val="en-US"/>
              </w:rPr>
              <w:t xml:space="preserve">Therapeutic strategy </w:t>
            </w:r>
          </w:p>
        </w:tc>
        <w:tc>
          <w:tcPr>
            <w:tcW w:w="0" w:type="auto"/>
            <w:vMerge w:val="restart"/>
            <w:shd w:val="clear" w:color="auto" w:fill="FFFFFF"/>
            <w:vAlign w:val="bottom"/>
          </w:tcPr>
          <w:p w14:paraId="42DEAAD4" w14:textId="77777777" w:rsidR="00F233AE" w:rsidRPr="006371A6" w:rsidRDefault="00F233AE" w:rsidP="00CC2BF9">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Investigational drug(s)</w:t>
            </w:r>
          </w:p>
        </w:tc>
        <w:tc>
          <w:tcPr>
            <w:tcW w:w="0" w:type="auto"/>
            <w:vMerge w:val="restart"/>
            <w:shd w:val="clear" w:color="auto" w:fill="FFFFFF"/>
            <w:vAlign w:val="bottom"/>
          </w:tcPr>
          <w:p w14:paraId="734C5576" w14:textId="77777777" w:rsidR="00F233AE" w:rsidRPr="006371A6" w:rsidRDefault="00F233AE" w:rsidP="00CC2BF9">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Reference</w:t>
            </w:r>
          </w:p>
        </w:tc>
        <w:tc>
          <w:tcPr>
            <w:tcW w:w="0" w:type="auto"/>
            <w:vMerge w:val="restart"/>
            <w:shd w:val="clear" w:color="auto" w:fill="FFFFFF"/>
            <w:vAlign w:val="bottom"/>
          </w:tcPr>
          <w:p w14:paraId="527796E3" w14:textId="77777777" w:rsidR="00F233AE" w:rsidRPr="006371A6" w:rsidRDefault="00F233AE" w:rsidP="00CC2BF9">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N patients</w:t>
            </w:r>
          </w:p>
        </w:tc>
        <w:tc>
          <w:tcPr>
            <w:tcW w:w="0" w:type="auto"/>
            <w:gridSpan w:val="2"/>
            <w:shd w:val="clear" w:color="auto" w:fill="FFFFFF"/>
            <w:vAlign w:val="bottom"/>
          </w:tcPr>
          <w:p w14:paraId="50E46897" w14:textId="77777777" w:rsidR="00F233AE" w:rsidRPr="006371A6" w:rsidRDefault="00F233AE" w:rsidP="00CC2BF9">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UPS</w:t>
            </w:r>
          </w:p>
        </w:tc>
        <w:tc>
          <w:tcPr>
            <w:tcW w:w="0" w:type="auto"/>
            <w:gridSpan w:val="2"/>
            <w:shd w:val="clear" w:color="auto" w:fill="FFFFFF"/>
            <w:vAlign w:val="bottom"/>
          </w:tcPr>
          <w:p w14:paraId="658D58CC" w14:textId="77777777" w:rsidR="00F233AE" w:rsidRPr="006371A6" w:rsidRDefault="00F233AE" w:rsidP="00CC2BF9">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LPS</w:t>
            </w:r>
          </w:p>
        </w:tc>
        <w:tc>
          <w:tcPr>
            <w:tcW w:w="0" w:type="auto"/>
            <w:gridSpan w:val="2"/>
            <w:shd w:val="clear" w:color="auto" w:fill="FFFFFF"/>
            <w:vAlign w:val="bottom"/>
          </w:tcPr>
          <w:p w14:paraId="7A94722E" w14:textId="77777777" w:rsidR="00F233AE" w:rsidRPr="006371A6" w:rsidRDefault="00F233AE" w:rsidP="00CC2BF9">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LMS</w:t>
            </w:r>
          </w:p>
        </w:tc>
        <w:tc>
          <w:tcPr>
            <w:tcW w:w="0" w:type="auto"/>
            <w:gridSpan w:val="2"/>
            <w:shd w:val="clear" w:color="auto" w:fill="FFFFFF"/>
          </w:tcPr>
          <w:p w14:paraId="2BED5A61" w14:textId="77777777" w:rsidR="00F233AE" w:rsidRPr="006371A6" w:rsidRDefault="00F233AE" w:rsidP="00CC2BF9">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ASPS</w:t>
            </w:r>
          </w:p>
        </w:tc>
        <w:tc>
          <w:tcPr>
            <w:tcW w:w="0" w:type="auto"/>
            <w:gridSpan w:val="2"/>
            <w:shd w:val="clear" w:color="auto" w:fill="FFFFFF"/>
            <w:vAlign w:val="bottom"/>
          </w:tcPr>
          <w:p w14:paraId="4BB104E4" w14:textId="77777777" w:rsidR="00F233AE" w:rsidRPr="006371A6" w:rsidRDefault="00F233AE" w:rsidP="00CC2BF9">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 xml:space="preserve">OTHER </w:t>
            </w:r>
          </w:p>
        </w:tc>
      </w:tr>
      <w:tr w:rsidR="00F233AE" w:rsidRPr="00E736CC" w14:paraId="260511A2" w14:textId="77777777" w:rsidTr="00CC2BF9">
        <w:trPr>
          <w:cantSplit/>
          <w:trHeight w:val="346"/>
          <w:tblHeader/>
          <w:jc w:val="center"/>
        </w:trPr>
        <w:tc>
          <w:tcPr>
            <w:tcW w:w="0" w:type="auto"/>
            <w:vMerge/>
            <w:shd w:val="clear" w:color="auto" w:fill="FFFFFF"/>
            <w:vAlign w:val="bottom"/>
          </w:tcPr>
          <w:p w14:paraId="12F08532" w14:textId="77777777" w:rsidR="00F233AE" w:rsidRPr="00E736CC" w:rsidRDefault="00F233AE" w:rsidP="00CC2BF9">
            <w:pPr>
              <w:adjustRightInd w:val="0"/>
              <w:spacing w:after="0" w:line="240" w:lineRule="auto"/>
              <w:jc w:val="center"/>
              <w:rPr>
                <w:rFonts w:cs="Calibri"/>
                <w:b/>
                <w:bCs/>
                <w:color w:val="000000"/>
                <w:sz w:val="16"/>
                <w:szCs w:val="16"/>
                <w:lang w:val="en-US"/>
              </w:rPr>
            </w:pPr>
          </w:p>
        </w:tc>
        <w:tc>
          <w:tcPr>
            <w:tcW w:w="0" w:type="auto"/>
            <w:vMerge/>
            <w:shd w:val="clear" w:color="auto" w:fill="FFFFFF"/>
            <w:vAlign w:val="bottom"/>
          </w:tcPr>
          <w:p w14:paraId="30329932" w14:textId="77777777" w:rsidR="00F233AE" w:rsidRPr="006371A6" w:rsidRDefault="00F233AE" w:rsidP="00CC2BF9">
            <w:pPr>
              <w:adjustRightInd w:val="0"/>
              <w:spacing w:after="0" w:line="240" w:lineRule="auto"/>
              <w:jc w:val="center"/>
              <w:rPr>
                <w:rFonts w:cs="Calibri"/>
                <w:b/>
                <w:bCs/>
                <w:color w:val="000000"/>
                <w:sz w:val="16"/>
                <w:szCs w:val="16"/>
                <w:lang w:val="en-US"/>
              </w:rPr>
            </w:pPr>
          </w:p>
        </w:tc>
        <w:tc>
          <w:tcPr>
            <w:tcW w:w="0" w:type="auto"/>
            <w:vMerge/>
            <w:shd w:val="clear" w:color="auto" w:fill="FFFFFF"/>
            <w:vAlign w:val="bottom"/>
          </w:tcPr>
          <w:p w14:paraId="202BD853" w14:textId="77777777" w:rsidR="00F233AE" w:rsidRPr="006371A6" w:rsidRDefault="00F233AE" w:rsidP="00CC2BF9">
            <w:pPr>
              <w:adjustRightInd w:val="0"/>
              <w:spacing w:after="0" w:line="240" w:lineRule="auto"/>
              <w:jc w:val="center"/>
              <w:rPr>
                <w:rFonts w:cs="Calibri"/>
                <w:b/>
                <w:bCs/>
                <w:color w:val="000000"/>
                <w:sz w:val="16"/>
                <w:szCs w:val="16"/>
                <w:lang w:val="en-US"/>
              </w:rPr>
            </w:pPr>
          </w:p>
        </w:tc>
        <w:tc>
          <w:tcPr>
            <w:tcW w:w="0" w:type="auto"/>
            <w:vMerge/>
            <w:shd w:val="clear" w:color="auto" w:fill="FFFFFF"/>
            <w:vAlign w:val="bottom"/>
          </w:tcPr>
          <w:p w14:paraId="4D16B4BB" w14:textId="77777777" w:rsidR="00F233AE" w:rsidRPr="006371A6" w:rsidRDefault="00F233AE" w:rsidP="00CC2BF9">
            <w:pPr>
              <w:adjustRightInd w:val="0"/>
              <w:spacing w:after="0" w:line="240" w:lineRule="auto"/>
              <w:jc w:val="center"/>
              <w:rPr>
                <w:rFonts w:cs="Calibri"/>
                <w:b/>
                <w:bCs/>
                <w:color w:val="000000"/>
                <w:sz w:val="16"/>
                <w:szCs w:val="16"/>
                <w:lang w:val="en-US"/>
              </w:rPr>
            </w:pPr>
          </w:p>
        </w:tc>
        <w:tc>
          <w:tcPr>
            <w:tcW w:w="0" w:type="auto"/>
            <w:shd w:val="clear" w:color="auto" w:fill="FFFFFF"/>
            <w:vAlign w:val="bottom"/>
          </w:tcPr>
          <w:p w14:paraId="7B2035D5" w14:textId="77777777" w:rsidR="00F233AE" w:rsidRPr="006371A6" w:rsidRDefault="00F233AE" w:rsidP="00CC2BF9">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N</w:t>
            </w:r>
          </w:p>
        </w:tc>
        <w:tc>
          <w:tcPr>
            <w:tcW w:w="0" w:type="auto"/>
            <w:shd w:val="clear" w:color="auto" w:fill="FFFFFF"/>
            <w:vAlign w:val="bottom"/>
          </w:tcPr>
          <w:p w14:paraId="1DBE2CA9" w14:textId="77777777" w:rsidR="00F233AE" w:rsidRPr="006371A6" w:rsidRDefault="00F233AE" w:rsidP="00CC2BF9">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w:t>
            </w:r>
          </w:p>
        </w:tc>
        <w:tc>
          <w:tcPr>
            <w:tcW w:w="0" w:type="auto"/>
            <w:shd w:val="clear" w:color="auto" w:fill="FFFFFF"/>
            <w:vAlign w:val="bottom"/>
          </w:tcPr>
          <w:p w14:paraId="23C401AC" w14:textId="77777777" w:rsidR="00F233AE" w:rsidRPr="006371A6" w:rsidRDefault="00F233AE" w:rsidP="00CC2BF9">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N</w:t>
            </w:r>
          </w:p>
        </w:tc>
        <w:tc>
          <w:tcPr>
            <w:tcW w:w="0" w:type="auto"/>
            <w:shd w:val="clear" w:color="auto" w:fill="FFFFFF"/>
            <w:vAlign w:val="bottom"/>
          </w:tcPr>
          <w:p w14:paraId="3180F8C1" w14:textId="77777777" w:rsidR="00F233AE" w:rsidRPr="006371A6" w:rsidRDefault="00F233AE" w:rsidP="00CC2BF9">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w:t>
            </w:r>
          </w:p>
        </w:tc>
        <w:tc>
          <w:tcPr>
            <w:tcW w:w="0" w:type="auto"/>
            <w:shd w:val="clear" w:color="auto" w:fill="FFFFFF"/>
            <w:vAlign w:val="bottom"/>
          </w:tcPr>
          <w:p w14:paraId="3BD3D2B7" w14:textId="77777777" w:rsidR="00F233AE" w:rsidRPr="006371A6" w:rsidRDefault="00F233AE" w:rsidP="00CC2BF9">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N</w:t>
            </w:r>
          </w:p>
        </w:tc>
        <w:tc>
          <w:tcPr>
            <w:tcW w:w="0" w:type="auto"/>
            <w:shd w:val="clear" w:color="auto" w:fill="FFFFFF"/>
            <w:vAlign w:val="bottom"/>
          </w:tcPr>
          <w:p w14:paraId="48477EB6" w14:textId="77777777" w:rsidR="00F233AE" w:rsidRPr="006371A6" w:rsidRDefault="00F233AE" w:rsidP="00CC2BF9">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w:t>
            </w:r>
          </w:p>
        </w:tc>
        <w:tc>
          <w:tcPr>
            <w:tcW w:w="0" w:type="auto"/>
            <w:shd w:val="clear" w:color="auto" w:fill="FFFFFF"/>
            <w:vAlign w:val="bottom"/>
          </w:tcPr>
          <w:p w14:paraId="79D4E9D9" w14:textId="77777777" w:rsidR="00F233AE" w:rsidRPr="006371A6" w:rsidRDefault="00F233AE" w:rsidP="00CC2BF9">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N</w:t>
            </w:r>
          </w:p>
        </w:tc>
        <w:tc>
          <w:tcPr>
            <w:tcW w:w="0" w:type="auto"/>
            <w:shd w:val="clear" w:color="auto" w:fill="FFFFFF"/>
            <w:vAlign w:val="bottom"/>
          </w:tcPr>
          <w:p w14:paraId="781C32F3" w14:textId="77777777" w:rsidR="00F233AE" w:rsidRPr="006371A6" w:rsidRDefault="00F233AE" w:rsidP="00CC2BF9">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w:t>
            </w:r>
          </w:p>
        </w:tc>
        <w:tc>
          <w:tcPr>
            <w:tcW w:w="0" w:type="auto"/>
            <w:shd w:val="clear" w:color="auto" w:fill="FFFFFF"/>
            <w:vAlign w:val="bottom"/>
          </w:tcPr>
          <w:p w14:paraId="6CDB7DB3" w14:textId="77777777" w:rsidR="00F233AE" w:rsidRPr="006371A6" w:rsidRDefault="00F233AE" w:rsidP="00CC2BF9">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N</w:t>
            </w:r>
          </w:p>
        </w:tc>
        <w:tc>
          <w:tcPr>
            <w:tcW w:w="0" w:type="auto"/>
            <w:shd w:val="clear" w:color="auto" w:fill="FFFFFF"/>
            <w:vAlign w:val="bottom"/>
          </w:tcPr>
          <w:p w14:paraId="3B722BBF" w14:textId="77777777" w:rsidR="00F233AE" w:rsidRPr="006371A6" w:rsidRDefault="00F233AE" w:rsidP="00CC2BF9">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w:t>
            </w:r>
          </w:p>
        </w:tc>
      </w:tr>
      <w:tr w:rsidR="00F233AE" w:rsidRPr="00E736CC" w14:paraId="16DED01D" w14:textId="77777777" w:rsidTr="00CC2BF9">
        <w:trPr>
          <w:cantSplit/>
          <w:trHeight w:val="619"/>
          <w:jc w:val="center"/>
        </w:trPr>
        <w:tc>
          <w:tcPr>
            <w:tcW w:w="0" w:type="auto"/>
            <w:shd w:val="clear" w:color="auto" w:fill="FFFFFF"/>
          </w:tcPr>
          <w:p w14:paraId="2B824620" w14:textId="77777777" w:rsidR="00F233AE" w:rsidRPr="006371A6" w:rsidRDefault="00F233AE" w:rsidP="00CC2BF9">
            <w:pPr>
              <w:adjustRightInd w:val="0"/>
              <w:spacing w:after="0" w:line="240" w:lineRule="auto"/>
              <w:jc w:val="center"/>
              <w:rPr>
                <w:rFonts w:cs="Calibri"/>
                <w:color w:val="000000"/>
                <w:sz w:val="16"/>
                <w:szCs w:val="16"/>
              </w:rPr>
            </w:pPr>
            <w:proofErr w:type="spellStart"/>
            <w:r w:rsidRPr="006371A6">
              <w:rPr>
                <w:rFonts w:cs="Calibri"/>
                <w:color w:val="000000"/>
                <w:sz w:val="16"/>
                <w:szCs w:val="16"/>
              </w:rPr>
              <w:t>Monotherapy</w:t>
            </w:r>
            <w:proofErr w:type="spellEnd"/>
          </w:p>
        </w:tc>
        <w:tc>
          <w:tcPr>
            <w:tcW w:w="0" w:type="auto"/>
            <w:shd w:val="clear" w:color="auto" w:fill="FFFFFF"/>
          </w:tcPr>
          <w:p w14:paraId="3FC8FE09"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Pembrolizumab</w:t>
            </w:r>
          </w:p>
        </w:tc>
        <w:tc>
          <w:tcPr>
            <w:tcW w:w="0" w:type="auto"/>
            <w:shd w:val="clear" w:color="auto" w:fill="FFFFFF"/>
          </w:tcPr>
          <w:p w14:paraId="1CC672E4"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1,2</w:t>
            </w:r>
          </w:p>
        </w:tc>
        <w:tc>
          <w:tcPr>
            <w:tcW w:w="0" w:type="auto"/>
            <w:shd w:val="clear" w:color="auto" w:fill="FFFFFF"/>
          </w:tcPr>
          <w:p w14:paraId="04326395"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98</w:t>
            </w:r>
          </w:p>
        </w:tc>
        <w:tc>
          <w:tcPr>
            <w:tcW w:w="0" w:type="auto"/>
            <w:shd w:val="clear" w:color="auto" w:fill="FFFFFF"/>
          </w:tcPr>
          <w:p w14:paraId="1C22FAF0"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40</w:t>
            </w:r>
          </w:p>
        </w:tc>
        <w:tc>
          <w:tcPr>
            <w:tcW w:w="0" w:type="auto"/>
            <w:shd w:val="clear" w:color="auto" w:fill="FFFFFF"/>
          </w:tcPr>
          <w:p w14:paraId="05017852"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40.8%</w:t>
            </w:r>
          </w:p>
        </w:tc>
        <w:tc>
          <w:tcPr>
            <w:tcW w:w="0" w:type="auto"/>
            <w:shd w:val="clear" w:color="auto" w:fill="FFFFFF"/>
          </w:tcPr>
          <w:p w14:paraId="24719EEF"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34</w:t>
            </w:r>
          </w:p>
        </w:tc>
        <w:tc>
          <w:tcPr>
            <w:tcW w:w="0" w:type="auto"/>
            <w:shd w:val="clear" w:color="auto" w:fill="FFFFFF"/>
          </w:tcPr>
          <w:p w14:paraId="35EAF2B1"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34.7%</w:t>
            </w:r>
          </w:p>
        </w:tc>
        <w:tc>
          <w:tcPr>
            <w:tcW w:w="0" w:type="auto"/>
            <w:shd w:val="clear" w:color="auto" w:fill="FFFFFF"/>
          </w:tcPr>
          <w:p w14:paraId="116D4F2A"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10</w:t>
            </w:r>
          </w:p>
        </w:tc>
        <w:tc>
          <w:tcPr>
            <w:tcW w:w="0" w:type="auto"/>
            <w:shd w:val="clear" w:color="auto" w:fill="FFFFFF"/>
          </w:tcPr>
          <w:p w14:paraId="2982B016"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10.2%</w:t>
            </w:r>
          </w:p>
        </w:tc>
        <w:tc>
          <w:tcPr>
            <w:tcW w:w="0" w:type="auto"/>
            <w:shd w:val="clear" w:color="auto" w:fill="FFFFFF"/>
          </w:tcPr>
          <w:p w14:paraId="15AA0DD1" w14:textId="77777777" w:rsidR="00F233AE" w:rsidRPr="00C7772E" w:rsidRDefault="00F233AE" w:rsidP="00CC2BF9">
            <w:pPr>
              <w:adjustRightInd w:val="0"/>
              <w:spacing w:after="0" w:line="240" w:lineRule="auto"/>
              <w:jc w:val="center"/>
              <w:rPr>
                <w:rFonts w:cs="Calibri"/>
                <w:color w:val="000000"/>
                <w:sz w:val="16"/>
              </w:rPr>
            </w:pPr>
            <w:r w:rsidRPr="00C7772E">
              <w:rPr>
                <w:rFonts w:cs="Calibri"/>
                <w:color w:val="000000"/>
                <w:sz w:val="16"/>
              </w:rPr>
              <w:t>0</w:t>
            </w:r>
          </w:p>
        </w:tc>
        <w:tc>
          <w:tcPr>
            <w:tcW w:w="0" w:type="auto"/>
            <w:shd w:val="clear" w:color="auto" w:fill="FFFFFF"/>
          </w:tcPr>
          <w:p w14:paraId="37E0CBE4" w14:textId="77777777" w:rsidR="00F233AE" w:rsidRPr="00C7772E" w:rsidRDefault="00F233AE" w:rsidP="00CC2BF9">
            <w:pPr>
              <w:adjustRightInd w:val="0"/>
              <w:spacing w:after="0" w:line="240" w:lineRule="auto"/>
              <w:jc w:val="center"/>
              <w:rPr>
                <w:rFonts w:cs="Calibri"/>
                <w:color w:val="000000"/>
                <w:sz w:val="16"/>
              </w:rPr>
            </w:pPr>
            <w:r w:rsidRPr="00C7772E">
              <w:rPr>
                <w:rFonts w:cs="Calibri"/>
                <w:color w:val="000000"/>
                <w:sz w:val="16"/>
              </w:rPr>
              <w:t>0.0%</w:t>
            </w:r>
          </w:p>
        </w:tc>
        <w:tc>
          <w:tcPr>
            <w:tcW w:w="0" w:type="auto"/>
            <w:shd w:val="clear" w:color="auto" w:fill="FFFFFF"/>
          </w:tcPr>
          <w:p w14:paraId="45FAAFD0"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14</w:t>
            </w:r>
          </w:p>
        </w:tc>
        <w:tc>
          <w:tcPr>
            <w:tcW w:w="0" w:type="auto"/>
            <w:shd w:val="clear" w:color="auto" w:fill="FFFFFF"/>
          </w:tcPr>
          <w:p w14:paraId="3D378B11"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14.3%</w:t>
            </w:r>
          </w:p>
        </w:tc>
      </w:tr>
      <w:tr w:rsidR="00F233AE" w:rsidRPr="00E736CC" w14:paraId="26298BC5" w14:textId="77777777" w:rsidTr="00CC2BF9">
        <w:trPr>
          <w:cantSplit/>
          <w:trHeight w:val="651"/>
          <w:jc w:val="center"/>
        </w:trPr>
        <w:tc>
          <w:tcPr>
            <w:tcW w:w="0" w:type="auto"/>
            <w:shd w:val="clear" w:color="auto" w:fill="FFFFFF"/>
          </w:tcPr>
          <w:p w14:paraId="7CE2A034" w14:textId="77777777" w:rsidR="00F233AE" w:rsidRPr="006371A6" w:rsidRDefault="00F233AE" w:rsidP="00CC2BF9">
            <w:pPr>
              <w:adjustRightInd w:val="0"/>
              <w:spacing w:after="0" w:line="240" w:lineRule="auto"/>
              <w:jc w:val="center"/>
              <w:rPr>
                <w:rFonts w:cs="Calibri"/>
                <w:color w:val="000000"/>
                <w:sz w:val="16"/>
                <w:szCs w:val="16"/>
              </w:rPr>
            </w:pPr>
            <w:proofErr w:type="spellStart"/>
            <w:r w:rsidRPr="006371A6">
              <w:rPr>
                <w:rFonts w:cs="Calibri"/>
                <w:color w:val="000000"/>
                <w:sz w:val="16"/>
                <w:szCs w:val="16"/>
              </w:rPr>
              <w:t>Monotherapy</w:t>
            </w:r>
            <w:proofErr w:type="spellEnd"/>
          </w:p>
        </w:tc>
        <w:tc>
          <w:tcPr>
            <w:tcW w:w="0" w:type="auto"/>
            <w:shd w:val="clear" w:color="auto" w:fill="FFFFFF"/>
          </w:tcPr>
          <w:p w14:paraId="1D28E986" w14:textId="77777777" w:rsidR="00F233AE" w:rsidRPr="006371A6" w:rsidRDefault="00F233AE" w:rsidP="00CC2BF9">
            <w:pPr>
              <w:adjustRightInd w:val="0"/>
              <w:spacing w:after="0" w:line="240" w:lineRule="auto"/>
              <w:jc w:val="center"/>
              <w:rPr>
                <w:rFonts w:cs="Calibri"/>
                <w:color w:val="000000"/>
                <w:sz w:val="16"/>
                <w:szCs w:val="16"/>
              </w:rPr>
            </w:pPr>
            <w:proofErr w:type="spellStart"/>
            <w:r w:rsidRPr="006371A6">
              <w:rPr>
                <w:rFonts w:cs="Calibri"/>
                <w:color w:val="000000"/>
                <w:sz w:val="16"/>
                <w:szCs w:val="16"/>
              </w:rPr>
              <w:t>Atezolizumab</w:t>
            </w:r>
            <w:proofErr w:type="spellEnd"/>
          </w:p>
        </w:tc>
        <w:tc>
          <w:tcPr>
            <w:tcW w:w="0" w:type="auto"/>
            <w:shd w:val="clear" w:color="auto" w:fill="FFFFFF"/>
          </w:tcPr>
          <w:p w14:paraId="45936C42"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6</w:t>
            </w:r>
          </w:p>
        </w:tc>
        <w:tc>
          <w:tcPr>
            <w:tcW w:w="0" w:type="auto"/>
            <w:shd w:val="clear" w:color="auto" w:fill="FFFFFF"/>
          </w:tcPr>
          <w:p w14:paraId="43ACEAC1"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22</w:t>
            </w:r>
          </w:p>
        </w:tc>
        <w:tc>
          <w:tcPr>
            <w:tcW w:w="0" w:type="auto"/>
            <w:shd w:val="clear" w:color="auto" w:fill="FFFFFF"/>
          </w:tcPr>
          <w:p w14:paraId="5BB6D297"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0</w:t>
            </w:r>
          </w:p>
        </w:tc>
        <w:tc>
          <w:tcPr>
            <w:tcW w:w="0" w:type="auto"/>
            <w:shd w:val="clear" w:color="auto" w:fill="FFFFFF"/>
          </w:tcPr>
          <w:p w14:paraId="0FB9DAF4"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0.0%</w:t>
            </w:r>
          </w:p>
        </w:tc>
        <w:tc>
          <w:tcPr>
            <w:tcW w:w="0" w:type="auto"/>
            <w:shd w:val="clear" w:color="auto" w:fill="FFFFFF"/>
          </w:tcPr>
          <w:p w14:paraId="68116BED"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0</w:t>
            </w:r>
          </w:p>
        </w:tc>
        <w:tc>
          <w:tcPr>
            <w:tcW w:w="0" w:type="auto"/>
            <w:shd w:val="clear" w:color="auto" w:fill="FFFFFF"/>
          </w:tcPr>
          <w:p w14:paraId="7F664028"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0.0%</w:t>
            </w:r>
          </w:p>
        </w:tc>
        <w:tc>
          <w:tcPr>
            <w:tcW w:w="0" w:type="auto"/>
            <w:shd w:val="clear" w:color="auto" w:fill="FFFFFF"/>
          </w:tcPr>
          <w:p w14:paraId="10B82F4D"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0</w:t>
            </w:r>
          </w:p>
        </w:tc>
        <w:tc>
          <w:tcPr>
            <w:tcW w:w="0" w:type="auto"/>
            <w:shd w:val="clear" w:color="auto" w:fill="FFFFFF"/>
          </w:tcPr>
          <w:p w14:paraId="04FB5EB0"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0.0%</w:t>
            </w:r>
          </w:p>
        </w:tc>
        <w:tc>
          <w:tcPr>
            <w:tcW w:w="0" w:type="auto"/>
            <w:shd w:val="clear" w:color="auto" w:fill="FFFFFF"/>
          </w:tcPr>
          <w:p w14:paraId="3A6C44E1" w14:textId="77777777" w:rsidR="00F233AE" w:rsidRPr="00C7772E" w:rsidRDefault="00F233AE" w:rsidP="00CC2BF9">
            <w:pPr>
              <w:adjustRightInd w:val="0"/>
              <w:spacing w:after="0" w:line="240" w:lineRule="auto"/>
              <w:jc w:val="center"/>
              <w:rPr>
                <w:rFonts w:cs="Calibri"/>
                <w:color w:val="000000"/>
                <w:sz w:val="16"/>
              </w:rPr>
            </w:pPr>
            <w:r w:rsidRPr="00C7772E">
              <w:rPr>
                <w:rFonts w:cs="Calibri"/>
                <w:color w:val="000000"/>
                <w:sz w:val="16"/>
              </w:rPr>
              <w:t>22</w:t>
            </w:r>
          </w:p>
        </w:tc>
        <w:tc>
          <w:tcPr>
            <w:tcW w:w="0" w:type="auto"/>
            <w:shd w:val="clear" w:color="auto" w:fill="FFFFFF"/>
          </w:tcPr>
          <w:p w14:paraId="669B3564" w14:textId="77777777" w:rsidR="00F233AE" w:rsidRPr="00C7772E" w:rsidRDefault="00F233AE" w:rsidP="00CC2BF9">
            <w:pPr>
              <w:adjustRightInd w:val="0"/>
              <w:spacing w:after="0" w:line="240" w:lineRule="auto"/>
              <w:jc w:val="center"/>
              <w:rPr>
                <w:rFonts w:cs="Calibri"/>
                <w:color w:val="000000"/>
                <w:sz w:val="16"/>
              </w:rPr>
            </w:pPr>
            <w:r w:rsidRPr="00C7772E">
              <w:rPr>
                <w:rFonts w:cs="Calibri"/>
                <w:color w:val="000000"/>
                <w:sz w:val="16"/>
              </w:rPr>
              <w:t>100%</w:t>
            </w:r>
          </w:p>
        </w:tc>
        <w:tc>
          <w:tcPr>
            <w:tcW w:w="0" w:type="auto"/>
            <w:shd w:val="clear" w:color="auto" w:fill="FFFFFF"/>
          </w:tcPr>
          <w:p w14:paraId="6B5C2C5F"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0</w:t>
            </w:r>
          </w:p>
        </w:tc>
        <w:tc>
          <w:tcPr>
            <w:tcW w:w="0" w:type="auto"/>
            <w:shd w:val="clear" w:color="auto" w:fill="FFFFFF"/>
          </w:tcPr>
          <w:p w14:paraId="4A1F19B2"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0%</w:t>
            </w:r>
          </w:p>
        </w:tc>
      </w:tr>
      <w:tr w:rsidR="00F233AE" w:rsidRPr="00E736CC" w14:paraId="34A16ABF" w14:textId="77777777" w:rsidTr="00CC2BF9">
        <w:trPr>
          <w:cantSplit/>
          <w:trHeight w:val="619"/>
          <w:jc w:val="center"/>
        </w:trPr>
        <w:tc>
          <w:tcPr>
            <w:tcW w:w="0" w:type="auto"/>
            <w:shd w:val="clear" w:color="auto" w:fill="FFFFFF"/>
          </w:tcPr>
          <w:p w14:paraId="22E3D0B2" w14:textId="77777777" w:rsidR="00F233AE" w:rsidRPr="006371A6" w:rsidRDefault="00F233AE" w:rsidP="00CC2BF9">
            <w:pPr>
              <w:adjustRightInd w:val="0"/>
              <w:spacing w:after="0" w:line="240" w:lineRule="auto"/>
              <w:jc w:val="center"/>
              <w:rPr>
                <w:rFonts w:cs="Calibri"/>
                <w:color w:val="000000"/>
                <w:sz w:val="16"/>
                <w:szCs w:val="16"/>
              </w:rPr>
            </w:pPr>
            <w:proofErr w:type="spellStart"/>
            <w:r w:rsidRPr="006371A6">
              <w:rPr>
                <w:rFonts w:cs="Calibri"/>
                <w:color w:val="000000"/>
                <w:sz w:val="16"/>
                <w:szCs w:val="16"/>
              </w:rPr>
              <w:t>Monotherapy</w:t>
            </w:r>
            <w:proofErr w:type="spellEnd"/>
          </w:p>
        </w:tc>
        <w:tc>
          <w:tcPr>
            <w:tcW w:w="0" w:type="auto"/>
            <w:shd w:val="clear" w:color="auto" w:fill="FFFFFF"/>
          </w:tcPr>
          <w:p w14:paraId="18CA051F" w14:textId="77777777" w:rsidR="00F233AE" w:rsidRPr="006371A6" w:rsidRDefault="00F233AE" w:rsidP="00CC2BF9">
            <w:pPr>
              <w:adjustRightInd w:val="0"/>
              <w:spacing w:after="0" w:line="240" w:lineRule="auto"/>
              <w:jc w:val="center"/>
              <w:rPr>
                <w:rFonts w:cs="Calibri"/>
                <w:color w:val="000000"/>
                <w:sz w:val="16"/>
                <w:szCs w:val="16"/>
              </w:rPr>
            </w:pPr>
            <w:proofErr w:type="spellStart"/>
            <w:r w:rsidRPr="006371A6">
              <w:rPr>
                <w:rFonts w:cs="Calibri"/>
                <w:color w:val="000000"/>
                <w:sz w:val="16"/>
                <w:szCs w:val="16"/>
              </w:rPr>
              <w:t>Nivolumab</w:t>
            </w:r>
            <w:proofErr w:type="spellEnd"/>
          </w:p>
        </w:tc>
        <w:tc>
          <w:tcPr>
            <w:tcW w:w="0" w:type="auto"/>
            <w:shd w:val="clear" w:color="auto" w:fill="FFFFFF"/>
          </w:tcPr>
          <w:p w14:paraId="1933428B"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4</w:t>
            </w:r>
          </w:p>
        </w:tc>
        <w:tc>
          <w:tcPr>
            <w:tcW w:w="0" w:type="auto"/>
            <w:shd w:val="clear" w:color="auto" w:fill="FFFFFF"/>
          </w:tcPr>
          <w:p w14:paraId="5E8C7E86"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33</w:t>
            </w:r>
          </w:p>
        </w:tc>
        <w:tc>
          <w:tcPr>
            <w:tcW w:w="0" w:type="auto"/>
            <w:shd w:val="clear" w:color="auto" w:fill="FFFFFF"/>
          </w:tcPr>
          <w:p w14:paraId="4EDEC514"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12</w:t>
            </w:r>
          </w:p>
        </w:tc>
        <w:tc>
          <w:tcPr>
            <w:tcW w:w="0" w:type="auto"/>
            <w:shd w:val="clear" w:color="auto" w:fill="FFFFFF"/>
          </w:tcPr>
          <w:p w14:paraId="533B6768"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36.4%</w:t>
            </w:r>
          </w:p>
        </w:tc>
        <w:tc>
          <w:tcPr>
            <w:tcW w:w="0" w:type="auto"/>
            <w:shd w:val="clear" w:color="auto" w:fill="FFFFFF"/>
          </w:tcPr>
          <w:p w14:paraId="28FAE423"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3</w:t>
            </w:r>
          </w:p>
        </w:tc>
        <w:tc>
          <w:tcPr>
            <w:tcW w:w="0" w:type="auto"/>
            <w:shd w:val="clear" w:color="auto" w:fill="FFFFFF"/>
          </w:tcPr>
          <w:p w14:paraId="3C0EE702"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9.1%</w:t>
            </w:r>
          </w:p>
        </w:tc>
        <w:tc>
          <w:tcPr>
            <w:tcW w:w="0" w:type="auto"/>
            <w:shd w:val="clear" w:color="auto" w:fill="FFFFFF"/>
          </w:tcPr>
          <w:p w14:paraId="22C11ED4"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13</w:t>
            </w:r>
          </w:p>
        </w:tc>
        <w:tc>
          <w:tcPr>
            <w:tcW w:w="0" w:type="auto"/>
            <w:shd w:val="clear" w:color="auto" w:fill="FFFFFF"/>
          </w:tcPr>
          <w:p w14:paraId="65C88274"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39.4%</w:t>
            </w:r>
          </w:p>
        </w:tc>
        <w:tc>
          <w:tcPr>
            <w:tcW w:w="0" w:type="auto"/>
            <w:shd w:val="clear" w:color="auto" w:fill="FFFFFF"/>
          </w:tcPr>
          <w:p w14:paraId="58419B5E" w14:textId="77777777" w:rsidR="00F233AE" w:rsidRPr="00C7772E" w:rsidRDefault="00F233AE" w:rsidP="00CC2BF9">
            <w:pPr>
              <w:adjustRightInd w:val="0"/>
              <w:spacing w:after="0" w:line="240" w:lineRule="auto"/>
              <w:jc w:val="center"/>
              <w:rPr>
                <w:rFonts w:cs="Calibri"/>
                <w:color w:val="000000"/>
                <w:sz w:val="16"/>
              </w:rPr>
            </w:pPr>
            <w:r w:rsidRPr="00C7772E">
              <w:rPr>
                <w:rFonts w:cs="Calibri"/>
                <w:color w:val="000000"/>
                <w:sz w:val="16"/>
              </w:rPr>
              <w:t>1</w:t>
            </w:r>
          </w:p>
        </w:tc>
        <w:tc>
          <w:tcPr>
            <w:tcW w:w="0" w:type="auto"/>
            <w:shd w:val="clear" w:color="auto" w:fill="FFFFFF"/>
          </w:tcPr>
          <w:p w14:paraId="67F24F52" w14:textId="77777777" w:rsidR="00F233AE" w:rsidRPr="00C7772E" w:rsidRDefault="00F233AE" w:rsidP="00CC2BF9">
            <w:pPr>
              <w:adjustRightInd w:val="0"/>
              <w:spacing w:after="0" w:line="240" w:lineRule="auto"/>
              <w:jc w:val="center"/>
              <w:rPr>
                <w:rFonts w:cs="Calibri"/>
                <w:color w:val="000000"/>
                <w:sz w:val="16"/>
              </w:rPr>
            </w:pPr>
            <w:r w:rsidRPr="00C7772E">
              <w:rPr>
                <w:rFonts w:cs="Calibri"/>
                <w:color w:val="000000"/>
                <w:sz w:val="16"/>
              </w:rPr>
              <w:t>3.0%</w:t>
            </w:r>
          </w:p>
        </w:tc>
        <w:tc>
          <w:tcPr>
            <w:tcW w:w="0" w:type="auto"/>
            <w:shd w:val="clear" w:color="auto" w:fill="FFFFFF"/>
          </w:tcPr>
          <w:p w14:paraId="55D9E563"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4</w:t>
            </w:r>
          </w:p>
        </w:tc>
        <w:tc>
          <w:tcPr>
            <w:tcW w:w="0" w:type="auto"/>
            <w:shd w:val="clear" w:color="auto" w:fill="FFFFFF"/>
          </w:tcPr>
          <w:p w14:paraId="2341F6AF"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12.1%</w:t>
            </w:r>
          </w:p>
        </w:tc>
      </w:tr>
      <w:tr w:rsidR="00F233AE" w:rsidRPr="00E736CC" w14:paraId="2C8DB29F" w14:textId="77777777" w:rsidTr="00CC2BF9">
        <w:trPr>
          <w:cantSplit/>
          <w:trHeight w:val="651"/>
          <w:jc w:val="center"/>
        </w:trPr>
        <w:tc>
          <w:tcPr>
            <w:tcW w:w="0" w:type="auto"/>
            <w:shd w:val="clear" w:color="auto" w:fill="FFFFFF"/>
          </w:tcPr>
          <w:p w14:paraId="2F88ECB1"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Combination :</w:t>
            </w:r>
          </w:p>
          <w:p w14:paraId="32ED0AD5" w14:textId="77777777" w:rsidR="00F233AE" w:rsidRPr="006371A6" w:rsidRDefault="00F233AE" w:rsidP="00CC2BF9">
            <w:pPr>
              <w:adjustRightInd w:val="0"/>
              <w:spacing w:after="0" w:line="240" w:lineRule="auto"/>
              <w:jc w:val="center"/>
              <w:rPr>
                <w:rFonts w:cs="Calibri"/>
                <w:color w:val="000000"/>
                <w:sz w:val="16"/>
                <w:szCs w:val="16"/>
              </w:rPr>
            </w:pPr>
            <w:proofErr w:type="spellStart"/>
            <w:r w:rsidRPr="006371A6">
              <w:rPr>
                <w:rFonts w:cs="Calibri"/>
                <w:color w:val="000000"/>
                <w:sz w:val="16"/>
                <w:szCs w:val="16"/>
              </w:rPr>
              <w:t>Immunotherapy</w:t>
            </w:r>
            <w:proofErr w:type="spellEnd"/>
            <w:r w:rsidRPr="006371A6">
              <w:rPr>
                <w:rFonts w:cs="Calibri"/>
                <w:color w:val="000000"/>
                <w:sz w:val="16"/>
                <w:szCs w:val="16"/>
              </w:rPr>
              <w:t xml:space="preserve"> + </w:t>
            </w:r>
            <w:proofErr w:type="spellStart"/>
            <w:r w:rsidRPr="006371A6">
              <w:rPr>
                <w:rFonts w:cs="Calibri"/>
                <w:color w:val="000000"/>
                <w:sz w:val="16"/>
                <w:szCs w:val="16"/>
              </w:rPr>
              <w:t>other</w:t>
            </w:r>
            <w:proofErr w:type="spellEnd"/>
          </w:p>
        </w:tc>
        <w:tc>
          <w:tcPr>
            <w:tcW w:w="0" w:type="auto"/>
            <w:shd w:val="clear" w:color="auto" w:fill="FFFFFF"/>
          </w:tcPr>
          <w:p w14:paraId="4AC560A0"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 xml:space="preserve">Pembrolizumab </w:t>
            </w:r>
          </w:p>
          <w:p w14:paraId="1118AC66" w14:textId="77777777" w:rsidR="00F233AE" w:rsidRPr="006371A6" w:rsidRDefault="00F233AE" w:rsidP="00CC2BF9">
            <w:pPr>
              <w:adjustRightInd w:val="0"/>
              <w:spacing w:after="0" w:line="240" w:lineRule="auto"/>
              <w:jc w:val="center"/>
              <w:rPr>
                <w:rFonts w:cs="Calibri"/>
                <w:color w:val="000000"/>
                <w:sz w:val="16"/>
                <w:szCs w:val="16"/>
              </w:rPr>
            </w:pPr>
            <w:proofErr w:type="gramStart"/>
            <w:r w:rsidRPr="006371A6">
              <w:rPr>
                <w:rFonts w:cs="Calibri"/>
                <w:color w:val="000000"/>
                <w:sz w:val="16"/>
                <w:szCs w:val="16"/>
              </w:rPr>
              <w:t>plus</w:t>
            </w:r>
            <w:proofErr w:type="gramEnd"/>
            <w:r w:rsidRPr="006371A6">
              <w:rPr>
                <w:rFonts w:cs="Calibri"/>
                <w:color w:val="000000"/>
                <w:sz w:val="16"/>
                <w:szCs w:val="16"/>
              </w:rPr>
              <w:t xml:space="preserve"> </w:t>
            </w:r>
            <w:proofErr w:type="spellStart"/>
            <w:r w:rsidRPr="006371A6">
              <w:rPr>
                <w:rFonts w:cs="Calibri"/>
                <w:color w:val="000000"/>
                <w:sz w:val="16"/>
                <w:szCs w:val="16"/>
              </w:rPr>
              <w:t>doxorubicin</w:t>
            </w:r>
            <w:proofErr w:type="spellEnd"/>
          </w:p>
        </w:tc>
        <w:tc>
          <w:tcPr>
            <w:tcW w:w="0" w:type="auto"/>
            <w:shd w:val="clear" w:color="auto" w:fill="FFFFFF"/>
          </w:tcPr>
          <w:p w14:paraId="7A9A8976"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8</w:t>
            </w:r>
          </w:p>
        </w:tc>
        <w:tc>
          <w:tcPr>
            <w:tcW w:w="0" w:type="auto"/>
            <w:shd w:val="clear" w:color="auto" w:fill="FFFFFF"/>
          </w:tcPr>
          <w:p w14:paraId="15986DDA"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36</w:t>
            </w:r>
          </w:p>
        </w:tc>
        <w:tc>
          <w:tcPr>
            <w:tcW w:w="0" w:type="auto"/>
            <w:shd w:val="clear" w:color="auto" w:fill="FFFFFF"/>
          </w:tcPr>
          <w:p w14:paraId="13BB12F3"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3</w:t>
            </w:r>
          </w:p>
        </w:tc>
        <w:tc>
          <w:tcPr>
            <w:tcW w:w="0" w:type="auto"/>
            <w:shd w:val="clear" w:color="auto" w:fill="FFFFFF"/>
          </w:tcPr>
          <w:p w14:paraId="0AD2A416"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8.3%</w:t>
            </w:r>
          </w:p>
        </w:tc>
        <w:tc>
          <w:tcPr>
            <w:tcW w:w="0" w:type="auto"/>
            <w:shd w:val="clear" w:color="auto" w:fill="FFFFFF"/>
          </w:tcPr>
          <w:p w14:paraId="4DED8F1F"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4</w:t>
            </w:r>
          </w:p>
        </w:tc>
        <w:tc>
          <w:tcPr>
            <w:tcW w:w="0" w:type="auto"/>
            <w:shd w:val="clear" w:color="auto" w:fill="FFFFFF"/>
          </w:tcPr>
          <w:p w14:paraId="2D987BC5"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11.1%</w:t>
            </w:r>
          </w:p>
        </w:tc>
        <w:tc>
          <w:tcPr>
            <w:tcW w:w="0" w:type="auto"/>
            <w:shd w:val="clear" w:color="auto" w:fill="FFFFFF"/>
          </w:tcPr>
          <w:p w14:paraId="4DD0F06F"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10</w:t>
            </w:r>
          </w:p>
        </w:tc>
        <w:tc>
          <w:tcPr>
            <w:tcW w:w="0" w:type="auto"/>
            <w:shd w:val="clear" w:color="auto" w:fill="FFFFFF"/>
          </w:tcPr>
          <w:p w14:paraId="63A4B12E"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27.8%</w:t>
            </w:r>
          </w:p>
        </w:tc>
        <w:tc>
          <w:tcPr>
            <w:tcW w:w="0" w:type="auto"/>
            <w:shd w:val="clear" w:color="auto" w:fill="FFFFFF"/>
          </w:tcPr>
          <w:p w14:paraId="402E3044" w14:textId="77777777" w:rsidR="00F233AE" w:rsidRPr="00C7772E" w:rsidRDefault="00F233AE" w:rsidP="00CC2BF9">
            <w:pPr>
              <w:adjustRightInd w:val="0"/>
              <w:spacing w:after="0" w:line="240" w:lineRule="auto"/>
              <w:jc w:val="center"/>
              <w:rPr>
                <w:rFonts w:cs="Calibri"/>
                <w:color w:val="000000"/>
                <w:sz w:val="16"/>
              </w:rPr>
            </w:pPr>
            <w:r>
              <w:rPr>
                <w:rFonts w:cs="Calibri"/>
                <w:color w:val="000000"/>
                <w:sz w:val="16"/>
              </w:rPr>
              <w:t>0</w:t>
            </w:r>
          </w:p>
        </w:tc>
        <w:tc>
          <w:tcPr>
            <w:tcW w:w="0" w:type="auto"/>
            <w:shd w:val="clear" w:color="auto" w:fill="FFFFFF"/>
          </w:tcPr>
          <w:p w14:paraId="46FE7286" w14:textId="77777777" w:rsidR="00F233AE" w:rsidRPr="00C7772E" w:rsidRDefault="00F233AE" w:rsidP="00CC2BF9">
            <w:pPr>
              <w:adjustRightInd w:val="0"/>
              <w:spacing w:after="0" w:line="240" w:lineRule="auto"/>
              <w:jc w:val="center"/>
              <w:rPr>
                <w:rFonts w:cs="Calibri"/>
                <w:color w:val="000000"/>
                <w:sz w:val="16"/>
              </w:rPr>
            </w:pPr>
            <w:r>
              <w:rPr>
                <w:rFonts w:cs="Calibri"/>
                <w:color w:val="000000"/>
                <w:sz w:val="16"/>
              </w:rPr>
              <w:t>0</w:t>
            </w:r>
            <w:r w:rsidRPr="00C7772E">
              <w:rPr>
                <w:rFonts w:cs="Calibri"/>
                <w:color w:val="000000"/>
                <w:sz w:val="16"/>
              </w:rPr>
              <w:t>%</w:t>
            </w:r>
          </w:p>
        </w:tc>
        <w:tc>
          <w:tcPr>
            <w:tcW w:w="0" w:type="auto"/>
            <w:shd w:val="clear" w:color="auto" w:fill="FFFFFF"/>
          </w:tcPr>
          <w:p w14:paraId="2A7C6602"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19</w:t>
            </w:r>
          </w:p>
        </w:tc>
        <w:tc>
          <w:tcPr>
            <w:tcW w:w="0" w:type="auto"/>
            <w:shd w:val="clear" w:color="auto" w:fill="FFFFFF"/>
          </w:tcPr>
          <w:p w14:paraId="016220B7"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52.8%</w:t>
            </w:r>
          </w:p>
        </w:tc>
      </w:tr>
      <w:tr w:rsidR="00F233AE" w:rsidRPr="00E736CC" w14:paraId="430C0412" w14:textId="77777777" w:rsidTr="00CC2BF9">
        <w:trPr>
          <w:cantSplit/>
          <w:trHeight w:val="619"/>
          <w:jc w:val="center"/>
        </w:trPr>
        <w:tc>
          <w:tcPr>
            <w:tcW w:w="0" w:type="auto"/>
            <w:shd w:val="clear" w:color="auto" w:fill="FFFFFF"/>
          </w:tcPr>
          <w:p w14:paraId="530A42B2"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Combination :</w:t>
            </w:r>
          </w:p>
          <w:p w14:paraId="4BAD9033" w14:textId="77777777" w:rsidR="00F233AE" w:rsidRPr="006371A6" w:rsidRDefault="00F233AE" w:rsidP="00CC2BF9">
            <w:pPr>
              <w:adjustRightInd w:val="0"/>
              <w:spacing w:after="0" w:line="240" w:lineRule="auto"/>
              <w:jc w:val="center"/>
              <w:rPr>
                <w:rFonts w:cs="Calibri"/>
                <w:color w:val="000000"/>
                <w:sz w:val="16"/>
                <w:szCs w:val="16"/>
              </w:rPr>
            </w:pPr>
            <w:proofErr w:type="spellStart"/>
            <w:r w:rsidRPr="006371A6">
              <w:rPr>
                <w:rFonts w:cs="Calibri"/>
                <w:color w:val="000000"/>
                <w:sz w:val="16"/>
                <w:szCs w:val="16"/>
              </w:rPr>
              <w:t>Immunotherapy</w:t>
            </w:r>
            <w:proofErr w:type="spellEnd"/>
            <w:r w:rsidRPr="006371A6">
              <w:rPr>
                <w:rFonts w:cs="Calibri"/>
                <w:color w:val="000000"/>
                <w:sz w:val="16"/>
                <w:szCs w:val="16"/>
              </w:rPr>
              <w:t xml:space="preserve"> + </w:t>
            </w:r>
            <w:proofErr w:type="spellStart"/>
            <w:r w:rsidRPr="006371A6">
              <w:rPr>
                <w:rFonts w:cs="Calibri"/>
                <w:color w:val="000000"/>
                <w:sz w:val="16"/>
                <w:szCs w:val="16"/>
              </w:rPr>
              <w:t>other</w:t>
            </w:r>
            <w:proofErr w:type="spellEnd"/>
          </w:p>
        </w:tc>
        <w:tc>
          <w:tcPr>
            <w:tcW w:w="0" w:type="auto"/>
            <w:shd w:val="clear" w:color="auto" w:fill="FFFFFF"/>
          </w:tcPr>
          <w:p w14:paraId="5C81DB7A"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 xml:space="preserve">Pembrolizumab + </w:t>
            </w:r>
          </w:p>
          <w:p w14:paraId="7CCDC72F" w14:textId="77777777" w:rsidR="00F233AE" w:rsidRPr="006371A6" w:rsidRDefault="00F233AE" w:rsidP="00CC2BF9">
            <w:pPr>
              <w:adjustRightInd w:val="0"/>
              <w:spacing w:after="0" w:line="240" w:lineRule="auto"/>
              <w:jc w:val="center"/>
              <w:rPr>
                <w:rFonts w:cs="Calibri"/>
                <w:color w:val="000000"/>
                <w:sz w:val="16"/>
                <w:szCs w:val="16"/>
              </w:rPr>
            </w:pPr>
            <w:proofErr w:type="gramStart"/>
            <w:r w:rsidRPr="006371A6">
              <w:rPr>
                <w:rFonts w:cs="Calibri"/>
                <w:color w:val="000000"/>
                <w:sz w:val="16"/>
                <w:szCs w:val="16"/>
              </w:rPr>
              <w:t>cyclophosphamide</w:t>
            </w:r>
            <w:proofErr w:type="gramEnd"/>
          </w:p>
        </w:tc>
        <w:tc>
          <w:tcPr>
            <w:tcW w:w="0" w:type="auto"/>
            <w:shd w:val="clear" w:color="auto" w:fill="FFFFFF"/>
          </w:tcPr>
          <w:p w14:paraId="7D5F5D8B"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5</w:t>
            </w:r>
          </w:p>
        </w:tc>
        <w:tc>
          <w:tcPr>
            <w:tcW w:w="0" w:type="auto"/>
            <w:shd w:val="clear" w:color="auto" w:fill="FFFFFF"/>
          </w:tcPr>
          <w:p w14:paraId="4E9486EB"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47</w:t>
            </w:r>
          </w:p>
        </w:tc>
        <w:tc>
          <w:tcPr>
            <w:tcW w:w="0" w:type="auto"/>
            <w:shd w:val="clear" w:color="auto" w:fill="FFFFFF"/>
          </w:tcPr>
          <w:p w14:paraId="3308D517"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16</w:t>
            </w:r>
          </w:p>
        </w:tc>
        <w:tc>
          <w:tcPr>
            <w:tcW w:w="0" w:type="auto"/>
            <w:shd w:val="clear" w:color="auto" w:fill="FFFFFF"/>
          </w:tcPr>
          <w:p w14:paraId="74E3A686"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34.0%</w:t>
            </w:r>
          </w:p>
        </w:tc>
        <w:tc>
          <w:tcPr>
            <w:tcW w:w="0" w:type="auto"/>
            <w:shd w:val="clear" w:color="auto" w:fill="FFFFFF"/>
          </w:tcPr>
          <w:p w14:paraId="5C785458"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2</w:t>
            </w:r>
          </w:p>
        </w:tc>
        <w:tc>
          <w:tcPr>
            <w:tcW w:w="0" w:type="auto"/>
            <w:shd w:val="clear" w:color="auto" w:fill="FFFFFF"/>
          </w:tcPr>
          <w:p w14:paraId="0F48A2F1"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4.3%</w:t>
            </w:r>
          </w:p>
        </w:tc>
        <w:tc>
          <w:tcPr>
            <w:tcW w:w="0" w:type="auto"/>
            <w:shd w:val="clear" w:color="auto" w:fill="FFFFFF"/>
          </w:tcPr>
          <w:p w14:paraId="709FAB66"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15</w:t>
            </w:r>
          </w:p>
        </w:tc>
        <w:tc>
          <w:tcPr>
            <w:tcW w:w="0" w:type="auto"/>
            <w:shd w:val="clear" w:color="auto" w:fill="FFFFFF"/>
          </w:tcPr>
          <w:p w14:paraId="387F5C92"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31.9%</w:t>
            </w:r>
          </w:p>
        </w:tc>
        <w:tc>
          <w:tcPr>
            <w:tcW w:w="0" w:type="auto"/>
            <w:shd w:val="clear" w:color="auto" w:fill="FFFFFF"/>
          </w:tcPr>
          <w:p w14:paraId="090F11E7" w14:textId="77777777" w:rsidR="00F233AE" w:rsidRPr="00C7772E" w:rsidRDefault="00F233AE" w:rsidP="00CC2BF9">
            <w:pPr>
              <w:adjustRightInd w:val="0"/>
              <w:spacing w:after="0" w:line="240" w:lineRule="auto"/>
              <w:jc w:val="center"/>
              <w:rPr>
                <w:rFonts w:cs="Calibri"/>
                <w:color w:val="000000"/>
                <w:sz w:val="16"/>
              </w:rPr>
            </w:pPr>
            <w:r w:rsidRPr="00C7772E">
              <w:rPr>
                <w:rFonts w:cs="Calibri"/>
                <w:color w:val="000000"/>
                <w:sz w:val="16"/>
              </w:rPr>
              <w:t>0</w:t>
            </w:r>
          </w:p>
        </w:tc>
        <w:tc>
          <w:tcPr>
            <w:tcW w:w="0" w:type="auto"/>
            <w:shd w:val="clear" w:color="auto" w:fill="FFFFFF"/>
          </w:tcPr>
          <w:p w14:paraId="222E7BA0" w14:textId="77777777" w:rsidR="00F233AE" w:rsidRPr="00C7772E" w:rsidRDefault="00F233AE" w:rsidP="00CC2BF9">
            <w:pPr>
              <w:adjustRightInd w:val="0"/>
              <w:spacing w:after="0" w:line="240" w:lineRule="auto"/>
              <w:jc w:val="center"/>
              <w:rPr>
                <w:rFonts w:cs="Calibri"/>
                <w:color w:val="000000"/>
                <w:sz w:val="16"/>
              </w:rPr>
            </w:pPr>
            <w:r w:rsidRPr="00C7772E">
              <w:rPr>
                <w:rFonts w:cs="Calibri"/>
                <w:color w:val="000000"/>
                <w:sz w:val="16"/>
              </w:rPr>
              <w:t>0.0%</w:t>
            </w:r>
          </w:p>
        </w:tc>
        <w:tc>
          <w:tcPr>
            <w:tcW w:w="0" w:type="auto"/>
            <w:shd w:val="clear" w:color="auto" w:fill="FFFFFF"/>
          </w:tcPr>
          <w:p w14:paraId="6C495F25"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14</w:t>
            </w:r>
          </w:p>
        </w:tc>
        <w:tc>
          <w:tcPr>
            <w:tcW w:w="0" w:type="auto"/>
            <w:shd w:val="clear" w:color="auto" w:fill="FFFFFF"/>
          </w:tcPr>
          <w:p w14:paraId="55D40D38"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29.8%</w:t>
            </w:r>
          </w:p>
        </w:tc>
      </w:tr>
      <w:tr w:rsidR="00F233AE" w:rsidRPr="00E736CC" w14:paraId="61264EA1" w14:textId="77777777" w:rsidTr="00CC2BF9">
        <w:trPr>
          <w:cantSplit/>
          <w:trHeight w:val="651"/>
          <w:jc w:val="center"/>
        </w:trPr>
        <w:tc>
          <w:tcPr>
            <w:tcW w:w="0" w:type="auto"/>
            <w:shd w:val="clear" w:color="auto" w:fill="FFFFFF"/>
          </w:tcPr>
          <w:p w14:paraId="3F050181"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Combination :</w:t>
            </w:r>
          </w:p>
          <w:p w14:paraId="3E1778F8" w14:textId="77777777" w:rsidR="00F233AE" w:rsidRPr="006371A6" w:rsidRDefault="00F233AE" w:rsidP="00CC2BF9">
            <w:pPr>
              <w:adjustRightInd w:val="0"/>
              <w:spacing w:after="0" w:line="240" w:lineRule="auto"/>
              <w:jc w:val="center"/>
              <w:rPr>
                <w:rFonts w:cs="Calibri"/>
                <w:color w:val="000000"/>
                <w:sz w:val="16"/>
                <w:szCs w:val="16"/>
              </w:rPr>
            </w:pPr>
            <w:proofErr w:type="spellStart"/>
            <w:r w:rsidRPr="006371A6">
              <w:rPr>
                <w:rFonts w:cs="Calibri"/>
                <w:color w:val="000000"/>
                <w:sz w:val="16"/>
                <w:szCs w:val="16"/>
              </w:rPr>
              <w:t>Immunotherapy</w:t>
            </w:r>
            <w:proofErr w:type="spellEnd"/>
            <w:r w:rsidRPr="006371A6">
              <w:rPr>
                <w:rFonts w:cs="Calibri"/>
                <w:color w:val="000000"/>
                <w:sz w:val="16"/>
                <w:szCs w:val="16"/>
              </w:rPr>
              <w:t xml:space="preserve"> + </w:t>
            </w:r>
            <w:proofErr w:type="spellStart"/>
            <w:r w:rsidRPr="006371A6">
              <w:rPr>
                <w:rFonts w:cs="Calibri"/>
                <w:color w:val="000000"/>
                <w:sz w:val="16"/>
                <w:szCs w:val="16"/>
              </w:rPr>
              <w:t>other</w:t>
            </w:r>
            <w:proofErr w:type="spellEnd"/>
          </w:p>
        </w:tc>
        <w:tc>
          <w:tcPr>
            <w:tcW w:w="0" w:type="auto"/>
            <w:shd w:val="clear" w:color="auto" w:fill="FFFFFF"/>
          </w:tcPr>
          <w:p w14:paraId="2588AA65"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 xml:space="preserve">Pembrolizumab + </w:t>
            </w:r>
          </w:p>
          <w:p w14:paraId="06FDB88A" w14:textId="77777777" w:rsidR="00F233AE" w:rsidRPr="006371A6" w:rsidRDefault="00F233AE" w:rsidP="00CC2BF9">
            <w:pPr>
              <w:adjustRightInd w:val="0"/>
              <w:spacing w:after="0" w:line="240" w:lineRule="auto"/>
              <w:jc w:val="center"/>
              <w:rPr>
                <w:rFonts w:cs="Calibri"/>
                <w:color w:val="000000"/>
                <w:sz w:val="16"/>
                <w:szCs w:val="16"/>
              </w:rPr>
            </w:pPr>
            <w:proofErr w:type="spellStart"/>
            <w:proofErr w:type="gramStart"/>
            <w:r w:rsidRPr="006371A6">
              <w:rPr>
                <w:rFonts w:cs="Calibri"/>
                <w:color w:val="000000"/>
                <w:sz w:val="16"/>
                <w:szCs w:val="16"/>
              </w:rPr>
              <w:t>axitinib</w:t>
            </w:r>
            <w:proofErr w:type="spellEnd"/>
            <w:proofErr w:type="gramEnd"/>
          </w:p>
        </w:tc>
        <w:tc>
          <w:tcPr>
            <w:tcW w:w="0" w:type="auto"/>
            <w:shd w:val="clear" w:color="auto" w:fill="FFFFFF"/>
          </w:tcPr>
          <w:p w14:paraId="4E9D436C"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7</w:t>
            </w:r>
          </w:p>
        </w:tc>
        <w:tc>
          <w:tcPr>
            <w:tcW w:w="0" w:type="auto"/>
            <w:shd w:val="clear" w:color="auto" w:fill="FFFFFF"/>
          </w:tcPr>
          <w:p w14:paraId="02307668"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34</w:t>
            </w:r>
          </w:p>
        </w:tc>
        <w:tc>
          <w:tcPr>
            <w:tcW w:w="0" w:type="auto"/>
            <w:shd w:val="clear" w:color="auto" w:fill="FFFFFF"/>
          </w:tcPr>
          <w:p w14:paraId="183B240A"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5</w:t>
            </w:r>
          </w:p>
        </w:tc>
        <w:tc>
          <w:tcPr>
            <w:tcW w:w="0" w:type="auto"/>
            <w:shd w:val="clear" w:color="auto" w:fill="FFFFFF"/>
          </w:tcPr>
          <w:p w14:paraId="2FE24637"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14.7%</w:t>
            </w:r>
          </w:p>
        </w:tc>
        <w:tc>
          <w:tcPr>
            <w:tcW w:w="0" w:type="auto"/>
            <w:shd w:val="clear" w:color="auto" w:fill="FFFFFF"/>
          </w:tcPr>
          <w:p w14:paraId="16AC6767"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2</w:t>
            </w:r>
          </w:p>
        </w:tc>
        <w:tc>
          <w:tcPr>
            <w:tcW w:w="0" w:type="auto"/>
            <w:shd w:val="clear" w:color="auto" w:fill="FFFFFF"/>
          </w:tcPr>
          <w:p w14:paraId="6F078F77"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5.9%</w:t>
            </w:r>
          </w:p>
        </w:tc>
        <w:tc>
          <w:tcPr>
            <w:tcW w:w="0" w:type="auto"/>
            <w:shd w:val="clear" w:color="auto" w:fill="FFFFFF"/>
          </w:tcPr>
          <w:p w14:paraId="1017B927"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6</w:t>
            </w:r>
          </w:p>
        </w:tc>
        <w:tc>
          <w:tcPr>
            <w:tcW w:w="0" w:type="auto"/>
            <w:shd w:val="clear" w:color="auto" w:fill="FFFFFF"/>
          </w:tcPr>
          <w:p w14:paraId="7926B673"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17.7%</w:t>
            </w:r>
          </w:p>
        </w:tc>
        <w:tc>
          <w:tcPr>
            <w:tcW w:w="0" w:type="auto"/>
            <w:shd w:val="clear" w:color="auto" w:fill="FFFFFF"/>
          </w:tcPr>
          <w:p w14:paraId="5D325D33" w14:textId="77777777" w:rsidR="00F233AE" w:rsidRPr="00C7772E" w:rsidRDefault="00F233AE" w:rsidP="00CC2BF9">
            <w:pPr>
              <w:adjustRightInd w:val="0"/>
              <w:spacing w:after="0" w:line="240" w:lineRule="auto"/>
              <w:jc w:val="center"/>
              <w:rPr>
                <w:rFonts w:cs="Calibri"/>
                <w:color w:val="000000"/>
                <w:sz w:val="16"/>
              </w:rPr>
            </w:pPr>
            <w:r w:rsidRPr="00C7772E">
              <w:rPr>
                <w:rFonts w:cs="Calibri"/>
                <w:color w:val="000000"/>
                <w:sz w:val="16"/>
              </w:rPr>
              <w:t>12</w:t>
            </w:r>
          </w:p>
        </w:tc>
        <w:tc>
          <w:tcPr>
            <w:tcW w:w="0" w:type="auto"/>
            <w:shd w:val="clear" w:color="auto" w:fill="FFFFFF"/>
          </w:tcPr>
          <w:p w14:paraId="702E5E71" w14:textId="77777777" w:rsidR="00F233AE" w:rsidRPr="00C7772E" w:rsidRDefault="00F233AE" w:rsidP="00CC2BF9">
            <w:pPr>
              <w:adjustRightInd w:val="0"/>
              <w:spacing w:after="0" w:line="240" w:lineRule="auto"/>
              <w:jc w:val="center"/>
              <w:rPr>
                <w:rFonts w:cs="Calibri"/>
                <w:color w:val="000000"/>
                <w:sz w:val="16"/>
              </w:rPr>
            </w:pPr>
            <w:r w:rsidRPr="00C7772E">
              <w:rPr>
                <w:rFonts w:cs="Calibri"/>
                <w:color w:val="000000"/>
                <w:sz w:val="16"/>
              </w:rPr>
              <w:t>3</w:t>
            </w:r>
            <w:r>
              <w:rPr>
                <w:rFonts w:cs="Calibri"/>
                <w:color w:val="000000"/>
                <w:sz w:val="16"/>
              </w:rPr>
              <w:t>5</w:t>
            </w:r>
            <w:r w:rsidRPr="00C7772E">
              <w:rPr>
                <w:rFonts w:cs="Calibri"/>
                <w:color w:val="000000"/>
                <w:sz w:val="16"/>
              </w:rPr>
              <w:t>.</w:t>
            </w:r>
            <w:r>
              <w:rPr>
                <w:rFonts w:cs="Calibri"/>
                <w:color w:val="000000"/>
                <w:sz w:val="16"/>
              </w:rPr>
              <w:t>3</w:t>
            </w:r>
            <w:r w:rsidRPr="00C7772E">
              <w:rPr>
                <w:rFonts w:cs="Calibri"/>
                <w:color w:val="000000"/>
                <w:sz w:val="16"/>
              </w:rPr>
              <w:t>%</w:t>
            </w:r>
          </w:p>
        </w:tc>
        <w:tc>
          <w:tcPr>
            <w:tcW w:w="0" w:type="auto"/>
            <w:shd w:val="clear" w:color="auto" w:fill="FFFFFF"/>
          </w:tcPr>
          <w:p w14:paraId="3DEA0AFD"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 xml:space="preserve"> 9</w:t>
            </w:r>
          </w:p>
        </w:tc>
        <w:tc>
          <w:tcPr>
            <w:tcW w:w="0" w:type="auto"/>
            <w:shd w:val="clear" w:color="auto" w:fill="FFFFFF"/>
          </w:tcPr>
          <w:p w14:paraId="56B46227"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26.5%</w:t>
            </w:r>
          </w:p>
        </w:tc>
      </w:tr>
      <w:tr w:rsidR="00F233AE" w:rsidRPr="00E736CC" w14:paraId="07821C6B" w14:textId="77777777" w:rsidTr="00CC2BF9">
        <w:trPr>
          <w:cantSplit/>
          <w:trHeight w:val="619"/>
          <w:jc w:val="center"/>
        </w:trPr>
        <w:tc>
          <w:tcPr>
            <w:tcW w:w="0" w:type="auto"/>
            <w:shd w:val="clear" w:color="auto" w:fill="FFFFFF"/>
          </w:tcPr>
          <w:p w14:paraId="15A355E0"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Combination :</w:t>
            </w:r>
          </w:p>
          <w:p w14:paraId="36222E9E"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 xml:space="preserve">Double </w:t>
            </w:r>
            <w:proofErr w:type="spellStart"/>
            <w:r w:rsidRPr="006371A6">
              <w:rPr>
                <w:rFonts w:cs="Calibri"/>
                <w:color w:val="000000"/>
                <w:sz w:val="16"/>
                <w:szCs w:val="16"/>
              </w:rPr>
              <w:t>immunotherapy</w:t>
            </w:r>
            <w:proofErr w:type="spellEnd"/>
          </w:p>
        </w:tc>
        <w:tc>
          <w:tcPr>
            <w:tcW w:w="0" w:type="auto"/>
            <w:shd w:val="clear" w:color="auto" w:fill="FFFFFF"/>
          </w:tcPr>
          <w:p w14:paraId="58633EBC"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 xml:space="preserve">Pembrolizumab + </w:t>
            </w:r>
          </w:p>
          <w:p w14:paraId="726A9C3E"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NKTR 214</w:t>
            </w:r>
          </w:p>
        </w:tc>
        <w:tc>
          <w:tcPr>
            <w:tcW w:w="0" w:type="auto"/>
            <w:shd w:val="clear" w:color="auto" w:fill="FFFFFF"/>
          </w:tcPr>
          <w:p w14:paraId="7EF8F094"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9</w:t>
            </w:r>
          </w:p>
        </w:tc>
        <w:tc>
          <w:tcPr>
            <w:tcW w:w="0" w:type="auto"/>
            <w:shd w:val="clear" w:color="auto" w:fill="FFFFFF"/>
          </w:tcPr>
          <w:p w14:paraId="2F3259EC"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40</w:t>
            </w:r>
          </w:p>
        </w:tc>
        <w:tc>
          <w:tcPr>
            <w:tcW w:w="0" w:type="auto"/>
            <w:shd w:val="clear" w:color="auto" w:fill="FFFFFF"/>
          </w:tcPr>
          <w:p w14:paraId="39B08BD3"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10</w:t>
            </w:r>
          </w:p>
        </w:tc>
        <w:tc>
          <w:tcPr>
            <w:tcW w:w="0" w:type="auto"/>
            <w:shd w:val="clear" w:color="auto" w:fill="FFFFFF"/>
          </w:tcPr>
          <w:p w14:paraId="44F0F65E"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25.0%</w:t>
            </w:r>
          </w:p>
        </w:tc>
        <w:tc>
          <w:tcPr>
            <w:tcW w:w="0" w:type="auto"/>
            <w:shd w:val="clear" w:color="auto" w:fill="FFFFFF"/>
          </w:tcPr>
          <w:p w14:paraId="6B285062"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10</w:t>
            </w:r>
          </w:p>
        </w:tc>
        <w:tc>
          <w:tcPr>
            <w:tcW w:w="0" w:type="auto"/>
            <w:shd w:val="clear" w:color="auto" w:fill="FFFFFF"/>
          </w:tcPr>
          <w:p w14:paraId="04A0B073"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25.0%</w:t>
            </w:r>
          </w:p>
        </w:tc>
        <w:tc>
          <w:tcPr>
            <w:tcW w:w="0" w:type="auto"/>
            <w:shd w:val="clear" w:color="auto" w:fill="FFFFFF"/>
          </w:tcPr>
          <w:p w14:paraId="239DCE2C"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10</w:t>
            </w:r>
          </w:p>
        </w:tc>
        <w:tc>
          <w:tcPr>
            <w:tcW w:w="0" w:type="auto"/>
            <w:shd w:val="clear" w:color="auto" w:fill="FFFFFF"/>
          </w:tcPr>
          <w:p w14:paraId="77FB2FC5"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25.0%</w:t>
            </w:r>
          </w:p>
        </w:tc>
        <w:tc>
          <w:tcPr>
            <w:tcW w:w="0" w:type="auto"/>
            <w:shd w:val="clear" w:color="auto" w:fill="FFFFFF"/>
          </w:tcPr>
          <w:p w14:paraId="7A6484D6" w14:textId="77777777" w:rsidR="00F233AE" w:rsidRPr="00C7772E" w:rsidRDefault="00F233AE" w:rsidP="00CC2BF9">
            <w:pPr>
              <w:adjustRightInd w:val="0"/>
              <w:spacing w:after="0" w:line="240" w:lineRule="auto"/>
              <w:jc w:val="center"/>
              <w:rPr>
                <w:rFonts w:cs="Calibri"/>
                <w:color w:val="000000"/>
                <w:sz w:val="16"/>
              </w:rPr>
            </w:pPr>
            <w:r w:rsidRPr="00C7772E">
              <w:rPr>
                <w:rFonts w:cs="Calibri"/>
                <w:color w:val="000000"/>
                <w:sz w:val="16"/>
              </w:rPr>
              <w:t>0</w:t>
            </w:r>
          </w:p>
        </w:tc>
        <w:tc>
          <w:tcPr>
            <w:tcW w:w="0" w:type="auto"/>
            <w:shd w:val="clear" w:color="auto" w:fill="FFFFFF"/>
          </w:tcPr>
          <w:p w14:paraId="7D48F1B6" w14:textId="77777777" w:rsidR="00F233AE" w:rsidRPr="00C7772E" w:rsidRDefault="00F233AE" w:rsidP="00CC2BF9">
            <w:pPr>
              <w:adjustRightInd w:val="0"/>
              <w:spacing w:after="0" w:line="240" w:lineRule="auto"/>
              <w:jc w:val="center"/>
              <w:rPr>
                <w:rFonts w:cs="Calibri"/>
                <w:color w:val="000000"/>
                <w:sz w:val="16"/>
              </w:rPr>
            </w:pPr>
            <w:r w:rsidRPr="00C7772E">
              <w:rPr>
                <w:rFonts w:cs="Calibri"/>
                <w:color w:val="000000"/>
                <w:sz w:val="16"/>
              </w:rPr>
              <w:t>0.0%</w:t>
            </w:r>
          </w:p>
        </w:tc>
        <w:tc>
          <w:tcPr>
            <w:tcW w:w="0" w:type="auto"/>
            <w:shd w:val="clear" w:color="auto" w:fill="FFFFFF"/>
          </w:tcPr>
          <w:p w14:paraId="726DC993"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10</w:t>
            </w:r>
          </w:p>
        </w:tc>
        <w:tc>
          <w:tcPr>
            <w:tcW w:w="0" w:type="auto"/>
            <w:shd w:val="clear" w:color="auto" w:fill="FFFFFF"/>
          </w:tcPr>
          <w:p w14:paraId="78DB1358"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25.0%</w:t>
            </w:r>
          </w:p>
        </w:tc>
      </w:tr>
      <w:tr w:rsidR="00F233AE" w:rsidRPr="00E736CC" w14:paraId="31153AEC" w14:textId="77777777" w:rsidTr="00CC2BF9">
        <w:trPr>
          <w:cantSplit/>
          <w:trHeight w:val="651"/>
          <w:jc w:val="center"/>
        </w:trPr>
        <w:tc>
          <w:tcPr>
            <w:tcW w:w="0" w:type="auto"/>
            <w:shd w:val="clear" w:color="auto" w:fill="FFFFFF"/>
          </w:tcPr>
          <w:p w14:paraId="2588FBAE"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Combination :</w:t>
            </w:r>
          </w:p>
          <w:p w14:paraId="132C0EA4"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 xml:space="preserve">Double </w:t>
            </w:r>
            <w:proofErr w:type="spellStart"/>
            <w:r w:rsidRPr="006371A6">
              <w:rPr>
                <w:rFonts w:cs="Calibri"/>
                <w:color w:val="000000"/>
                <w:sz w:val="16"/>
                <w:szCs w:val="16"/>
              </w:rPr>
              <w:t>immunotherapy</w:t>
            </w:r>
            <w:proofErr w:type="spellEnd"/>
          </w:p>
        </w:tc>
        <w:tc>
          <w:tcPr>
            <w:tcW w:w="0" w:type="auto"/>
            <w:shd w:val="clear" w:color="auto" w:fill="FFFFFF"/>
          </w:tcPr>
          <w:p w14:paraId="1C3A678C" w14:textId="77777777" w:rsidR="00F233AE" w:rsidRPr="006371A6" w:rsidRDefault="00F233AE" w:rsidP="00CC2BF9">
            <w:pPr>
              <w:adjustRightInd w:val="0"/>
              <w:spacing w:after="0" w:line="240" w:lineRule="auto"/>
              <w:jc w:val="center"/>
              <w:rPr>
                <w:rFonts w:cs="Calibri"/>
                <w:color w:val="000000"/>
                <w:sz w:val="16"/>
                <w:szCs w:val="16"/>
              </w:rPr>
            </w:pPr>
            <w:proofErr w:type="spellStart"/>
            <w:r w:rsidRPr="006371A6">
              <w:rPr>
                <w:rFonts w:cs="Calibri"/>
                <w:color w:val="000000"/>
                <w:sz w:val="16"/>
                <w:szCs w:val="16"/>
              </w:rPr>
              <w:t>Durvalumab</w:t>
            </w:r>
            <w:proofErr w:type="spellEnd"/>
            <w:r w:rsidRPr="006371A6">
              <w:rPr>
                <w:rFonts w:cs="Calibri"/>
                <w:color w:val="000000"/>
                <w:sz w:val="16"/>
                <w:szCs w:val="16"/>
              </w:rPr>
              <w:t xml:space="preserve"> + </w:t>
            </w:r>
          </w:p>
          <w:p w14:paraId="07A321A8" w14:textId="77777777" w:rsidR="00F233AE" w:rsidRPr="006371A6" w:rsidRDefault="00F233AE" w:rsidP="00CC2BF9">
            <w:pPr>
              <w:adjustRightInd w:val="0"/>
              <w:spacing w:after="0" w:line="240" w:lineRule="auto"/>
              <w:jc w:val="center"/>
              <w:rPr>
                <w:rFonts w:cs="Calibri"/>
                <w:color w:val="000000"/>
                <w:sz w:val="16"/>
                <w:szCs w:val="16"/>
              </w:rPr>
            </w:pPr>
            <w:proofErr w:type="spellStart"/>
            <w:proofErr w:type="gramStart"/>
            <w:r w:rsidRPr="006371A6">
              <w:rPr>
                <w:rFonts w:cs="Calibri"/>
                <w:color w:val="000000"/>
                <w:sz w:val="16"/>
                <w:szCs w:val="16"/>
              </w:rPr>
              <w:t>tremelimumab</w:t>
            </w:r>
            <w:proofErr w:type="spellEnd"/>
            <w:proofErr w:type="gramEnd"/>
          </w:p>
        </w:tc>
        <w:tc>
          <w:tcPr>
            <w:tcW w:w="0" w:type="auto"/>
            <w:shd w:val="clear" w:color="auto" w:fill="FFFFFF"/>
          </w:tcPr>
          <w:p w14:paraId="184EDB90"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3</w:t>
            </w:r>
          </w:p>
        </w:tc>
        <w:tc>
          <w:tcPr>
            <w:tcW w:w="0" w:type="auto"/>
            <w:shd w:val="clear" w:color="auto" w:fill="FFFFFF"/>
          </w:tcPr>
          <w:p w14:paraId="2449D943"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43</w:t>
            </w:r>
          </w:p>
        </w:tc>
        <w:tc>
          <w:tcPr>
            <w:tcW w:w="0" w:type="auto"/>
            <w:shd w:val="clear" w:color="auto" w:fill="FFFFFF"/>
          </w:tcPr>
          <w:p w14:paraId="4020B0CA"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5</w:t>
            </w:r>
          </w:p>
        </w:tc>
        <w:tc>
          <w:tcPr>
            <w:tcW w:w="0" w:type="auto"/>
            <w:shd w:val="clear" w:color="auto" w:fill="FFFFFF"/>
          </w:tcPr>
          <w:p w14:paraId="412AF9DE"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11.6%</w:t>
            </w:r>
          </w:p>
        </w:tc>
        <w:tc>
          <w:tcPr>
            <w:tcW w:w="0" w:type="auto"/>
            <w:shd w:val="clear" w:color="auto" w:fill="FFFFFF"/>
          </w:tcPr>
          <w:p w14:paraId="28C0943D"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6</w:t>
            </w:r>
          </w:p>
        </w:tc>
        <w:tc>
          <w:tcPr>
            <w:tcW w:w="0" w:type="auto"/>
            <w:shd w:val="clear" w:color="auto" w:fill="FFFFFF"/>
          </w:tcPr>
          <w:p w14:paraId="7F03B2C9"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14.0%</w:t>
            </w:r>
          </w:p>
        </w:tc>
        <w:tc>
          <w:tcPr>
            <w:tcW w:w="0" w:type="auto"/>
            <w:shd w:val="clear" w:color="auto" w:fill="FFFFFF"/>
          </w:tcPr>
          <w:p w14:paraId="4BEEC5ED"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5</w:t>
            </w:r>
          </w:p>
        </w:tc>
        <w:tc>
          <w:tcPr>
            <w:tcW w:w="0" w:type="auto"/>
            <w:shd w:val="clear" w:color="auto" w:fill="FFFFFF"/>
          </w:tcPr>
          <w:p w14:paraId="222BE725"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11.6%</w:t>
            </w:r>
          </w:p>
        </w:tc>
        <w:tc>
          <w:tcPr>
            <w:tcW w:w="0" w:type="auto"/>
            <w:shd w:val="clear" w:color="auto" w:fill="FFFFFF"/>
          </w:tcPr>
          <w:p w14:paraId="094F4C50" w14:textId="77777777" w:rsidR="00F233AE" w:rsidRPr="00C7772E" w:rsidRDefault="00F233AE" w:rsidP="00CC2BF9">
            <w:pPr>
              <w:adjustRightInd w:val="0"/>
              <w:spacing w:after="0" w:line="240" w:lineRule="auto"/>
              <w:jc w:val="center"/>
              <w:rPr>
                <w:rFonts w:cs="Calibri"/>
                <w:color w:val="000000"/>
                <w:sz w:val="16"/>
              </w:rPr>
            </w:pPr>
            <w:r w:rsidRPr="00C7772E">
              <w:rPr>
                <w:rFonts w:cs="Calibri"/>
                <w:color w:val="000000"/>
                <w:sz w:val="16"/>
              </w:rPr>
              <w:t>6</w:t>
            </w:r>
          </w:p>
        </w:tc>
        <w:tc>
          <w:tcPr>
            <w:tcW w:w="0" w:type="auto"/>
            <w:shd w:val="clear" w:color="auto" w:fill="FFFFFF"/>
          </w:tcPr>
          <w:p w14:paraId="422F52AF" w14:textId="77777777" w:rsidR="00F233AE" w:rsidRPr="00C7772E" w:rsidRDefault="00F233AE" w:rsidP="00CC2BF9">
            <w:pPr>
              <w:adjustRightInd w:val="0"/>
              <w:spacing w:after="0" w:line="240" w:lineRule="auto"/>
              <w:jc w:val="center"/>
              <w:rPr>
                <w:rFonts w:cs="Calibri"/>
                <w:color w:val="000000"/>
                <w:sz w:val="16"/>
              </w:rPr>
            </w:pPr>
            <w:r w:rsidRPr="00C7772E">
              <w:rPr>
                <w:rFonts w:cs="Calibri"/>
                <w:color w:val="000000"/>
                <w:sz w:val="16"/>
              </w:rPr>
              <w:t>14.0%</w:t>
            </w:r>
          </w:p>
        </w:tc>
        <w:tc>
          <w:tcPr>
            <w:tcW w:w="0" w:type="auto"/>
            <w:shd w:val="clear" w:color="auto" w:fill="FFFFFF"/>
          </w:tcPr>
          <w:p w14:paraId="2C83D134"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21</w:t>
            </w:r>
          </w:p>
        </w:tc>
        <w:tc>
          <w:tcPr>
            <w:tcW w:w="0" w:type="auto"/>
            <w:shd w:val="clear" w:color="auto" w:fill="FFFFFF"/>
          </w:tcPr>
          <w:p w14:paraId="57FD7242"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48.8%</w:t>
            </w:r>
          </w:p>
        </w:tc>
      </w:tr>
      <w:tr w:rsidR="00F233AE" w:rsidRPr="00E736CC" w14:paraId="7609BA85" w14:textId="77777777" w:rsidTr="00CC2BF9">
        <w:trPr>
          <w:cantSplit/>
          <w:trHeight w:val="619"/>
          <w:jc w:val="center"/>
        </w:trPr>
        <w:tc>
          <w:tcPr>
            <w:tcW w:w="0" w:type="auto"/>
            <w:shd w:val="clear" w:color="auto" w:fill="FFFFFF"/>
          </w:tcPr>
          <w:p w14:paraId="16824D9F"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Combination :</w:t>
            </w:r>
          </w:p>
          <w:p w14:paraId="1FE89718"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 xml:space="preserve">Double </w:t>
            </w:r>
            <w:proofErr w:type="spellStart"/>
            <w:r w:rsidRPr="006371A6">
              <w:rPr>
                <w:rFonts w:cs="Calibri"/>
                <w:color w:val="000000"/>
                <w:sz w:val="16"/>
                <w:szCs w:val="16"/>
              </w:rPr>
              <w:t>immunotherapy</w:t>
            </w:r>
            <w:proofErr w:type="spellEnd"/>
          </w:p>
        </w:tc>
        <w:tc>
          <w:tcPr>
            <w:tcW w:w="0" w:type="auto"/>
            <w:shd w:val="clear" w:color="auto" w:fill="FFFFFF"/>
          </w:tcPr>
          <w:p w14:paraId="38F92E63" w14:textId="77777777" w:rsidR="00F233AE" w:rsidRPr="006371A6" w:rsidRDefault="00F233AE" w:rsidP="00CC2BF9">
            <w:pPr>
              <w:adjustRightInd w:val="0"/>
              <w:spacing w:after="0" w:line="240" w:lineRule="auto"/>
              <w:jc w:val="center"/>
              <w:rPr>
                <w:rFonts w:cs="Calibri"/>
                <w:color w:val="000000"/>
                <w:sz w:val="16"/>
                <w:szCs w:val="16"/>
              </w:rPr>
            </w:pPr>
            <w:proofErr w:type="spellStart"/>
            <w:r w:rsidRPr="006371A6">
              <w:rPr>
                <w:rFonts w:cs="Calibri"/>
                <w:color w:val="000000"/>
                <w:sz w:val="16"/>
                <w:szCs w:val="16"/>
              </w:rPr>
              <w:t>Nivolumab</w:t>
            </w:r>
            <w:proofErr w:type="spellEnd"/>
            <w:r w:rsidRPr="006371A6">
              <w:rPr>
                <w:rFonts w:cs="Calibri"/>
                <w:color w:val="000000"/>
                <w:sz w:val="16"/>
                <w:szCs w:val="16"/>
              </w:rPr>
              <w:t xml:space="preserve"> + </w:t>
            </w:r>
          </w:p>
          <w:p w14:paraId="4A756E6C" w14:textId="77777777" w:rsidR="00F233AE" w:rsidRPr="006371A6" w:rsidRDefault="00F233AE" w:rsidP="00CC2BF9">
            <w:pPr>
              <w:adjustRightInd w:val="0"/>
              <w:spacing w:after="0" w:line="240" w:lineRule="auto"/>
              <w:jc w:val="center"/>
              <w:rPr>
                <w:rFonts w:cs="Calibri"/>
                <w:color w:val="000000"/>
                <w:sz w:val="16"/>
                <w:szCs w:val="16"/>
              </w:rPr>
            </w:pPr>
            <w:proofErr w:type="spellStart"/>
            <w:r w:rsidRPr="006371A6">
              <w:rPr>
                <w:rFonts w:cs="Calibri"/>
                <w:color w:val="000000"/>
                <w:sz w:val="16"/>
                <w:szCs w:val="16"/>
              </w:rPr>
              <w:t>Ipilimumab</w:t>
            </w:r>
            <w:proofErr w:type="spellEnd"/>
          </w:p>
        </w:tc>
        <w:tc>
          <w:tcPr>
            <w:tcW w:w="0" w:type="auto"/>
            <w:shd w:val="clear" w:color="auto" w:fill="FFFFFF"/>
          </w:tcPr>
          <w:p w14:paraId="1619F2A3"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4</w:t>
            </w:r>
          </w:p>
        </w:tc>
        <w:tc>
          <w:tcPr>
            <w:tcW w:w="0" w:type="auto"/>
            <w:shd w:val="clear" w:color="auto" w:fill="FFFFFF"/>
          </w:tcPr>
          <w:p w14:paraId="7C7E230A"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31</w:t>
            </w:r>
          </w:p>
        </w:tc>
        <w:tc>
          <w:tcPr>
            <w:tcW w:w="0" w:type="auto"/>
            <w:shd w:val="clear" w:color="auto" w:fill="FFFFFF"/>
          </w:tcPr>
          <w:p w14:paraId="0E132FF2"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12</w:t>
            </w:r>
          </w:p>
        </w:tc>
        <w:tc>
          <w:tcPr>
            <w:tcW w:w="0" w:type="auto"/>
            <w:shd w:val="clear" w:color="auto" w:fill="FFFFFF"/>
          </w:tcPr>
          <w:p w14:paraId="11230D64"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38.7%</w:t>
            </w:r>
          </w:p>
        </w:tc>
        <w:tc>
          <w:tcPr>
            <w:tcW w:w="0" w:type="auto"/>
            <w:shd w:val="clear" w:color="auto" w:fill="FFFFFF"/>
          </w:tcPr>
          <w:p w14:paraId="08C56AD5"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0</w:t>
            </w:r>
          </w:p>
        </w:tc>
        <w:tc>
          <w:tcPr>
            <w:tcW w:w="0" w:type="auto"/>
            <w:shd w:val="clear" w:color="auto" w:fill="FFFFFF"/>
          </w:tcPr>
          <w:p w14:paraId="18A01505"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0.0%</w:t>
            </w:r>
          </w:p>
        </w:tc>
        <w:tc>
          <w:tcPr>
            <w:tcW w:w="0" w:type="auto"/>
            <w:shd w:val="clear" w:color="auto" w:fill="FFFFFF"/>
          </w:tcPr>
          <w:p w14:paraId="505317AA"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13</w:t>
            </w:r>
          </w:p>
        </w:tc>
        <w:tc>
          <w:tcPr>
            <w:tcW w:w="0" w:type="auto"/>
            <w:shd w:val="clear" w:color="auto" w:fill="FFFFFF"/>
          </w:tcPr>
          <w:p w14:paraId="1EBFAD1A"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41.9%</w:t>
            </w:r>
          </w:p>
        </w:tc>
        <w:tc>
          <w:tcPr>
            <w:tcW w:w="0" w:type="auto"/>
            <w:shd w:val="clear" w:color="auto" w:fill="FFFFFF"/>
          </w:tcPr>
          <w:p w14:paraId="3A6077D7" w14:textId="77777777" w:rsidR="00F233AE" w:rsidRPr="00C7772E" w:rsidRDefault="00F233AE" w:rsidP="00CC2BF9">
            <w:pPr>
              <w:adjustRightInd w:val="0"/>
              <w:spacing w:after="0" w:line="240" w:lineRule="auto"/>
              <w:jc w:val="center"/>
              <w:rPr>
                <w:rFonts w:cs="Calibri"/>
                <w:color w:val="000000"/>
                <w:sz w:val="16"/>
              </w:rPr>
            </w:pPr>
            <w:r>
              <w:rPr>
                <w:rFonts w:cs="Calibri"/>
                <w:color w:val="000000"/>
                <w:sz w:val="16"/>
              </w:rPr>
              <w:t>0</w:t>
            </w:r>
          </w:p>
        </w:tc>
        <w:tc>
          <w:tcPr>
            <w:tcW w:w="0" w:type="auto"/>
            <w:shd w:val="clear" w:color="auto" w:fill="FFFFFF"/>
          </w:tcPr>
          <w:p w14:paraId="21E25231" w14:textId="77777777" w:rsidR="00F233AE" w:rsidRPr="00C7772E" w:rsidRDefault="00F233AE" w:rsidP="00CC2BF9">
            <w:pPr>
              <w:adjustRightInd w:val="0"/>
              <w:spacing w:after="0" w:line="240" w:lineRule="auto"/>
              <w:jc w:val="center"/>
              <w:rPr>
                <w:rFonts w:cs="Calibri"/>
                <w:color w:val="000000"/>
                <w:sz w:val="16"/>
              </w:rPr>
            </w:pPr>
            <w:r>
              <w:rPr>
                <w:rFonts w:cs="Calibri"/>
                <w:color w:val="000000"/>
                <w:sz w:val="16"/>
              </w:rPr>
              <w:t>0</w:t>
            </w:r>
            <w:r w:rsidRPr="00C7772E">
              <w:rPr>
                <w:rFonts w:cs="Calibri"/>
                <w:color w:val="000000"/>
                <w:sz w:val="16"/>
              </w:rPr>
              <w:t>%</w:t>
            </w:r>
          </w:p>
        </w:tc>
        <w:tc>
          <w:tcPr>
            <w:tcW w:w="0" w:type="auto"/>
            <w:shd w:val="clear" w:color="auto" w:fill="FFFFFF"/>
          </w:tcPr>
          <w:p w14:paraId="0277E88A"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6</w:t>
            </w:r>
          </w:p>
        </w:tc>
        <w:tc>
          <w:tcPr>
            <w:tcW w:w="0" w:type="auto"/>
            <w:shd w:val="clear" w:color="auto" w:fill="FFFFFF"/>
          </w:tcPr>
          <w:p w14:paraId="4D20953A" w14:textId="77777777" w:rsidR="00F233AE" w:rsidRPr="006371A6" w:rsidRDefault="00F233AE" w:rsidP="00CC2BF9">
            <w:pPr>
              <w:adjustRightInd w:val="0"/>
              <w:spacing w:after="0" w:line="240" w:lineRule="auto"/>
              <w:jc w:val="center"/>
              <w:rPr>
                <w:rFonts w:cs="Calibri"/>
                <w:color w:val="000000"/>
                <w:sz w:val="16"/>
                <w:szCs w:val="16"/>
              </w:rPr>
            </w:pPr>
            <w:r w:rsidRPr="006371A6">
              <w:rPr>
                <w:rFonts w:cs="Calibri"/>
                <w:color w:val="000000"/>
                <w:sz w:val="16"/>
                <w:szCs w:val="16"/>
              </w:rPr>
              <w:t>19.4%</w:t>
            </w:r>
          </w:p>
        </w:tc>
      </w:tr>
    </w:tbl>
    <w:p w14:paraId="6E457919" w14:textId="77777777" w:rsidR="00F233AE" w:rsidRPr="00B77CEA" w:rsidRDefault="00F233AE" w:rsidP="00F233AE">
      <w:pPr>
        <w:adjustRightInd w:val="0"/>
        <w:spacing w:after="0" w:line="240" w:lineRule="auto"/>
        <w:rPr>
          <w:rFonts w:ascii="SAS Monospace" w:eastAsia="Times New Roman" w:hAnsi="SAS Monospace" w:cs="Arial"/>
          <w:i/>
          <w:color w:val="000000"/>
          <w:sz w:val="16"/>
          <w:szCs w:val="16"/>
          <w:lang w:val="en-US" w:eastAsia="fr-FR"/>
        </w:rPr>
      </w:pPr>
      <w:r w:rsidRPr="008B54E0">
        <w:rPr>
          <w:rFonts w:ascii="SAS Monospace" w:eastAsia="Times New Roman" w:hAnsi="SAS Monospace" w:cs="Arial"/>
          <w:b/>
          <w:bCs/>
          <w:i/>
          <w:color w:val="000000"/>
          <w:sz w:val="16"/>
          <w:szCs w:val="16"/>
          <w:lang w:val="en-US" w:eastAsia="fr-FR"/>
        </w:rPr>
        <w:t>Footnotes</w:t>
      </w:r>
      <w:r>
        <w:rPr>
          <w:rFonts w:ascii="SAS Monospace" w:eastAsia="Times New Roman" w:hAnsi="SAS Monospace" w:cs="Arial"/>
          <w:i/>
          <w:color w:val="000000"/>
          <w:sz w:val="16"/>
          <w:szCs w:val="16"/>
          <w:lang w:val="en-US" w:eastAsia="fr-FR"/>
        </w:rPr>
        <w:t>: ASPS= alveolar soft-part sarcoma, LMS= Leiomyosarcoma, LPS= Liposarcoma, UPS= undifferentiated pleomorphic sarcoma</w:t>
      </w:r>
    </w:p>
    <w:p w14:paraId="7A43ACCA" w14:textId="77777777" w:rsidR="00F233AE" w:rsidRPr="00F233AE" w:rsidRDefault="00F233AE" w:rsidP="00F233AE">
      <w:pPr>
        <w:spacing w:line="480" w:lineRule="auto"/>
        <w:contextualSpacing/>
        <w:jc w:val="both"/>
        <w:rPr>
          <w:rFonts w:ascii="Times New Roman" w:hAnsi="Times New Roman"/>
          <w:b/>
          <w:iCs/>
          <w:sz w:val="24"/>
          <w:szCs w:val="24"/>
          <w:lang w:val="en-GB" w:eastAsia="fr-FR"/>
        </w:rPr>
      </w:pPr>
      <w:r>
        <w:rPr>
          <w:rFonts w:ascii="SAS Monospace" w:eastAsia="Times New Roman" w:hAnsi="SAS Monospace" w:cs="Arial"/>
          <w:i/>
          <w:color w:val="000000"/>
          <w:sz w:val="16"/>
          <w:szCs w:val="16"/>
          <w:lang w:val="en-US" w:eastAsia="fr-FR"/>
        </w:rPr>
        <w:br w:type="page"/>
      </w:r>
    </w:p>
    <w:tbl>
      <w:tblPr>
        <w:tblW w:w="6465" w:type="dxa"/>
        <w:jc w:val="center"/>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907"/>
        <w:gridCol w:w="868"/>
        <w:gridCol w:w="218"/>
        <w:gridCol w:w="535"/>
        <w:gridCol w:w="218"/>
        <w:gridCol w:w="425"/>
        <w:gridCol w:w="253"/>
        <w:gridCol w:w="535"/>
        <w:gridCol w:w="218"/>
        <w:gridCol w:w="535"/>
        <w:gridCol w:w="218"/>
        <w:gridCol w:w="535"/>
      </w:tblGrid>
      <w:tr w:rsidR="00817611" w:rsidRPr="00817611" w14:paraId="79AC6073" w14:textId="77777777" w:rsidTr="005A5581">
        <w:trPr>
          <w:cantSplit/>
          <w:trHeight w:val="245"/>
          <w:tblHeader/>
          <w:jc w:val="center"/>
        </w:trPr>
        <w:tc>
          <w:tcPr>
            <w:tcW w:w="0" w:type="auto"/>
            <w:gridSpan w:val="12"/>
            <w:shd w:val="clear" w:color="auto" w:fill="FFFFFF"/>
            <w:vAlign w:val="bottom"/>
          </w:tcPr>
          <w:p w14:paraId="25D1B8D4" w14:textId="0D0AEC68" w:rsidR="00817611" w:rsidRPr="006371A6" w:rsidRDefault="00817611" w:rsidP="00817611">
            <w:pPr>
              <w:adjustRightInd w:val="0"/>
              <w:spacing w:after="0" w:line="240" w:lineRule="auto"/>
              <w:jc w:val="center"/>
              <w:rPr>
                <w:rFonts w:cs="Calibri"/>
                <w:b/>
                <w:bCs/>
                <w:color w:val="000000"/>
                <w:sz w:val="16"/>
                <w:szCs w:val="16"/>
                <w:lang w:val="en-US"/>
              </w:rPr>
            </w:pPr>
            <w:r>
              <w:rPr>
                <w:rFonts w:cs="Calibri"/>
                <w:b/>
                <w:bCs/>
                <w:color w:val="000000"/>
                <w:sz w:val="16"/>
                <w:szCs w:val="16"/>
                <w:lang w:val="en-US"/>
              </w:rPr>
              <w:lastRenderedPageBreak/>
              <w:t xml:space="preserve">Supplementary </w:t>
            </w:r>
            <w:r w:rsidRPr="006371A6">
              <w:rPr>
                <w:rFonts w:cs="Calibri"/>
                <w:b/>
                <w:bCs/>
                <w:color w:val="000000"/>
                <w:sz w:val="16"/>
                <w:szCs w:val="16"/>
                <w:lang w:val="en-US"/>
              </w:rPr>
              <w:t xml:space="preserve">Table </w:t>
            </w:r>
            <w:r>
              <w:rPr>
                <w:rFonts w:cs="Calibri"/>
                <w:b/>
                <w:bCs/>
                <w:color w:val="000000"/>
                <w:sz w:val="16"/>
                <w:szCs w:val="16"/>
                <w:lang w:val="en-US"/>
              </w:rPr>
              <w:t>2</w:t>
            </w:r>
            <w:r w:rsidRPr="006371A6">
              <w:rPr>
                <w:rFonts w:cs="Calibri"/>
                <w:b/>
                <w:bCs/>
                <w:color w:val="000000"/>
                <w:sz w:val="16"/>
                <w:szCs w:val="16"/>
                <w:lang w:val="en-US"/>
              </w:rPr>
              <w:t xml:space="preserve">. </w:t>
            </w:r>
            <w:r>
              <w:rPr>
                <w:rFonts w:cs="Calibri"/>
                <w:b/>
                <w:bCs/>
                <w:color w:val="000000"/>
                <w:sz w:val="16"/>
                <w:szCs w:val="16"/>
                <w:lang w:val="en-US"/>
              </w:rPr>
              <w:t>Objective response rates according to histological subtypes and therapeutic strategy</w:t>
            </w:r>
            <w:r w:rsidRPr="006371A6">
              <w:rPr>
                <w:rFonts w:cs="Calibri"/>
                <w:b/>
                <w:bCs/>
                <w:color w:val="000000"/>
                <w:sz w:val="16"/>
                <w:szCs w:val="16"/>
                <w:lang w:val="en-US"/>
              </w:rPr>
              <w:t xml:space="preserve"> (n=384)</w:t>
            </w:r>
          </w:p>
        </w:tc>
      </w:tr>
      <w:tr w:rsidR="00817611" w:rsidRPr="0033270C" w14:paraId="0665C315" w14:textId="77777777" w:rsidTr="00817611">
        <w:trPr>
          <w:cantSplit/>
          <w:trHeight w:val="245"/>
          <w:tblHeader/>
          <w:jc w:val="center"/>
        </w:trPr>
        <w:tc>
          <w:tcPr>
            <w:tcW w:w="0" w:type="auto"/>
            <w:vMerge w:val="restart"/>
            <w:shd w:val="clear" w:color="auto" w:fill="FFFFFF"/>
            <w:vAlign w:val="bottom"/>
          </w:tcPr>
          <w:p w14:paraId="70B7E026" w14:textId="77777777" w:rsidR="00817611" w:rsidRPr="00E736CC" w:rsidRDefault="00817611" w:rsidP="00817611">
            <w:pPr>
              <w:adjustRightInd w:val="0"/>
              <w:spacing w:after="0" w:line="240" w:lineRule="auto"/>
              <w:jc w:val="center"/>
              <w:rPr>
                <w:rFonts w:cs="Calibri"/>
                <w:b/>
                <w:bCs/>
                <w:color w:val="000000"/>
                <w:sz w:val="16"/>
                <w:szCs w:val="16"/>
                <w:lang w:val="en-US"/>
              </w:rPr>
            </w:pPr>
            <w:r w:rsidRPr="00E736CC">
              <w:rPr>
                <w:rFonts w:cs="Calibri"/>
                <w:b/>
                <w:bCs/>
                <w:color w:val="000000"/>
                <w:sz w:val="16"/>
                <w:szCs w:val="16"/>
                <w:lang w:val="en-US"/>
              </w:rPr>
              <w:t xml:space="preserve">Therapeutic strategy </w:t>
            </w:r>
          </w:p>
        </w:tc>
        <w:tc>
          <w:tcPr>
            <w:tcW w:w="0" w:type="auto"/>
            <w:vMerge w:val="restart"/>
            <w:shd w:val="clear" w:color="auto" w:fill="FFFFFF"/>
            <w:vAlign w:val="bottom"/>
          </w:tcPr>
          <w:p w14:paraId="3F372AEF" w14:textId="77777777" w:rsidR="00817611" w:rsidRPr="006371A6" w:rsidRDefault="00817611" w:rsidP="00817611">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N patients</w:t>
            </w:r>
          </w:p>
        </w:tc>
        <w:tc>
          <w:tcPr>
            <w:tcW w:w="0" w:type="auto"/>
            <w:gridSpan w:val="2"/>
            <w:shd w:val="clear" w:color="auto" w:fill="FFFFFF"/>
            <w:vAlign w:val="bottom"/>
          </w:tcPr>
          <w:p w14:paraId="4276F0B6" w14:textId="77777777" w:rsidR="00817611" w:rsidRPr="006371A6" w:rsidRDefault="00817611" w:rsidP="00817611">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UPS</w:t>
            </w:r>
          </w:p>
        </w:tc>
        <w:tc>
          <w:tcPr>
            <w:tcW w:w="0" w:type="auto"/>
            <w:gridSpan w:val="2"/>
            <w:shd w:val="clear" w:color="auto" w:fill="FFFFFF"/>
            <w:vAlign w:val="bottom"/>
          </w:tcPr>
          <w:p w14:paraId="67FD4072" w14:textId="77777777" w:rsidR="00817611" w:rsidRPr="006371A6" w:rsidRDefault="00817611" w:rsidP="00817611">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LPS</w:t>
            </w:r>
          </w:p>
        </w:tc>
        <w:tc>
          <w:tcPr>
            <w:tcW w:w="0" w:type="auto"/>
            <w:gridSpan w:val="2"/>
            <w:shd w:val="clear" w:color="auto" w:fill="FFFFFF"/>
            <w:vAlign w:val="bottom"/>
          </w:tcPr>
          <w:p w14:paraId="799E3671" w14:textId="77777777" w:rsidR="00817611" w:rsidRPr="006371A6" w:rsidRDefault="00817611" w:rsidP="00817611">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LMS</w:t>
            </w:r>
          </w:p>
        </w:tc>
        <w:tc>
          <w:tcPr>
            <w:tcW w:w="0" w:type="auto"/>
            <w:gridSpan w:val="2"/>
            <w:shd w:val="clear" w:color="auto" w:fill="FFFFFF"/>
          </w:tcPr>
          <w:p w14:paraId="459B95DF" w14:textId="77777777" w:rsidR="00817611" w:rsidRPr="006371A6" w:rsidRDefault="00817611" w:rsidP="00817611">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ASPS</w:t>
            </w:r>
          </w:p>
        </w:tc>
        <w:tc>
          <w:tcPr>
            <w:tcW w:w="0" w:type="auto"/>
            <w:gridSpan w:val="2"/>
            <w:shd w:val="clear" w:color="auto" w:fill="FFFFFF"/>
            <w:vAlign w:val="bottom"/>
          </w:tcPr>
          <w:p w14:paraId="7CD1598F" w14:textId="77777777" w:rsidR="00817611" w:rsidRPr="006371A6" w:rsidRDefault="00817611" w:rsidP="00817611">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 xml:space="preserve">OTHER </w:t>
            </w:r>
          </w:p>
        </w:tc>
      </w:tr>
      <w:tr w:rsidR="00817611" w:rsidRPr="00E736CC" w14:paraId="49FCC10A" w14:textId="77777777" w:rsidTr="00817611">
        <w:trPr>
          <w:cantSplit/>
          <w:trHeight w:val="346"/>
          <w:tblHeader/>
          <w:jc w:val="center"/>
        </w:trPr>
        <w:tc>
          <w:tcPr>
            <w:tcW w:w="0" w:type="auto"/>
            <w:vMerge/>
            <w:shd w:val="clear" w:color="auto" w:fill="FFFFFF"/>
            <w:vAlign w:val="bottom"/>
          </w:tcPr>
          <w:p w14:paraId="08F9A11F" w14:textId="77777777" w:rsidR="00817611" w:rsidRPr="00E736CC" w:rsidRDefault="00817611" w:rsidP="00817611">
            <w:pPr>
              <w:adjustRightInd w:val="0"/>
              <w:spacing w:after="0" w:line="240" w:lineRule="auto"/>
              <w:jc w:val="center"/>
              <w:rPr>
                <w:rFonts w:cs="Calibri"/>
                <w:b/>
                <w:bCs/>
                <w:color w:val="000000"/>
                <w:sz w:val="16"/>
                <w:szCs w:val="16"/>
                <w:lang w:val="en-US"/>
              </w:rPr>
            </w:pPr>
          </w:p>
        </w:tc>
        <w:tc>
          <w:tcPr>
            <w:tcW w:w="0" w:type="auto"/>
            <w:vMerge/>
            <w:shd w:val="clear" w:color="auto" w:fill="FFFFFF"/>
            <w:vAlign w:val="bottom"/>
          </w:tcPr>
          <w:p w14:paraId="6B451BA6" w14:textId="77777777" w:rsidR="00817611" w:rsidRPr="006371A6" w:rsidRDefault="00817611" w:rsidP="00817611">
            <w:pPr>
              <w:adjustRightInd w:val="0"/>
              <w:spacing w:after="0" w:line="240" w:lineRule="auto"/>
              <w:jc w:val="center"/>
              <w:rPr>
                <w:rFonts w:cs="Calibri"/>
                <w:b/>
                <w:bCs/>
                <w:color w:val="000000"/>
                <w:sz w:val="16"/>
                <w:szCs w:val="16"/>
                <w:lang w:val="en-US"/>
              </w:rPr>
            </w:pPr>
          </w:p>
        </w:tc>
        <w:tc>
          <w:tcPr>
            <w:tcW w:w="0" w:type="auto"/>
            <w:shd w:val="clear" w:color="auto" w:fill="FFFFFF"/>
            <w:vAlign w:val="bottom"/>
          </w:tcPr>
          <w:p w14:paraId="55428FE3" w14:textId="77777777" w:rsidR="00817611" w:rsidRPr="006371A6" w:rsidRDefault="00817611" w:rsidP="00817611">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N</w:t>
            </w:r>
          </w:p>
        </w:tc>
        <w:tc>
          <w:tcPr>
            <w:tcW w:w="0" w:type="auto"/>
            <w:shd w:val="clear" w:color="auto" w:fill="FFFFFF"/>
            <w:vAlign w:val="bottom"/>
          </w:tcPr>
          <w:p w14:paraId="7596D68C" w14:textId="77777777" w:rsidR="00817611" w:rsidRPr="006371A6" w:rsidRDefault="00817611" w:rsidP="00817611">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w:t>
            </w:r>
          </w:p>
        </w:tc>
        <w:tc>
          <w:tcPr>
            <w:tcW w:w="0" w:type="auto"/>
            <w:shd w:val="clear" w:color="auto" w:fill="FFFFFF"/>
            <w:vAlign w:val="bottom"/>
          </w:tcPr>
          <w:p w14:paraId="36B1A5F5" w14:textId="77777777" w:rsidR="00817611" w:rsidRPr="006371A6" w:rsidRDefault="00817611" w:rsidP="00817611">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N</w:t>
            </w:r>
          </w:p>
        </w:tc>
        <w:tc>
          <w:tcPr>
            <w:tcW w:w="0" w:type="auto"/>
            <w:shd w:val="clear" w:color="auto" w:fill="FFFFFF"/>
            <w:vAlign w:val="bottom"/>
          </w:tcPr>
          <w:p w14:paraId="58386D76" w14:textId="77777777" w:rsidR="00817611" w:rsidRPr="006371A6" w:rsidRDefault="00817611" w:rsidP="00817611">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w:t>
            </w:r>
          </w:p>
        </w:tc>
        <w:tc>
          <w:tcPr>
            <w:tcW w:w="0" w:type="auto"/>
            <w:shd w:val="clear" w:color="auto" w:fill="FFFFFF"/>
            <w:vAlign w:val="bottom"/>
          </w:tcPr>
          <w:p w14:paraId="07CC3052" w14:textId="77777777" w:rsidR="00817611" w:rsidRPr="006371A6" w:rsidRDefault="00817611" w:rsidP="00817611">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N</w:t>
            </w:r>
          </w:p>
        </w:tc>
        <w:tc>
          <w:tcPr>
            <w:tcW w:w="0" w:type="auto"/>
            <w:shd w:val="clear" w:color="auto" w:fill="FFFFFF"/>
            <w:vAlign w:val="bottom"/>
          </w:tcPr>
          <w:p w14:paraId="3F667535" w14:textId="77777777" w:rsidR="00817611" w:rsidRPr="006371A6" w:rsidRDefault="00817611" w:rsidP="00817611">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w:t>
            </w:r>
          </w:p>
        </w:tc>
        <w:tc>
          <w:tcPr>
            <w:tcW w:w="0" w:type="auto"/>
            <w:shd w:val="clear" w:color="auto" w:fill="FFFFFF"/>
            <w:vAlign w:val="bottom"/>
          </w:tcPr>
          <w:p w14:paraId="58AB4DAA" w14:textId="77777777" w:rsidR="00817611" w:rsidRPr="006371A6" w:rsidRDefault="00817611" w:rsidP="00817611">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N</w:t>
            </w:r>
          </w:p>
        </w:tc>
        <w:tc>
          <w:tcPr>
            <w:tcW w:w="0" w:type="auto"/>
            <w:shd w:val="clear" w:color="auto" w:fill="FFFFFF"/>
            <w:vAlign w:val="bottom"/>
          </w:tcPr>
          <w:p w14:paraId="3ECF63AD" w14:textId="77777777" w:rsidR="00817611" w:rsidRPr="006371A6" w:rsidRDefault="00817611" w:rsidP="00817611">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w:t>
            </w:r>
          </w:p>
        </w:tc>
        <w:tc>
          <w:tcPr>
            <w:tcW w:w="0" w:type="auto"/>
            <w:shd w:val="clear" w:color="auto" w:fill="FFFFFF"/>
            <w:vAlign w:val="bottom"/>
          </w:tcPr>
          <w:p w14:paraId="352FB36C" w14:textId="77777777" w:rsidR="00817611" w:rsidRPr="006371A6" w:rsidRDefault="00817611" w:rsidP="00817611">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N</w:t>
            </w:r>
          </w:p>
        </w:tc>
        <w:tc>
          <w:tcPr>
            <w:tcW w:w="0" w:type="auto"/>
            <w:shd w:val="clear" w:color="auto" w:fill="FFFFFF"/>
            <w:vAlign w:val="bottom"/>
          </w:tcPr>
          <w:p w14:paraId="02030C55" w14:textId="77777777" w:rsidR="00817611" w:rsidRPr="006371A6" w:rsidRDefault="00817611" w:rsidP="00817611">
            <w:pPr>
              <w:adjustRightInd w:val="0"/>
              <w:spacing w:after="0" w:line="240" w:lineRule="auto"/>
              <w:jc w:val="center"/>
              <w:rPr>
                <w:rFonts w:cs="Calibri"/>
                <w:b/>
                <w:bCs/>
                <w:color w:val="000000"/>
                <w:sz w:val="16"/>
                <w:szCs w:val="16"/>
                <w:lang w:val="en-US"/>
              </w:rPr>
            </w:pPr>
            <w:r w:rsidRPr="006371A6">
              <w:rPr>
                <w:rFonts w:cs="Calibri"/>
                <w:b/>
                <w:bCs/>
                <w:color w:val="000000"/>
                <w:sz w:val="16"/>
                <w:szCs w:val="16"/>
                <w:lang w:val="en-US"/>
              </w:rPr>
              <w:t>%</w:t>
            </w:r>
          </w:p>
        </w:tc>
      </w:tr>
      <w:tr w:rsidR="00817611" w:rsidRPr="00E736CC" w14:paraId="2030B70F" w14:textId="77777777" w:rsidTr="00817611">
        <w:trPr>
          <w:cantSplit/>
          <w:trHeight w:val="619"/>
          <w:jc w:val="center"/>
        </w:trPr>
        <w:tc>
          <w:tcPr>
            <w:tcW w:w="0" w:type="auto"/>
            <w:shd w:val="clear" w:color="auto" w:fill="FFFFFF"/>
          </w:tcPr>
          <w:p w14:paraId="00868444" w14:textId="77777777" w:rsidR="00817611" w:rsidRPr="006371A6" w:rsidRDefault="00817611" w:rsidP="00817611">
            <w:pPr>
              <w:adjustRightInd w:val="0"/>
              <w:spacing w:after="0" w:line="240" w:lineRule="auto"/>
              <w:jc w:val="center"/>
              <w:rPr>
                <w:rFonts w:cs="Calibri"/>
                <w:color w:val="000000"/>
                <w:sz w:val="16"/>
                <w:szCs w:val="16"/>
              </w:rPr>
            </w:pPr>
            <w:proofErr w:type="spellStart"/>
            <w:r w:rsidRPr="006371A6">
              <w:rPr>
                <w:rFonts w:cs="Calibri"/>
                <w:color w:val="000000"/>
                <w:sz w:val="16"/>
                <w:szCs w:val="16"/>
              </w:rPr>
              <w:t>Monotherapy</w:t>
            </w:r>
            <w:proofErr w:type="spellEnd"/>
          </w:p>
        </w:tc>
        <w:tc>
          <w:tcPr>
            <w:tcW w:w="0" w:type="auto"/>
            <w:shd w:val="clear" w:color="auto" w:fill="FFFFFF"/>
          </w:tcPr>
          <w:p w14:paraId="5461C12B" w14:textId="121CE964" w:rsidR="00817611" w:rsidRPr="006371A6" w:rsidRDefault="0001326E" w:rsidP="00817611">
            <w:pPr>
              <w:adjustRightInd w:val="0"/>
              <w:spacing w:after="0" w:line="240" w:lineRule="auto"/>
              <w:jc w:val="center"/>
              <w:rPr>
                <w:rFonts w:cs="Calibri"/>
                <w:color w:val="000000"/>
                <w:sz w:val="16"/>
                <w:szCs w:val="16"/>
              </w:rPr>
            </w:pPr>
            <w:r>
              <w:rPr>
                <w:rFonts w:cs="Calibri"/>
                <w:color w:val="000000"/>
                <w:sz w:val="16"/>
                <w:szCs w:val="16"/>
              </w:rPr>
              <w:t>153</w:t>
            </w:r>
          </w:p>
        </w:tc>
        <w:tc>
          <w:tcPr>
            <w:tcW w:w="0" w:type="auto"/>
            <w:shd w:val="clear" w:color="auto" w:fill="FFFFFF"/>
          </w:tcPr>
          <w:p w14:paraId="453C7CD7" w14:textId="2C6D1994" w:rsidR="00817611" w:rsidRPr="006371A6" w:rsidRDefault="0001326E" w:rsidP="00817611">
            <w:pPr>
              <w:adjustRightInd w:val="0"/>
              <w:spacing w:after="0" w:line="240" w:lineRule="auto"/>
              <w:jc w:val="center"/>
              <w:rPr>
                <w:rFonts w:cs="Calibri"/>
                <w:color w:val="000000"/>
                <w:sz w:val="16"/>
                <w:szCs w:val="16"/>
              </w:rPr>
            </w:pPr>
            <w:r>
              <w:rPr>
                <w:rFonts w:cs="Calibri"/>
                <w:color w:val="000000"/>
                <w:sz w:val="16"/>
                <w:szCs w:val="16"/>
              </w:rPr>
              <w:t>52</w:t>
            </w:r>
          </w:p>
        </w:tc>
        <w:tc>
          <w:tcPr>
            <w:tcW w:w="0" w:type="auto"/>
            <w:shd w:val="clear" w:color="auto" w:fill="FFFFFF"/>
          </w:tcPr>
          <w:p w14:paraId="3C8E255D" w14:textId="678F67B1" w:rsidR="00817611" w:rsidRPr="006371A6" w:rsidRDefault="0001326E" w:rsidP="00817611">
            <w:pPr>
              <w:adjustRightInd w:val="0"/>
              <w:spacing w:after="0" w:line="240" w:lineRule="auto"/>
              <w:jc w:val="center"/>
              <w:rPr>
                <w:rFonts w:cs="Calibri"/>
                <w:color w:val="000000"/>
                <w:sz w:val="16"/>
                <w:szCs w:val="16"/>
              </w:rPr>
            </w:pPr>
            <w:r>
              <w:rPr>
                <w:rFonts w:cs="Calibri"/>
                <w:color w:val="000000"/>
                <w:sz w:val="16"/>
                <w:szCs w:val="16"/>
              </w:rPr>
              <w:t>19.2</w:t>
            </w:r>
            <w:r w:rsidR="00817611" w:rsidRPr="006371A6">
              <w:rPr>
                <w:rFonts w:cs="Calibri"/>
                <w:color w:val="000000"/>
                <w:sz w:val="16"/>
                <w:szCs w:val="16"/>
              </w:rPr>
              <w:t>%</w:t>
            </w:r>
          </w:p>
        </w:tc>
        <w:tc>
          <w:tcPr>
            <w:tcW w:w="0" w:type="auto"/>
            <w:shd w:val="clear" w:color="auto" w:fill="FFFFFF"/>
          </w:tcPr>
          <w:p w14:paraId="343C31C9" w14:textId="213C9DA2" w:rsidR="00817611" w:rsidRPr="006371A6" w:rsidRDefault="00817611" w:rsidP="00817611">
            <w:pPr>
              <w:adjustRightInd w:val="0"/>
              <w:spacing w:after="0" w:line="240" w:lineRule="auto"/>
              <w:jc w:val="center"/>
              <w:rPr>
                <w:rFonts w:cs="Calibri"/>
                <w:color w:val="000000"/>
                <w:sz w:val="16"/>
                <w:szCs w:val="16"/>
              </w:rPr>
            </w:pPr>
            <w:r w:rsidRPr="006371A6">
              <w:rPr>
                <w:rFonts w:cs="Calibri"/>
                <w:color w:val="000000"/>
                <w:sz w:val="16"/>
                <w:szCs w:val="16"/>
              </w:rPr>
              <w:t>3</w:t>
            </w:r>
            <w:r w:rsidR="0001326E">
              <w:rPr>
                <w:rFonts w:cs="Calibri"/>
                <w:color w:val="000000"/>
                <w:sz w:val="16"/>
                <w:szCs w:val="16"/>
              </w:rPr>
              <w:t>7</w:t>
            </w:r>
          </w:p>
        </w:tc>
        <w:tc>
          <w:tcPr>
            <w:tcW w:w="0" w:type="auto"/>
            <w:shd w:val="clear" w:color="auto" w:fill="FFFFFF"/>
          </w:tcPr>
          <w:p w14:paraId="044EAD10" w14:textId="2D2EB68B" w:rsidR="00817611" w:rsidRPr="006371A6" w:rsidRDefault="0001326E" w:rsidP="00817611">
            <w:pPr>
              <w:adjustRightInd w:val="0"/>
              <w:spacing w:after="0" w:line="240" w:lineRule="auto"/>
              <w:jc w:val="center"/>
              <w:rPr>
                <w:rFonts w:cs="Calibri"/>
                <w:color w:val="000000"/>
                <w:sz w:val="16"/>
                <w:szCs w:val="16"/>
              </w:rPr>
            </w:pPr>
            <w:r>
              <w:rPr>
                <w:rFonts w:cs="Calibri"/>
                <w:color w:val="000000"/>
                <w:sz w:val="16"/>
                <w:szCs w:val="16"/>
              </w:rPr>
              <w:t>8</w:t>
            </w:r>
            <w:r w:rsidR="00817611" w:rsidRPr="006371A6">
              <w:rPr>
                <w:rFonts w:cs="Calibri"/>
                <w:color w:val="000000"/>
                <w:sz w:val="16"/>
                <w:szCs w:val="16"/>
              </w:rPr>
              <w:t>.</w:t>
            </w:r>
            <w:r>
              <w:rPr>
                <w:rFonts w:cs="Calibri"/>
                <w:color w:val="000000"/>
                <w:sz w:val="16"/>
                <w:szCs w:val="16"/>
              </w:rPr>
              <w:t>1</w:t>
            </w:r>
            <w:r w:rsidR="00817611" w:rsidRPr="006371A6">
              <w:rPr>
                <w:rFonts w:cs="Calibri"/>
                <w:color w:val="000000"/>
                <w:sz w:val="16"/>
                <w:szCs w:val="16"/>
              </w:rPr>
              <w:t>%</w:t>
            </w:r>
          </w:p>
        </w:tc>
        <w:tc>
          <w:tcPr>
            <w:tcW w:w="0" w:type="auto"/>
            <w:shd w:val="clear" w:color="auto" w:fill="FFFFFF"/>
          </w:tcPr>
          <w:p w14:paraId="5951E566" w14:textId="68AF0318" w:rsidR="00817611" w:rsidRPr="006371A6" w:rsidRDefault="0001326E" w:rsidP="00817611">
            <w:pPr>
              <w:adjustRightInd w:val="0"/>
              <w:spacing w:after="0" w:line="240" w:lineRule="auto"/>
              <w:jc w:val="center"/>
              <w:rPr>
                <w:rFonts w:cs="Calibri"/>
                <w:color w:val="000000"/>
                <w:sz w:val="16"/>
                <w:szCs w:val="16"/>
              </w:rPr>
            </w:pPr>
            <w:r>
              <w:rPr>
                <w:rFonts w:cs="Calibri"/>
                <w:color w:val="000000"/>
                <w:sz w:val="16"/>
                <w:szCs w:val="16"/>
              </w:rPr>
              <w:t>23</w:t>
            </w:r>
          </w:p>
        </w:tc>
        <w:tc>
          <w:tcPr>
            <w:tcW w:w="0" w:type="auto"/>
            <w:shd w:val="clear" w:color="auto" w:fill="FFFFFF"/>
          </w:tcPr>
          <w:p w14:paraId="35DA68CD" w14:textId="6F815B05" w:rsidR="00817611" w:rsidRPr="006371A6" w:rsidRDefault="0001326E" w:rsidP="00817611">
            <w:pPr>
              <w:adjustRightInd w:val="0"/>
              <w:spacing w:after="0" w:line="240" w:lineRule="auto"/>
              <w:jc w:val="center"/>
              <w:rPr>
                <w:rFonts w:cs="Calibri"/>
                <w:color w:val="000000"/>
                <w:sz w:val="16"/>
                <w:szCs w:val="16"/>
              </w:rPr>
            </w:pPr>
            <w:r>
              <w:rPr>
                <w:rFonts w:cs="Calibri"/>
                <w:color w:val="000000"/>
                <w:sz w:val="16"/>
                <w:szCs w:val="16"/>
              </w:rPr>
              <w:t>4</w:t>
            </w:r>
            <w:r w:rsidR="00817611" w:rsidRPr="006371A6">
              <w:rPr>
                <w:rFonts w:cs="Calibri"/>
                <w:color w:val="000000"/>
                <w:sz w:val="16"/>
                <w:szCs w:val="16"/>
              </w:rPr>
              <w:t>.</w:t>
            </w:r>
            <w:r>
              <w:rPr>
                <w:rFonts w:cs="Calibri"/>
                <w:color w:val="000000"/>
                <w:sz w:val="16"/>
                <w:szCs w:val="16"/>
              </w:rPr>
              <w:t>3</w:t>
            </w:r>
            <w:r w:rsidR="00817611" w:rsidRPr="006371A6">
              <w:rPr>
                <w:rFonts w:cs="Calibri"/>
                <w:color w:val="000000"/>
                <w:sz w:val="16"/>
                <w:szCs w:val="16"/>
              </w:rPr>
              <w:t>%</w:t>
            </w:r>
          </w:p>
        </w:tc>
        <w:tc>
          <w:tcPr>
            <w:tcW w:w="0" w:type="auto"/>
            <w:shd w:val="clear" w:color="auto" w:fill="FFFFFF"/>
          </w:tcPr>
          <w:p w14:paraId="16F345C9" w14:textId="0AE321BF" w:rsidR="00817611" w:rsidRPr="00C7772E" w:rsidRDefault="00817611" w:rsidP="00817611">
            <w:pPr>
              <w:adjustRightInd w:val="0"/>
              <w:spacing w:after="0" w:line="240" w:lineRule="auto"/>
              <w:jc w:val="center"/>
              <w:rPr>
                <w:rFonts w:cs="Calibri"/>
                <w:color w:val="000000"/>
                <w:sz w:val="16"/>
              </w:rPr>
            </w:pPr>
            <w:r>
              <w:rPr>
                <w:rFonts w:cs="Calibri"/>
                <w:color w:val="000000"/>
                <w:sz w:val="16"/>
                <w:szCs w:val="16"/>
              </w:rPr>
              <w:t>23</w:t>
            </w:r>
          </w:p>
        </w:tc>
        <w:tc>
          <w:tcPr>
            <w:tcW w:w="0" w:type="auto"/>
            <w:shd w:val="clear" w:color="auto" w:fill="FFFFFF"/>
          </w:tcPr>
          <w:p w14:paraId="0DC8E42C" w14:textId="77001817" w:rsidR="00817611" w:rsidRPr="00C7772E" w:rsidRDefault="00817611" w:rsidP="00817611">
            <w:pPr>
              <w:adjustRightInd w:val="0"/>
              <w:spacing w:after="0" w:line="240" w:lineRule="auto"/>
              <w:jc w:val="center"/>
              <w:rPr>
                <w:rFonts w:cs="Calibri"/>
                <w:color w:val="000000"/>
                <w:sz w:val="16"/>
              </w:rPr>
            </w:pPr>
            <w:r w:rsidRPr="006371A6">
              <w:rPr>
                <w:rFonts w:cs="Calibri"/>
                <w:color w:val="000000"/>
                <w:sz w:val="16"/>
                <w:szCs w:val="16"/>
              </w:rPr>
              <w:t>43</w:t>
            </w:r>
            <w:r>
              <w:rPr>
                <w:rFonts w:cs="Calibri"/>
                <w:color w:val="000000"/>
                <w:sz w:val="16"/>
                <w:szCs w:val="16"/>
              </w:rPr>
              <w:t>.5</w:t>
            </w:r>
            <w:r w:rsidRPr="006371A6">
              <w:rPr>
                <w:rFonts w:cs="Calibri"/>
                <w:color w:val="000000"/>
                <w:sz w:val="16"/>
                <w:szCs w:val="16"/>
              </w:rPr>
              <w:t>%</w:t>
            </w:r>
          </w:p>
        </w:tc>
        <w:tc>
          <w:tcPr>
            <w:tcW w:w="0" w:type="auto"/>
            <w:shd w:val="clear" w:color="auto" w:fill="FFFFFF"/>
          </w:tcPr>
          <w:p w14:paraId="6EE62FA4" w14:textId="29067728" w:rsidR="00817611" w:rsidRPr="006371A6" w:rsidRDefault="00817611" w:rsidP="00817611">
            <w:pPr>
              <w:adjustRightInd w:val="0"/>
              <w:spacing w:after="0" w:line="240" w:lineRule="auto"/>
              <w:jc w:val="center"/>
              <w:rPr>
                <w:rFonts w:cs="Calibri"/>
                <w:color w:val="000000"/>
                <w:sz w:val="16"/>
                <w:szCs w:val="16"/>
              </w:rPr>
            </w:pPr>
            <w:r>
              <w:rPr>
                <w:rFonts w:cs="Calibri"/>
                <w:color w:val="000000"/>
                <w:sz w:val="16"/>
                <w:szCs w:val="16"/>
              </w:rPr>
              <w:t>18</w:t>
            </w:r>
          </w:p>
        </w:tc>
        <w:tc>
          <w:tcPr>
            <w:tcW w:w="0" w:type="auto"/>
            <w:shd w:val="clear" w:color="auto" w:fill="FFFFFF"/>
          </w:tcPr>
          <w:p w14:paraId="0FBEA79C" w14:textId="16F4E907" w:rsidR="00817611" w:rsidRPr="006371A6" w:rsidRDefault="00817611" w:rsidP="00817611">
            <w:pPr>
              <w:adjustRightInd w:val="0"/>
              <w:spacing w:after="0" w:line="240" w:lineRule="auto"/>
              <w:jc w:val="center"/>
              <w:rPr>
                <w:rFonts w:cs="Calibri"/>
                <w:color w:val="000000"/>
                <w:sz w:val="16"/>
                <w:szCs w:val="16"/>
              </w:rPr>
            </w:pPr>
            <w:r>
              <w:rPr>
                <w:rFonts w:cs="Calibri"/>
                <w:color w:val="000000"/>
                <w:sz w:val="16"/>
                <w:szCs w:val="16"/>
              </w:rPr>
              <w:t>11.1</w:t>
            </w:r>
            <w:r w:rsidRPr="006371A6">
              <w:rPr>
                <w:rFonts w:cs="Calibri"/>
                <w:color w:val="000000"/>
                <w:sz w:val="16"/>
                <w:szCs w:val="16"/>
              </w:rPr>
              <w:t>%</w:t>
            </w:r>
          </w:p>
        </w:tc>
      </w:tr>
      <w:tr w:rsidR="00817611" w:rsidRPr="00E736CC" w14:paraId="5BED5F0C" w14:textId="77777777" w:rsidTr="00817611">
        <w:trPr>
          <w:cantSplit/>
          <w:trHeight w:val="651"/>
          <w:jc w:val="center"/>
        </w:trPr>
        <w:tc>
          <w:tcPr>
            <w:tcW w:w="0" w:type="auto"/>
            <w:shd w:val="clear" w:color="auto" w:fill="FFFFFF"/>
          </w:tcPr>
          <w:p w14:paraId="52F0D543" w14:textId="77777777" w:rsidR="00817611" w:rsidRPr="006371A6" w:rsidRDefault="00817611" w:rsidP="00817611">
            <w:pPr>
              <w:adjustRightInd w:val="0"/>
              <w:spacing w:after="0" w:line="240" w:lineRule="auto"/>
              <w:jc w:val="center"/>
              <w:rPr>
                <w:rFonts w:cs="Calibri"/>
                <w:color w:val="000000"/>
                <w:sz w:val="16"/>
                <w:szCs w:val="16"/>
              </w:rPr>
            </w:pPr>
            <w:r w:rsidRPr="006371A6">
              <w:rPr>
                <w:rFonts w:cs="Calibri"/>
                <w:color w:val="000000"/>
                <w:sz w:val="16"/>
                <w:szCs w:val="16"/>
              </w:rPr>
              <w:t>Combination :</w:t>
            </w:r>
          </w:p>
          <w:p w14:paraId="07EB7473" w14:textId="7C3241E1" w:rsidR="00817611" w:rsidRPr="006371A6" w:rsidRDefault="00817611" w:rsidP="00817611">
            <w:pPr>
              <w:adjustRightInd w:val="0"/>
              <w:spacing w:after="0" w:line="240" w:lineRule="auto"/>
              <w:jc w:val="center"/>
              <w:rPr>
                <w:rFonts w:cs="Calibri"/>
                <w:color w:val="000000"/>
                <w:sz w:val="16"/>
                <w:szCs w:val="16"/>
              </w:rPr>
            </w:pPr>
            <w:proofErr w:type="spellStart"/>
            <w:r w:rsidRPr="006371A6">
              <w:rPr>
                <w:rFonts w:cs="Calibri"/>
                <w:color w:val="000000"/>
                <w:sz w:val="16"/>
                <w:szCs w:val="16"/>
              </w:rPr>
              <w:t>Immunotherapy</w:t>
            </w:r>
            <w:proofErr w:type="spellEnd"/>
            <w:r w:rsidRPr="006371A6">
              <w:rPr>
                <w:rFonts w:cs="Calibri"/>
                <w:color w:val="000000"/>
                <w:sz w:val="16"/>
                <w:szCs w:val="16"/>
              </w:rPr>
              <w:t xml:space="preserve"> + </w:t>
            </w:r>
            <w:proofErr w:type="spellStart"/>
            <w:r w:rsidRPr="006371A6">
              <w:rPr>
                <w:rFonts w:cs="Calibri"/>
                <w:color w:val="000000"/>
                <w:sz w:val="16"/>
                <w:szCs w:val="16"/>
              </w:rPr>
              <w:t>other</w:t>
            </w:r>
            <w:proofErr w:type="spellEnd"/>
          </w:p>
        </w:tc>
        <w:tc>
          <w:tcPr>
            <w:tcW w:w="0" w:type="auto"/>
            <w:shd w:val="clear" w:color="auto" w:fill="FFFFFF"/>
          </w:tcPr>
          <w:p w14:paraId="40EDCADF" w14:textId="1E4BC786" w:rsidR="00817611" w:rsidRPr="006371A6" w:rsidRDefault="0001326E" w:rsidP="00817611">
            <w:pPr>
              <w:adjustRightInd w:val="0"/>
              <w:spacing w:after="0" w:line="240" w:lineRule="auto"/>
              <w:jc w:val="center"/>
              <w:rPr>
                <w:rFonts w:cs="Calibri"/>
                <w:color w:val="000000"/>
                <w:sz w:val="16"/>
                <w:szCs w:val="16"/>
              </w:rPr>
            </w:pPr>
            <w:r>
              <w:rPr>
                <w:rFonts w:cs="Calibri"/>
                <w:color w:val="000000"/>
                <w:sz w:val="16"/>
                <w:szCs w:val="16"/>
              </w:rPr>
              <w:t>117</w:t>
            </w:r>
          </w:p>
        </w:tc>
        <w:tc>
          <w:tcPr>
            <w:tcW w:w="0" w:type="auto"/>
            <w:shd w:val="clear" w:color="auto" w:fill="FFFFFF"/>
          </w:tcPr>
          <w:p w14:paraId="7D8C995C" w14:textId="45CE455B" w:rsidR="00817611" w:rsidRPr="006371A6" w:rsidRDefault="0001326E" w:rsidP="00817611">
            <w:pPr>
              <w:adjustRightInd w:val="0"/>
              <w:spacing w:after="0" w:line="240" w:lineRule="auto"/>
              <w:jc w:val="center"/>
              <w:rPr>
                <w:rFonts w:cs="Calibri"/>
                <w:color w:val="000000"/>
                <w:sz w:val="16"/>
                <w:szCs w:val="16"/>
              </w:rPr>
            </w:pPr>
            <w:r>
              <w:rPr>
                <w:rFonts w:cs="Calibri"/>
                <w:color w:val="000000"/>
                <w:sz w:val="16"/>
                <w:szCs w:val="16"/>
              </w:rPr>
              <w:t>24</w:t>
            </w:r>
          </w:p>
        </w:tc>
        <w:tc>
          <w:tcPr>
            <w:tcW w:w="0" w:type="auto"/>
            <w:shd w:val="clear" w:color="auto" w:fill="FFFFFF"/>
          </w:tcPr>
          <w:p w14:paraId="15E46226" w14:textId="1287287C" w:rsidR="00817611" w:rsidRPr="006371A6" w:rsidRDefault="0001326E" w:rsidP="00817611">
            <w:pPr>
              <w:adjustRightInd w:val="0"/>
              <w:spacing w:after="0" w:line="240" w:lineRule="auto"/>
              <w:jc w:val="center"/>
              <w:rPr>
                <w:rFonts w:cs="Calibri"/>
                <w:color w:val="000000"/>
                <w:sz w:val="16"/>
                <w:szCs w:val="16"/>
              </w:rPr>
            </w:pPr>
            <w:r>
              <w:rPr>
                <w:rFonts w:cs="Calibri"/>
                <w:color w:val="000000"/>
                <w:sz w:val="16"/>
                <w:szCs w:val="16"/>
              </w:rPr>
              <w:t>8.3</w:t>
            </w:r>
            <w:r w:rsidR="00817611" w:rsidRPr="006371A6">
              <w:rPr>
                <w:rFonts w:cs="Calibri"/>
                <w:color w:val="000000"/>
                <w:sz w:val="16"/>
                <w:szCs w:val="16"/>
              </w:rPr>
              <w:t>%</w:t>
            </w:r>
          </w:p>
        </w:tc>
        <w:tc>
          <w:tcPr>
            <w:tcW w:w="0" w:type="auto"/>
            <w:shd w:val="clear" w:color="auto" w:fill="FFFFFF"/>
          </w:tcPr>
          <w:p w14:paraId="75960BDE" w14:textId="73187D2C" w:rsidR="00817611" w:rsidRPr="006371A6" w:rsidRDefault="0001326E" w:rsidP="00817611">
            <w:pPr>
              <w:adjustRightInd w:val="0"/>
              <w:spacing w:after="0" w:line="240" w:lineRule="auto"/>
              <w:jc w:val="center"/>
              <w:rPr>
                <w:rFonts w:cs="Calibri"/>
                <w:color w:val="000000"/>
                <w:sz w:val="16"/>
                <w:szCs w:val="16"/>
              </w:rPr>
            </w:pPr>
            <w:r>
              <w:rPr>
                <w:rFonts w:cs="Calibri"/>
                <w:color w:val="000000"/>
                <w:sz w:val="16"/>
                <w:szCs w:val="16"/>
              </w:rPr>
              <w:t>8</w:t>
            </w:r>
          </w:p>
        </w:tc>
        <w:tc>
          <w:tcPr>
            <w:tcW w:w="0" w:type="auto"/>
            <w:shd w:val="clear" w:color="auto" w:fill="FFFFFF"/>
          </w:tcPr>
          <w:p w14:paraId="1852291B" w14:textId="2A9D1C21" w:rsidR="00817611" w:rsidRPr="006371A6" w:rsidRDefault="0001326E" w:rsidP="00817611">
            <w:pPr>
              <w:adjustRightInd w:val="0"/>
              <w:spacing w:after="0" w:line="240" w:lineRule="auto"/>
              <w:jc w:val="center"/>
              <w:rPr>
                <w:rFonts w:cs="Calibri"/>
                <w:color w:val="000000"/>
                <w:sz w:val="16"/>
                <w:szCs w:val="16"/>
              </w:rPr>
            </w:pPr>
            <w:r>
              <w:rPr>
                <w:rFonts w:cs="Calibri"/>
                <w:color w:val="000000"/>
                <w:sz w:val="16"/>
                <w:szCs w:val="16"/>
              </w:rPr>
              <w:t>25</w:t>
            </w:r>
            <w:r w:rsidR="00817611" w:rsidRPr="006371A6">
              <w:rPr>
                <w:rFonts w:cs="Calibri"/>
                <w:color w:val="000000"/>
                <w:sz w:val="16"/>
                <w:szCs w:val="16"/>
              </w:rPr>
              <w:t>%</w:t>
            </w:r>
          </w:p>
        </w:tc>
        <w:tc>
          <w:tcPr>
            <w:tcW w:w="0" w:type="auto"/>
            <w:shd w:val="clear" w:color="auto" w:fill="FFFFFF"/>
          </w:tcPr>
          <w:p w14:paraId="22FFA230" w14:textId="130F720D" w:rsidR="00817611" w:rsidRPr="006371A6" w:rsidRDefault="0001326E" w:rsidP="0001326E">
            <w:pPr>
              <w:adjustRightInd w:val="0"/>
              <w:spacing w:after="0" w:line="240" w:lineRule="auto"/>
              <w:rPr>
                <w:rFonts w:cs="Calibri"/>
                <w:color w:val="000000"/>
                <w:sz w:val="16"/>
                <w:szCs w:val="16"/>
              </w:rPr>
            </w:pPr>
            <w:r>
              <w:rPr>
                <w:rFonts w:cs="Calibri"/>
                <w:color w:val="000000"/>
                <w:sz w:val="16"/>
                <w:szCs w:val="16"/>
              </w:rPr>
              <w:t xml:space="preserve"> 31</w:t>
            </w:r>
          </w:p>
        </w:tc>
        <w:tc>
          <w:tcPr>
            <w:tcW w:w="0" w:type="auto"/>
            <w:shd w:val="clear" w:color="auto" w:fill="FFFFFF"/>
          </w:tcPr>
          <w:p w14:paraId="43FDD9D0" w14:textId="55BDD976" w:rsidR="00817611" w:rsidRPr="006371A6" w:rsidRDefault="0001326E" w:rsidP="00817611">
            <w:pPr>
              <w:adjustRightInd w:val="0"/>
              <w:spacing w:after="0" w:line="240" w:lineRule="auto"/>
              <w:jc w:val="center"/>
              <w:rPr>
                <w:rFonts w:cs="Calibri"/>
                <w:color w:val="000000"/>
                <w:sz w:val="16"/>
                <w:szCs w:val="16"/>
              </w:rPr>
            </w:pPr>
            <w:r>
              <w:rPr>
                <w:rFonts w:cs="Calibri"/>
                <w:color w:val="000000"/>
                <w:sz w:val="16"/>
                <w:szCs w:val="16"/>
              </w:rPr>
              <w:t>12.9</w:t>
            </w:r>
            <w:r w:rsidR="00817611" w:rsidRPr="006371A6">
              <w:rPr>
                <w:rFonts w:cs="Calibri"/>
                <w:color w:val="000000"/>
                <w:sz w:val="16"/>
                <w:szCs w:val="16"/>
              </w:rPr>
              <w:t>%</w:t>
            </w:r>
          </w:p>
        </w:tc>
        <w:tc>
          <w:tcPr>
            <w:tcW w:w="0" w:type="auto"/>
            <w:shd w:val="clear" w:color="auto" w:fill="FFFFFF"/>
          </w:tcPr>
          <w:p w14:paraId="7C99DA40" w14:textId="499EC406" w:rsidR="00817611" w:rsidRPr="00C7772E" w:rsidRDefault="00817611" w:rsidP="00817611">
            <w:pPr>
              <w:adjustRightInd w:val="0"/>
              <w:spacing w:after="0" w:line="240" w:lineRule="auto"/>
              <w:jc w:val="center"/>
              <w:rPr>
                <w:rFonts w:cs="Calibri"/>
                <w:color w:val="000000"/>
                <w:sz w:val="16"/>
              </w:rPr>
            </w:pPr>
            <w:r>
              <w:rPr>
                <w:rFonts w:cs="Calibri"/>
                <w:color w:val="000000"/>
                <w:sz w:val="16"/>
                <w:szCs w:val="16"/>
              </w:rPr>
              <w:t>12</w:t>
            </w:r>
          </w:p>
        </w:tc>
        <w:tc>
          <w:tcPr>
            <w:tcW w:w="0" w:type="auto"/>
            <w:shd w:val="clear" w:color="auto" w:fill="FFFFFF"/>
          </w:tcPr>
          <w:p w14:paraId="3556B359" w14:textId="3A808EA2" w:rsidR="00817611" w:rsidRPr="00C7772E" w:rsidRDefault="00817611" w:rsidP="00817611">
            <w:pPr>
              <w:adjustRightInd w:val="0"/>
              <w:spacing w:after="0" w:line="240" w:lineRule="auto"/>
              <w:jc w:val="center"/>
              <w:rPr>
                <w:rFonts w:cs="Calibri"/>
                <w:color w:val="000000"/>
                <w:sz w:val="16"/>
              </w:rPr>
            </w:pPr>
            <w:r>
              <w:rPr>
                <w:rFonts w:cs="Calibri"/>
                <w:color w:val="000000"/>
                <w:sz w:val="16"/>
                <w:szCs w:val="16"/>
              </w:rPr>
              <w:t>58.3</w:t>
            </w:r>
            <w:r w:rsidRPr="006371A6">
              <w:rPr>
                <w:rFonts w:cs="Calibri"/>
                <w:color w:val="000000"/>
                <w:sz w:val="16"/>
                <w:szCs w:val="16"/>
              </w:rPr>
              <w:t>%</w:t>
            </w:r>
          </w:p>
        </w:tc>
        <w:tc>
          <w:tcPr>
            <w:tcW w:w="0" w:type="auto"/>
            <w:shd w:val="clear" w:color="auto" w:fill="FFFFFF"/>
          </w:tcPr>
          <w:p w14:paraId="5A2B3EF6" w14:textId="79689E72" w:rsidR="00817611" w:rsidRPr="006371A6" w:rsidRDefault="00817611" w:rsidP="00817611">
            <w:pPr>
              <w:adjustRightInd w:val="0"/>
              <w:spacing w:after="0" w:line="240" w:lineRule="auto"/>
              <w:jc w:val="center"/>
              <w:rPr>
                <w:rFonts w:cs="Calibri"/>
                <w:color w:val="000000"/>
                <w:sz w:val="16"/>
                <w:szCs w:val="16"/>
              </w:rPr>
            </w:pPr>
            <w:r>
              <w:rPr>
                <w:rFonts w:cs="Calibri"/>
                <w:color w:val="000000"/>
                <w:sz w:val="16"/>
                <w:szCs w:val="16"/>
              </w:rPr>
              <w:t>42</w:t>
            </w:r>
          </w:p>
        </w:tc>
        <w:tc>
          <w:tcPr>
            <w:tcW w:w="0" w:type="auto"/>
            <w:shd w:val="clear" w:color="auto" w:fill="FFFFFF"/>
          </w:tcPr>
          <w:p w14:paraId="481B5735" w14:textId="50B14450" w:rsidR="00817611" w:rsidRPr="006371A6" w:rsidRDefault="00817611" w:rsidP="00817611">
            <w:pPr>
              <w:adjustRightInd w:val="0"/>
              <w:spacing w:after="0" w:line="240" w:lineRule="auto"/>
              <w:jc w:val="center"/>
              <w:rPr>
                <w:rFonts w:cs="Calibri"/>
                <w:color w:val="000000"/>
                <w:sz w:val="16"/>
                <w:szCs w:val="16"/>
              </w:rPr>
            </w:pPr>
            <w:r>
              <w:rPr>
                <w:rFonts w:cs="Calibri"/>
                <w:color w:val="000000"/>
                <w:sz w:val="16"/>
                <w:szCs w:val="16"/>
              </w:rPr>
              <w:t>9.5</w:t>
            </w:r>
            <w:r w:rsidRPr="006371A6">
              <w:rPr>
                <w:rFonts w:cs="Calibri"/>
                <w:color w:val="000000"/>
                <w:sz w:val="16"/>
                <w:szCs w:val="16"/>
              </w:rPr>
              <w:t>%</w:t>
            </w:r>
          </w:p>
        </w:tc>
      </w:tr>
      <w:tr w:rsidR="00817611" w:rsidRPr="00E736CC" w14:paraId="1B2D1FBC" w14:textId="77777777" w:rsidTr="00817611">
        <w:trPr>
          <w:cantSplit/>
          <w:trHeight w:val="619"/>
          <w:jc w:val="center"/>
        </w:trPr>
        <w:tc>
          <w:tcPr>
            <w:tcW w:w="0" w:type="auto"/>
            <w:shd w:val="clear" w:color="auto" w:fill="FFFFFF"/>
          </w:tcPr>
          <w:p w14:paraId="0AFCE91E" w14:textId="77777777" w:rsidR="00817611" w:rsidRPr="006371A6" w:rsidRDefault="00817611" w:rsidP="00817611">
            <w:pPr>
              <w:adjustRightInd w:val="0"/>
              <w:spacing w:after="0" w:line="240" w:lineRule="auto"/>
              <w:jc w:val="center"/>
              <w:rPr>
                <w:rFonts w:cs="Calibri"/>
                <w:color w:val="000000"/>
                <w:sz w:val="16"/>
                <w:szCs w:val="16"/>
              </w:rPr>
            </w:pPr>
            <w:r w:rsidRPr="006371A6">
              <w:rPr>
                <w:rFonts w:cs="Calibri"/>
                <w:color w:val="000000"/>
                <w:sz w:val="16"/>
                <w:szCs w:val="16"/>
              </w:rPr>
              <w:t>Combination :</w:t>
            </w:r>
          </w:p>
          <w:p w14:paraId="3C64448C" w14:textId="2387D1AF" w:rsidR="00817611" w:rsidRPr="006371A6" w:rsidRDefault="00817611" w:rsidP="00817611">
            <w:pPr>
              <w:adjustRightInd w:val="0"/>
              <w:spacing w:after="0" w:line="240" w:lineRule="auto"/>
              <w:jc w:val="center"/>
              <w:rPr>
                <w:rFonts w:cs="Calibri"/>
                <w:color w:val="000000"/>
                <w:sz w:val="16"/>
                <w:szCs w:val="16"/>
              </w:rPr>
            </w:pPr>
            <w:r w:rsidRPr="006371A6">
              <w:rPr>
                <w:rFonts w:cs="Calibri"/>
                <w:color w:val="000000"/>
                <w:sz w:val="16"/>
                <w:szCs w:val="16"/>
              </w:rPr>
              <w:t xml:space="preserve">Double </w:t>
            </w:r>
            <w:proofErr w:type="spellStart"/>
            <w:r w:rsidRPr="006371A6">
              <w:rPr>
                <w:rFonts w:cs="Calibri"/>
                <w:color w:val="000000"/>
                <w:sz w:val="16"/>
                <w:szCs w:val="16"/>
              </w:rPr>
              <w:t>immunotherapy</w:t>
            </w:r>
            <w:proofErr w:type="spellEnd"/>
          </w:p>
        </w:tc>
        <w:tc>
          <w:tcPr>
            <w:tcW w:w="0" w:type="auto"/>
            <w:shd w:val="clear" w:color="auto" w:fill="FFFFFF"/>
          </w:tcPr>
          <w:p w14:paraId="51293BC1" w14:textId="4A8BE1B9" w:rsidR="00817611" w:rsidRPr="006371A6" w:rsidRDefault="0001326E" w:rsidP="00817611">
            <w:pPr>
              <w:adjustRightInd w:val="0"/>
              <w:spacing w:after="0" w:line="240" w:lineRule="auto"/>
              <w:jc w:val="center"/>
              <w:rPr>
                <w:rFonts w:cs="Calibri"/>
                <w:color w:val="000000"/>
                <w:sz w:val="16"/>
                <w:szCs w:val="16"/>
              </w:rPr>
            </w:pPr>
            <w:r>
              <w:rPr>
                <w:rFonts w:cs="Calibri"/>
                <w:color w:val="000000"/>
                <w:sz w:val="16"/>
                <w:szCs w:val="16"/>
              </w:rPr>
              <w:t>113</w:t>
            </w:r>
          </w:p>
        </w:tc>
        <w:tc>
          <w:tcPr>
            <w:tcW w:w="0" w:type="auto"/>
            <w:shd w:val="clear" w:color="auto" w:fill="FFFFFF"/>
          </w:tcPr>
          <w:p w14:paraId="35E647C3" w14:textId="05C743B2" w:rsidR="00817611" w:rsidRPr="006371A6" w:rsidRDefault="0001326E" w:rsidP="00817611">
            <w:pPr>
              <w:adjustRightInd w:val="0"/>
              <w:spacing w:after="0" w:line="240" w:lineRule="auto"/>
              <w:jc w:val="center"/>
              <w:rPr>
                <w:rFonts w:cs="Calibri"/>
                <w:color w:val="000000"/>
                <w:sz w:val="16"/>
                <w:szCs w:val="16"/>
              </w:rPr>
            </w:pPr>
            <w:r>
              <w:rPr>
                <w:rFonts w:cs="Calibri"/>
                <w:color w:val="000000"/>
                <w:sz w:val="16"/>
                <w:szCs w:val="16"/>
              </w:rPr>
              <w:t>27</w:t>
            </w:r>
          </w:p>
        </w:tc>
        <w:tc>
          <w:tcPr>
            <w:tcW w:w="0" w:type="auto"/>
            <w:shd w:val="clear" w:color="auto" w:fill="FFFFFF"/>
          </w:tcPr>
          <w:p w14:paraId="5E5BC5DA" w14:textId="140E2EC3" w:rsidR="00817611" w:rsidRPr="006371A6" w:rsidRDefault="0001326E" w:rsidP="00817611">
            <w:pPr>
              <w:adjustRightInd w:val="0"/>
              <w:spacing w:after="0" w:line="240" w:lineRule="auto"/>
              <w:jc w:val="center"/>
              <w:rPr>
                <w:rFonts w:cs="Calibri"/>
                <w:color w:val="000000"/>
                <w:sz w:val="16"/>
                <w:szCs w:val="16"/>
              </w:rPr>
            </w:pPr>
            <w:r>
              <w:rPr>
                <w:rFonts w:cs="Calibri"/>
                <w:color w:val="000000"/>
                <w:sz w:val="16"/>
                <w:szCs w:val="16"/>
              </w:rPr>
              <w:t>18.5</w:t>
            </w:r>
            <w:r w:rsidR="00817611" w:rsidRPr="006371A6">
              <w:rPr>
                <w:rFonts w:cs="Calibri"/>
                <w:color w:val="000000"/>
                <w:sz w:val="16"/>
                <w:szCs w:val="16"/>
              </w:rPr>
              <w:t>%</w:t>
            </w:r>
          </w:p>
        </w:tc>
        <w:tc>
          <w:tcPr>
            <w:tcW w:w="0" w:type="auto"/>
            <w:shd w:val="clear" w:color="auto" w:fill="FFFFFF"/>
          </w:tcPr>
          <w:p w14:paraId="01C21703" w14:textId="4C631452" w:rsidR="00817611" w:rsidRPr="006371A6" w:rsidRDefault="0001326E" w:rsidP="00817611">
            <w:pPr>
              <w:adjustRightInd w:val="0"/>
              <w:spacing w:after="0" w:line="240" w:lineRule="auto"/>
              <w:jc w:val="center"/>
              <w:rPr>
                <w:rFonts w:cs="Calibri"/>
                <w:color w:val="000000"/>
                <w:sz w:val="16"/>
                <w:szCs w:val="16"/>
              </w:rPr>
            </w:pPr>
            <w:r>
              <w:rPr>
                <w:rFonts w:cs="Calibri"/>
                <w:color w:val="000000"/>
                <w:sz w:val="16"/>
                <w:szCs w:val="16"/>
              </w:rPr>
              <w:t>16</w:t>
            </w:r>
          </w:p>
        </w:tc>
        <w:tc>
          <w:tcPr>
            <w:tcW w:w="0" w:type="auto"/>
            <w:shd w:val="clear" w:color="auto" w:fill="FFFFFF"/>
          </w:tcPr>
          <w:p w14:paraId="0DF98743" w14:textId="20C8D248" w:rsidR="00817611" w:rsidRPr="006371A6" w:rsidRDefault="0001326E" w:rsidP="00817611">
            <w:pPr>
              <w:adjustRightInd w:val="0"/>
              <w:spacing w:after="0" w:line="240" w:lineRule="auto"/>
              <w:jc w:val="center"/>
              <w:rPr>
                <w:rFonts w:cs="Calibri"/>
                <w:color w:val="000000"/>
                <w:sz w:val="16"/>
                <w:szCs w:val="16"/>
              </w:rPr>
            </w:pPr>
            <w:r>
              <w:rPr>
                <w:rFonts w:cs="Calibri"/>
                <w:color w:val="000000"/>
                <w:sz w:val="16"/>
                <w:szCs w:val="16"/>
              </w:rPr>
              <w:t>0</w:t>
            </w:r>
            <w:r w:rsidR="00817611" w:rsidRPr="006371A6">
              <w:rPr>
                <w:rFonts w:cs="Calibri"/>
                <w:color w:val="000000"/>
                <w:sz w:val="16"/>
                <w:szCs w:val="16"/>
              </w:rPr>
              <w:t>%</w:t>
            </w:r>
          </w:p>
        </w:tc>
        <w:tc>
          <w:tcPr>
            <w:tcW w:w="0" w:type="auto"/>
            <w:shd w:val="clear" w:color="auto" w:fill="FFFFFF"/>
          </w:tcPr>
          <w:p w14:paraId="38C6DF86" w14:textId="79A8505F" w:rsidR="00817611" w:rsidRPr="006371A6" w:rsidRDefault="0001326E" w:rsidP="00817611">
            <w:pPr>
              <w:adjustRightInd w:val="0"/>
              <w:spacing w:after="0" w:line="240" w:lineRule="auto"/>
              <w:jc w:val="center"/>
              <w:rPr>
                <w:rFonts w:cs="Calibri"/>
                <w:color w:val="000000"/>
                <w:sz w:val="16"/>
                <w:szCs w:val="16"/>
              </w:rPr>
            </w:pPr>
            <w:r>
              <w:rPr>
                <w:rFonts w:cs="Calibri"/>
                <w:color w:val="000000"/>
                <w:sz w:val="16"/>
                <w:szCs w:val="16"/>
              </w:rPr>
              <w:t>27</w:t>
            </w:r>
          </w:p>
        </w:tc>
        <w:tc>
          <w:tcPr>
            <w:tcW w:w="0" w:type="auto"/>
            <w:shd w:val="clear" w:color="auto" w:fill="FFFFFF"/>
          </w:tcPr>
          <w:p w14:paraId="4079DB6A" w14:textId="6E99AFAA" w:rsidR="00817611" w:rsidRPr="006371A6" w:rsidRDefault="00817611" w:rsidP="00817611">
            <w:pPr>
              <w:adjustRightInd w:val="0"/>
              <w:spacing w:after="0" w:line="240" w:lineRule="auto"/>
              <w:jc w:val="center"/>
              <w:rPr>
                <w:rFonts w:cs="Calibri"/>
                <w:color w:val="000000"/>
                <w:sz w:val="16"/>
                <w:szCs w:val="16"/>
              </w:rPr>
            </w:pPr>
            <w:r w:rsidRPr="006371A6">
              <w:rPr>
                <w:rFonts w:cs="Calibri"/>
                <w:color w:val="000000"/>
                <w:sz w:val="16"/>
                <w:szCs w:val="16"/>
              </w:rPr>
              <w:t>3</w:t>
            </w:r>
            <w:r w:rsidR="0001326E">
              <w:rPr>
                <w:rFonts w:cs="Calibri"/>
                <w:color w:val="000000"/>
                <w:sz w:val="16"/>
                <w:szCs w:val="16"/>
              </w:rPr>
              <w:t>.7</w:t>
            </w:r>
            <w:r w:rsidRPr="006371A6">
              <w:rPr>
                <w:rFonts w:cs="Calibri"/>
                <w:color w:val="000000"/>
                <w:sz w:val="16"/>
                <w:szCs w:val="16"/>
              </w:rPr>
              <w:t>%</w:t>
            </w:r>
          </w:p>
        </w:tc>
        <w:tc>
          <w:tcPr>
            <w:tcW w:w="0" w:type="auto"/>
            <w:shd w:val="clear" w:color="auto" w:fill="FFFFFF"/>
          </w:tcPr>
          <w:p w14:paraId="1DE35324" w14:textId="45DE6251" w:rsidR="00817611" w:rsidRPr="00C7772E" w:rsidRDefault="00817611" w:rsidP="00817611">
            <w:pPr>
              <w:adjustRightInd w:val="0"/>
              <w:spacing w:after="0" w:line="240" w:lineRule="auto"/>
              <w:jc w:val="center"/>
              <w:rPr>
                <w:rFonts w:cs="Calibri"/>
                <w:color w:val="000000"/>
                <w:sz w:val="16"/>
              </w:rPr>
            </w:pPr>
            <w:r>
              <w:rPr>
                <w:rFonts w:cs="Calibri"/>
                <w:color w:val="000000"/>
                <w:sz w:val="16"/>
                <w:szCs w:val="16"/>
              </w:rPr>
              <w:t>6</w:t>
            </w:r>
          </w:p>
        </w:tc>
        <w:tc>
          <w:tcPr>
            <w:tcW w:w="0" w:type="auto"/>
            <w:shd w:val="clear" w:color="auto" w:fill="FFFFFF"/>
          </w:tcPr>
          <w:p w14:paraId="34F9598E" w14:textId="4EBF739E" w:rsidR="00817611" w:rsidRPr="00C7772E" w:rsidRDefault="00817611" w:rsidP="00817611">
            <w:pPr>
              <w:adjustRightInd w:val="0"/>
              <w:spacing w:after="0" w:line="240" w:lineRule="auto"/>
              <w:jc w:val="center"/>
              <w:rPr>
                <w:rFonts w:cs="Calibri"/>
                <w:color w:val="000000"/>
                <w:sz w:val="16"/>
              </w:rPr>
            </w:pPr>
            <w:r>
              <w:rPr>
                <w:rFonts w:cs="Calibri"/>
                <w:color w:val="000000"/>
                <w:sz w:val="16"/>
                <w:szCs w:val="16"/>
              </w:rPr>
              <w:t>50</w:t>
            </w:r>
            <w:r w:rsidRPr="006371A6">
              <w:rPr>
                <w:rFonts w:cs="Calibri"/>
                <w:color w:val="000000"/>
                <w:sz w:val="16"/>
                <w:szCs w:val="16"/>
              </w:rPr>
              <w:t>%</w:t>
            </w:r>
          </w:p>
        </w:tc>
        <w:tc>
          <w:tcPr>
            <w:tcW w:w="0" w:type="auto"/>
            <w:shd w:val="clear" w:color="auto" w:fill="FFFFFF"/>
          </w:tcPr>
          <w:p w14:paraId="5CED6F61" w14:textId="176F78B0" w:rsidR="00817611" w:rsidRPr="006371A6" w:rsidRDefault="00817611" w:rsidP="00817611">
            <w:pPr>
              <w:adjustRightInd w:val="0"/>
              <w:spacing w:after="0" w:line="240" w:lineRule="auto"/>
              <w:jc w:val="center"/>
              <w:rPr>
                <w:rFonts w:cs="Calibri"/>
                <w:color w:val="000000"/>
                <w:sz w:val="16"/>
                <w:szCs w:val="16"/>
              </w:rPr>
            </w:pPr>
            <w:r>
              <w:rPr>
                <w:rFonts w:cs="Calibri"/>
                <w:color w:val="000000"/>
                <w:sz w:val="16"/>
                <w:szCs w:val="16"/>
              </w:rPr>
              <w:t>37</w:t>
            </w:r>
          </w:p>
        </w:tc>
        <w:tc>
          <w:tcPr>
            <w:tcW w:w="0" w:type="auto"/>
            <w:shd w:val="clear" w:color="auto" w:fill="FFFFFF"/>
          </w:tcPr>
          <w:p w14:paraId="1BD6D16E" w14:textId="17A6A540" w:rsidR="00817611" w:rsidRPr="006371A6" w:rsidRDefault="00817611" w:rsidP="00817611">
            <w:pPr>
              <w:adjustRightInd w:val="0"/>
              <w:spacing w:after="0" w:line="240" w:lineRule="auto"/>
              <w:jc w:val="center"/>
              <w:rPr>
                <w:rFonts w:cs="Calibri"/>
                <w:color w:val="000000"/>
                <w:sz w:val="16"/>
                <w:szCs w:val="16"/>
              </w:rPr>
            </w:pPr>
            <w:r>
              <w:rPr>
                <w:rFonts w:cs="Calibri"/>
                <w:color w:val="000000"/>
                <w:sz w:val="16"/>
                <w:szCs w:val="16"/>
              </w:rPr>
              <w:t>10.8</w:t>
            </w:r>
            <w:r w:rsidRPr="006371A6">
              <w:rPr>
                <w:rFonts w:cs="Calibri"/>
                <w:color w:val="000000"/>
                <w:sz w:val="16"/>
                <w:szCs w:val="16"/>
              </w:rPr>
              <w:t>%</w:t>
            </w:r>
          </w:p>
        </w:tc>
      </w:tr>
    </w:tbl>
    <w:p w14:paraId="2D173920" w14:textId="490BAA4F" w:rsidR="00817611" w:rsidRDefault="00817611" w:rsidP="00C04695">
      <w:pPr>
        <w:spacing w:line="480" w:lineRule="auto"/>
        <w:contextualSpacing/>
        <w:jc w:val="both"/>
        <w:rPr>
          <w:rFonts w:ascii="Times New Roman" w:hAnsi="Times New Roman"/>
          <w:b/>
          <w:bCs/>
          <w:sz w:val="24"/>
          <w:szCs w:val="24"/>
          <w:lang w:val="en-GB"/>
        </w:rPr>
      </w:pPr>
    </w:p>
    <w:p w14:paraId="5F91796E" w14:textId="77777777" w:rsidR="00817611" w:rsidRDefault="00817611">
      <w:pPr>
        <w:spacing w:after="160" w:line="259" w:lineRule="auto"/>
        <w:rPr>
          <w:rFonts w:ascii="Times New Roman" w:hAnsi="Times New Roman"/>
          <w:b/>
          <w:bCs/>
          <w:sz w:val="24"/>
          <w:szCs w:val="24"/>
          <w:lang w:val="en-GB"/>
        </w:rPr>
      </w:pPr>
      <w:r>
        <w:rPr>
          <w:rFonts w:ascii="Times New Roman" w:hAnsi="Times New Roman"/>
          <w:b/>
          <w:bCs/>
          <w:sz w:val="24"/>
          <w:szCs w:val="24"/>
          <w:lang w:val="en-GB"/>
        </w:rPr>
        <w:br w:type="page"/>
      </w:r>
    </w:p>
    <w:p w14:paraId="75E7649C" w14:textId="77777777" w:rsidR="00817611" w:rsidRDefault="00817611" w:rsidP="00C04695">
      <w:pPr>
        <w:spacing w:line="480" w:lineRule="auto"/>
        <w:contextualSpacing/>
        <w:jc w:val="both"/>
        <w:rPr>
          <w:rFonts w:ascii="Times New Roman" w:hAnsi="Times New Roman"/>
          <w:b/>
          <w:bCs/>
          <w:sz w:val="24"/>
          <w:szCs w:val="24"/>
          <w:lang w:val="en-GB"/>
        </w:rPr>
      </w:pPr>
    </w:p>
    <w:p w14:paraId="1148B334" w14:textId="6B90CD0C" w:rsidR="00F233AE" w:rsidRDefault="00F233AE" w:rsidP="00C04695">
      <w:pPr>
        <w:spacing w:line="480" w:lineRule="auto"/>
        <w:contextualSpacing/>
        <w:jc w:val="both"/>
        <w:rPr>
          <w:rFonts w:ascii="Times New Roman" w:hAnsi="Times New Roman"/>
          <w:b/>
          <w:bCs/>
          <w:sz w:val="24"/>
          <w:szCs w:val="24"/>
          <w:lang w:val="en-GB"/>
        </w:rPr>
      </w:pPr>
      <w:r w:rsidRPr="00F233AE">
        <w:rPr>
          <w:rFonts w:ascii="Times New Roman" w:hAnsi="Times New Roman"/>
          <w:b/>
          <w:bCs/>
          <w:sz w:val="24"/>
          <w:szCs w:val="24"/>
          <w:lang w:val="en-GB"/>
        </w:rPr>
        <w:t>REFERENCES</w:t>
      </w:r>
    </w:p>
    <w:p w14:paraId="2D0F8212" w14:textId="77777777" w:rsidR="00F233AE" w:rsidRDefault="00F233AE" w:rsidP="00F233AE">
      <w:pPr>
        <w:pStyle w:val="EndNoteBibliography"/>
        <w:spacing w:after="0"/>
        <w:ind w:left="720" w:hanging="720"/>
        <w:contextualSpacing/>
        <w:rPr>
          <w:noProof/>
        </w:rPr>
      </w:pPr>
      <w:r>
        <w:rPr>
          <w:noProof/>
        </w:rPr>
        <w:t xml:space="preserve">1.        Tawbi HA, Burgess M, Bolejack V, Van Tine BA, Schuetze SM, Hu J, D'Angelo S, Attia S, Riedel RF, Priebat DA, Movva S, Davis LE, Okuno SH, Reed DR, Crowley J, Butterfield LH, Salazar R, Rodriguez-Canales J, Lazar AJ, Wistuba II, Baker LH, Maki RG, Reinke D, Patel S. </w:t>
      </w:r>
      <w:hyperlink r:id="rId4" w:history="1">
        <w:r w:rsidRPr="000C7271">
          <w:rPr>
            <w:noProof/>
          </w:rPr>
          <w:t>Pembrolizumab in advanced soft-tissue sarcoma and bone sarcoma (SARC028): a multicentre, two-cohort, single-arm, open-label, phase 2 trial.</w:t>
        </w:r>
      </w:hyperlink>
      <w:r>
        <w:rPr>
          <w:noProof/>
        </w:rPr>
        <w:t xml:space="preserve"> </w:t>
      </w:r>
      <w:r w:rsidRPr="000C7271">
        <w:rPr>
          <w:noProof/>
        </w:rPr>
        <w:t>Lancet Oncol</w:t>
      </w:r>
      <w:r>
        <w:rPr>
          <w:noProof/>
        </w:rPr>
        <w:t xml:space="preserve">. 2017 Nov;18(11):1493-1501. </w:t>
      </w:r>
    </w:p>
    <w:p w14:paraId="46FDBE83" w14:textId="77777777" w:rsidR="00F233AE" w:rsidRPr="006F25AE" w:rsidRDefault="00F233AE" w:rsidP="00F233AE">
      <w:pPr>
        <w:pStyle w:val="EndNoteBibliography"/>
        <w:spacing w:after="0"/>
        <w:ind w:left="720" w:hanging="720"/>
        <w:contextualSpacing/>
        <w:rPr>
          <w:noProof/>
        </w:rPr>
      </w:pPr>
      <w:r>
        <w:rPr>
          <w:noProof/>
        </w:rPr>
        <w:t xml:space="preserve">2.       </w:t>
      </w:r>
      <w:r w:rsidRPr="006F25AE">
        <w:rPr>
          <w:noProof/>
        </w:rPr>
        <w:t xml:space="preserve">Burgess M, Bolejack V, Schuetze S, Van Tine B, Attia S, Riedel R, Hu J, Davis L, Okuno S, Priebat D, Movva S, Reed D, D'Angelo S, Lazar A, Keung E, Reinke D, Baker L, Maki R, Patel S, Tawbi H. </w:t>
      </w:r>
      <w:hyperlink r:id="rId5" w:history="1">
        <w:r w:rsidRPr="006F25AE">
          <w:rPr>
            <w:noProof/>
          </w:rPr>
          <w:t>Clinical activity of pembrolizumab (P) in undifferentiated pleomorphic sarcoma (UPS) and dedifferentiated/pleomorphic liposarcoma (LPS): Final results of SARC028 expansion cohorts.</w:t>
        </w:r>
      </w:hyperlink>
      <w:r w:rsidRPr="006F25AE">
        <w:rPr>
          <w:noProof/>
        </w:rPr>
        <w:t xml:space="preserve"> J Clin Oncol 2019 37:15_suppl, 11015-11015</w:t>
      </w:r>
    </w:p>
    <w:p w14:paraId="0F82767E" w14:textId="77777777" w:rsidR="00F233AE" w:rsidRPr="00511DE7" w:rsidRDefault="00F233AE" w:rsidP="00F233AE">
      <w:pPr>
        <w:pStyle w:val="EndNoteBibliography"/>
        <w:spacing w:after="0"/>
        <w:ind w:left="720" w:hanging="720"/>
        <w:contextualSpacing/>
        <w:rPr>
          <w:noProof/>
        </w:rPr>
      </w:pPr>
      <w:r>
        <w:rPr>
          <w:noProof/>
        </w:rPr>
        <w:t>3</w:t>
      </w:r>
      <w:r w:rsidRPr="00511DE7">
        <w:rPr>
          <w:noProof/>
        </w:rPr>
        <w:t xml:space="preserve">        Somaiah N, Conley A, Lin H,  Sanchez-Espiridion B, Amini B, Ravi V, Araujo D, Patel S,  Benjamin R, Zarzour M, Sabir S, Wang WL, Lazar A, Wistuba I, Hwu P. A phase II multi-arm study to test the efficacy of durvalumab and tremelimumab in multiple sarcoma subtypes</w:t>
      </w:r>
    </w:p>
    <w:p w14:paraId="1B087D84" w14:textId="77777777" w:rsidR="00F233AE" w:rsidRPr="00511DE7" w:rsidRDefault="00F233AE" w:rsidP="00F233AE">
      <w:pPr>
        <w:pStyle w:val="EndNoteBibliography"/>
        <w:spacing w:after="0"/>
        <w:ind w:left="720" w:hanging="720"/>
        <w:contextualSpacing/>
        <w:rPr>
          <w:noProof/>
        </w:rPr>
      </w:pPr>
      <w:r>
        <w:rPr>
          <w:noProof/>
        </w:rPr>
        <w:t>4</w:t>
      </w:r>
      <w:r w:rsidRPr="00511DE7">
        <w:rPr>
          <w:noProof/>
        </w:rPr>
        <w:t xml:space="preserve">        D'Angelo SP, Mahoney MR, Van Tine BA, Atkins J, Milhem MM, Jahagirdar BN, Antonescu CR, Horvath E, Tap WD, Schwartz GK, Streicher H. </w:t>
      </w:r>
      <w:hyperlink r:id="rId6" w:history="1">
        <w:r w:rsidRPr="00511DE7">
          <w:rPr>
            <w:noProof/>
          </w:rPr>
          <w:t>Nivolumab with or without ipilimumab treatment for metastatic sarcoma (Alliance A091401): two open-label, non-comparative, randomised, phase 2 trials.</w:t>
        </w:r>
      </w:hyperlink>
      <w:r w:rsidRPr="00511DE7">
        <w:rPr>
          <w:noProof/>
        </w:rPr>
        <w:t xml:space="preserve"> Lancet Oncol. 2018;19:416-426.</w:t>
      </w:r>
    </w:p>
    <w:p w14:paraId="2FC3FE35" w14:textId="77777777" w:rsidR="00F233AE" w:rsidRPr="00511DE7" w:rsidRDefault="00F233AE" w:rsidP="00F233AE">
      <w:pPr>
        <w:pStyle w:val="EndNoteBibliography"/>
        <w:spacing w:after="0"/>
        <w:ind w:left="720" w:hanging="720"/>
        <w:contextualSpacing/>
        <w:rPr>
          <w:noProof/>
        </w:rPr>
      </w:pPr>
      <w:r>
        <w:rPr>
          <w:noProof/>
        </w:rPr>
        <w:t>5</w:t>
      </w:r>
      <w:r w:rsidRPr="00511DE7">
        <w:rPr>
          <w:noProof/>
        </w:rPr>
        <w:t xml:space="preserve">       Toulmonde M, Penel N, Adam J, Chevreau C, Blay JY, Le Cesne A, Bompas E, Piperno-Neumann S, Cousin S, Grellety T, Ryckewaert T, Bessede A, Ghiringhelli F, Pulido M, Italiano A. </w:t>
      </w:r>
      <w:hyperlink r:id="rId7" w:history="1">
        <w:r w:rsidRPr="00511DE7">
          <w:rPr>
            <w:noProof/>
          </w:rPr>
          <w:t xml:space="preserve">Use of PD-1 Targeting, Macrophage Infiltration, and IDO </w:t>
        </w:r>
        <w:r w:rsidRPr="00511DE7">
          <w:rPr>
            <w:noProof/>
          </w:rPr>
          <w:lastRenderedPageBreak/>
          <w:t>Pathway Activation in Sarcomas: A Phase 2 Clinical Trial.</w:t>
        </w:r>
      </w:hyperlink>
      <w:r w:rsidRPr="00511DE7">
        <w:rPr>
          <w:noProof/>
        </w:rPr>
        <w:t xml:space="preserve"> JAMA Oncol. 2018;4:93-97</w:t>
      </w:r>
    </w:p>
    <w:p w14:paraId="0CFBF526" w14:textId="77777777" w:rsidR="00F233AE" w:rsidRPr="00511DE7" w:rsidRDefault="00F233AE" w:rsidP="00F233AE">
      <w:pPr>
        <w:pStyle w:val="EndNoteBibliography"/>
        <w:spacing w:after="0"/>
        <w:ind w:left="720" w:hanging="720"/>
        <w:contextualSpacing/>
        <w:rPr>
          <w:noProof/>
        </w:rPr>
      </w:pPr>
      <w:r>
        <w:rPr>
          <w:noProof/>
        </w:rPr>
        <w:t>6</w:t>
      </w:r>
      <w:r w:rsidRPr="00511DE7">
        <w:rPr>
          <w:noProof/>
        </w:rPr>
        <w:t xml:space="preserve">        Coyne G, Sharon E, Moore N, Meehan R, Takebe N,  Juwara L, Rubinstein L, Read W, Riedel R, Merriam P, Hu J, Burgess M, Doroshow J, Chen A.   Phase II study of atezolizumab in patients with alveolar soft part sarcoma. Connective Tissue Oncology Society 2018 Annual Meeting</w:t>
      </w:r>
    </w:p>
    <w:p w14:paraId="38F867A1" w14:textId="77777777" w:rsidR="00F233AE" w:rsidRPr="00511DE7" w:rsidRDefault="00F233AE" w:rsidP="00F233AE">
      <w:pPr>
        <w:pStyle w:val="EndNoteBibliography"/>
        <w:spacing w:after="0"/>
        <w:ind w:left="720" w:hanging="720"/>
        <w:contextualSpacing/>
        <w:rPr>
          <w:noProof/>
        </w:rPr>
      </w:pPr>
    </w:p>
    <w:p w14:paraId="2CAC6780" w14:textId="77777777" w:rsidR="00F233AE" w:rsidRPr="00511DE7" w:rsidRDefault="00F233AE" w:rsidP="00F233AE">
      <w:pPr>
        <w:pStyle w:val="EndNoteBibliography"/>
        <w:spacing w:after="0"/>
        <w:ind w:left="720" w:hanging="720"/>
        <w:contextualSpacing/>
        <w:rPr>
          <w:noProof/>
        </w:rPr>
      </w:pPr>
      <w:r>
        <w:rPr>
          <w:noProof/>
        </w:rPr>
        <w:t>7</w:t>
      </w:r>
      <w:r w:rsidRPr="00511DE7">
        <w:rPr>
          <w:noProof/>
        </w:rPr>
        <w:t xml:space="preserve">       Wilky BA, Trucco MM, Subhawong TK, Florou V, Park W, Kwon D, Wieder ED, Kolonias D, Rosenberg AE, Kerr DA, Sfakianaki E, Foley M, Merchan JR, Komanduri KV, Trent JC. </w:t>
      </w:r>
      <w:hyperlink r:id="rId8" w:history="1">
        <w:r w:rsidRPr="00511DE7">
          <w:rPr>
            <w:noProof/>
          </w:rPr>
          <w:t>Axitinib plus pembrolizumab in patients with advanced sarcomas including alveolar soft-part sarcoma: a single-centre, single-arm, phase 2 trial.</w:t>
        </w:r>
      </w:hyperlink>
      <w:r w:rsidRPr="00511DE7">
        <w:rPr>
          <w:noProof/>
        </w:rPr>
        <w:t xml:space="preserve"> Lancet Oncol. 2019 Jun;20(6):837-848.</w:t>
      </w:r>
    </w:p>
    <w:p w14:paraId="6D0B756F" w14:textId="77777777" w:rsidR="00F233AE" w:rsidRPr="00511DE7" w:rsidRDefault="00F233AE" w:rsidP="00F233AE">
      <w:pPr>
        <w:pStyle w:val="EndNoteBibliography"/>
        <w:spacing w:after="0"/>
        <w:ind w:left="720" w:hanging="720"/>
        <w:contextualSpacing/>
        <w:rPr>
          <w:noProof/>
        </w:rPr>
      </w:pPr>
      <w:r>
        <w:rPr>
          <w:noProof/>
        </w:rPr>
        <w:t>8</w:t>
      </w:r>
      <w:r w:rsidRPr="00511DE7">
        <w:rPr>
          <w:noProof/>
        </w:rPr>
        <w:t xml:space="preserve">      Pollack S, Redman MW, Wagner M, Loggers E, Baker K, McDonnell S, Gregory J, Copeland V, Hammer K, Johnson R, Moore R, Shahnazari M, Townson S, Lewis Jones R, Cranmer L. </w:t>
      </w:r>
      <w:hyperlink r:id="rId9" w:history="1">
        <w:r w:rsidRPr="00511DE7">
          <w:rPr>
            <w:noProof/>
          </w:rPr>
          <w:t>A phase I/II study of pembrolizumab (Pem) and doxorubicin (Dox) in treating patients with metastatic/unresectable sarcoma.</w:t>
        </w:r>
      </w:hyperlink>
      <w:r w:rsidRPr="00511DE7">
        <w:rPr>
          <w:noProof/>
        </w:rPr>
        <w:t xml:space="preserve"> J Clin Oncol 2019 37:15_suppl, 11009-11009</w:t>
      </w:r>
    </w:p>
    <w:p w14:paraId="6BA51EA7" w14:textId="77777777" w:rsidR="00F233AE" w:rsidRDefault="00F233AE" w:rsidP="00F233AE">
      <w:pPr>
        <w:pStyle w:val="EndNoteBibliography"/>
        <w:spacing w:after="0"/>
        <w:ind w:left="720" w:hanging="720"/>
        <w:contextualSpacing/>
        <w:rPr>
          <w:noProof/>
        </w:rPr>
      </w:pPr>
      <w:r>
        <w:rPr>
          <w:noProof/>
        </w:rPr>
        <w:t>9</w:t>
      </w:r>
      <w:r w:rsidRPr="00511DE7">
        <w:rPr>
          <w:noProof/>
        </w:rPr>
        <w:t xml:space="preserve">        D'Angelo S, Conley A, Kelly C, Dickson M, Gounder M, Chi P, Keohan M, Livingston J, Patel S, Adamson T, Kiesler H, Biniakewitz M, Phelan H, Condy M,  Agaram N, Qin LX, Erinjeri J, Hwang S, Tap W.  </w:t>
      </w:r>
      <w:hyperlink r:id="rId10" w:history="1">
        <w:r w:rsidRPr="00511DE7">
          <w:rPr>
            <w:noProof/>
          </w:rPr>
          <w:t>Pilot study of NKTR214 and nivolumab in patients with sarcomas.</w:t>
        </w:r>
      </w:hyperlink>
      <w:r w:rsidRPr="00511DE7">
        <w:rPr>
          <w:noProof/>
        </w:rPr>
        <w:t xml:space="preserve">  J Clin Oncol 2019 37:15_suppl, 11010-11010</w:t>
      </w:r>
    </w:p>
    <w:p w14:paraId="3895EC46" w14:textId="77777777" w:rsidR="00F233AE" w:rsidRPr="00F233AE" w:rsidRDefault="00F233AE" w:rsidP="00C04695">
      <w:pPr>
        <w:spacing w:line="480" w:lineRule="auto"/>
        <w:contextualSpacing/>
        <w:jc w:val="both"/>
        <w:rPr>
          <w:rFonts w:ascii="Times New Roman" w:hAnsi="Times New Roman"/>
          <w:b/>
          <w:bCs/>
          <w:sz w:val="24"/>
          <w:szCs w:val="24"/>
          <w:lang w:val="en-GB"/>
        </w:rPr>
      </w:pPr>
    </w:p>
    <w:p w14:paraId="6A95F9CA" w14:textId="77777777" w:rsidR="00F233AE" w:rsidRPr="00C729B6" w:rsidRDefault="00F233AE" w:rsidP="00C04695">
      <w:pPr>
        <w:spacing w:line="480" w:lineRule="auto"/>
        <w:contextualSpacing/>
        <w:jc w:val="both"/>
        <w:rPr>
          <w:rFonts w:ascii="Times New Roman" w:hAnsi="Times New Roman"/>
          <w:sz w:val="24"/>
          <w:szCs w:val="24"/>
          <w:lang w:val="en-GB"/>
        </w:rPr>
      </w:pPr>
    </w:p>
    <w:p w14:paraId="169CBBB6" w14:textId="77777777" w:rsidR="00CB667E" w:rsidRPr="00C04695" w:rsidRDefault="00CB667E">
      <w:pPr>
        <w:rPr>
          <w:lang w:val="en-GB"/>
        </w:rPr>
      </w:pPr>
    </w:p>
    <w:sectPr w:rsidR="00CB667E" w:rsidRPr="00C04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 Monospace">
    <w:altName w:val="Calibri"/>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95"/>
    <w:rsid w:val="0001326E"/>
    <w:rsid w:val="000442FC"/>
    <w:rsid w:val="007161F2"/>
    <w:rsid w:val="00817611"/>
    <w:rsid w:val="00A574C0"/>
    <w:rsid w:val="00C04695"/>
    <w:rsid w:val="00CB667E"/>
    <w:rsid w:val="00F233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FF01"/>
  <w15:chartTrackingRefBased/>
  <w15:docId w15:val="{9DD99BE5-A4B8-4CF2-9B44-73D88641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695"/>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33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33AE"/>
    <w:rPr>
      <w:rFonts w:ascii="Segoe UI" w:eastAsia="Calibri" w:hAnsi="Segoe UI" w:cs="Segoe UI"/>
      <w:sz w:val="18"/>
      <w:szCs w:val="18"/>
    </w:rPr>
  </w:style>
  <w:style w:type="paragraph" w:styleId="Paragraphedeliste">
    <w:name w:val="List Paragraph"/>
    <w:basedOn w:val="Normal"/>
    <w:uiPriority w:val="34"/>
    <w:qFormat/>
    <w:rsid w:val="00F233AE"/>
    <w:pPr>
      <w:ind w:left="720"/>
      <w:contextualSpacing/>
    </w:pPr>
  </w:style>
  <w:style w:type="paragraph" w:customStyle="1" w:styleId="EndNoteBibliography">
    <w:name w:val="EndNote Bibliography"/>
    <w:basedOn w:val="Normal"/>
    <w:rsid w:val="00F233AE"/>
    <w:pPr>
      <w:spacing w:line="480" w:lineRule="auto"/>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1078463" TargetMode="External"/><Relationship Id="rId3" Type="http://schemas.openxmlformats.org/officeDocument/2006/relationships/webSettings" Target="webSettings.xml"/><Relationship Id="rId7" Type="http://schemas.openxmlformats.org/officeDocument/2006/relationships/hyperlink" Target="https://www.ncbi.nlm.nih.gov/pubmed/2866223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29370992" TargetMode="External"/><Relationship Id="rId11" Type="http://schemas.openxmlformats.org/officeDocument/2006/relationships/fontTable" Target="fontTable.xml"/><Relationship Id="rId5" Type="http://schemas.openxmlformats.org/officeDocument/2006/relationships/hyperlink" Target="https://ascopubs.org/doi/abs/10.1200/JCO.2019.37.15_suppl.11015" TargetMode="External"/><Relationship Id="rId10" Type="http://schemas.openxmlformats.org/officeDocument/2006/relationships/hyperlink" Target="https://ascopubs.org/doi/abs/10.1200/JCO.2019.37.15_suppl.11010" TargetMode="External"/><Relationship Id="rId4" Type="http://schemas.openxmlformats.org/officeDocument/2006/relationships/hyperlink" Target="https://www.ncbi.nlm.nih.gov/pubmed/28988646" TargetMode="External"/><Relationship Id="rId9" Type="http://schemas.openxmlformats.org/officeDocument/2006/relationships/hyperlink" Target="https://ascopubs.org/doi/abs/10.1200/JCO.2019.37.15_suppl.1100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937</Words>
  <Characters>5154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italiano</dc:creator>
  <cp:keywords/>
  <dc:description/>
  <cp:lastModifiedBy>antoine italiano</cp:lastModifiedBy>
  <cp:revision>2</cp:revision>
  <dcterms:created xsi:type="dcterms:W3CDTF">2020-04-30T21:33:00Z</dcterms:created>
  <dcterms:modified xsi:type="dcterms:W3CDTF">2020-04-30T21:33:00Z</dcterms:modified>
</cp:coreProperties>
</file>