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D4B" w:rsidRPr="00723D4B" w:rsidRDefault="00CE44BD" w:rsidP="00723D4B">
      <w:pPr>
        <w:pStyle w:val="p1"/>
        <w:spacing w:line="480" w:lineRule="auto"/>
        <w:jc w:val="center"/>
        <w:rPr>
          <w:b/>
          <w:color w:val="000000" w:themeColor="text1"/>
          <w:sz w:val="32"/>
          <w:szCs w:val="36"/>
          <w:u w:val="single"/>
          <w:lang w:val="en-GB"/>
        </w:rPr>
      </w:pPr>
      <w:r>
        <w:rPr>
          <w:b/>
          <w:color w:val="000000" w:themeColor="text1"/>
          <w:sz w:val="32"/>
          <w:szCs w:val="36"/>
          <w:u w:val="single"/>
          <w:lang w:val="en-GB"/>
        </w:rPr>
        <w:t>Additional</w:t>
      </w:r>
      <w:r w:rsidR="00723D4B" w:rsidRPr="00723D4B">
        <w:rPr>
          <w:b/>
          <w:color w:val="000000" w:themeColor="text1"/>
          <w:sz w:val="32"/>
          <w:szCs w:val="36"/>
          <w:u w:val="single"/>
          <w:lang w:val="en-GB"/>
        </w:rPr>
        <w:t xml:space="preserve"> Files</w:t>
      </w:r>
    </w:p>
    <w:p w:rsidR="00723D4B" w:rsidRDefault="00723D4B" w:rsidP="00D40D9E">
      <w:pPr>
        <w:pStyle w:val="p1"/>
        <w:spacing w:line="480" w:lineRule="auto"/>
        <w:jc w:val="both"/>
        <w:rPr>
          <w:b/>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Pr>
          <w:b/>
          <w:color w:val="000000" w:themeColor="text1"/>
          <w:sz w:val="22"/>
          <w:lang w:val="en-GB"/>
        </w:rPr>
        <w:t>EX</w:t>
      </w:r>
      <w:r w:rsidR="00E77734">
        <w:rPr>
          <w:b/>
          <w:color w:val="000000" w:themeColor="text1"/>
          <w:sz w:val="22"/>
          <w:lang w:val="en-GB"/>
        </w:rPr>
        <w:t>TEN</w:t>
      </w:r>
      <w:r>
        <w:rPr>
          <w:b/>
          <w:color w:val="000000" w:themeColor="text1"/>
          <w:sz w:val="22"/>
          <w:lang w:val="en-GB"/>
        </w:rPr>
        <w:t>DED METHODS</w:t>
      </w:r>
    </w:p>
    <w:p w:rsidR="00723D4B" w:rsidRDefault="00723D4B" w:rsidP="00D40D9E">
      <w:pPr>
        <w:pStyle w:val="p1"/>
        <w:spacing w:line="480" w:lineRule="auto"/>
        <w:jc w:val="both"/>
        <w:rPr>
          <w:b/>
          <w:i/>
          <w:color w:val="000000" w:themeColor="text1"/>
          <w:sz w:val="22"/>
          <w:lang w:val="en-GB"/>
        </w:rPr>
      </w:pPr>
    </w:p>
    <w:p w:rsidR="00D40D9E" w:rsidRPr="00922973" w:rsidRDefault="00D40D9E" w:rsidP="00D40D9E">
      <w:pPr>
        <w:pStyle w:val="p1"/>
        <w:spacing w:line="480" w:lineRule="auto"/>
        <w:jc w:val="both"/>
        <w:rPr>
          <w:color w:val="000000" w:themeColor="text1"/>
          <w:sz w:val="22"/>
          <w:szCs w:val="22"/>
          <w:lang w:val="en-GB"/>
        </w:rPr>
      </w:pPr>
      <w:r w:rsidRPr="00BE1802">
        <w:rPr>
          <w:b/>
          <w:i/>
          <w:color w:val="000000" w:themeColor="text1"/>
          <w:sz w:val="22"/>
          <w:lang w:val="en-GB"/>
        </w:rPr>
        <w:t>Animal model</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 xml:space="preserve">Male </w:t>
      </w:r>
      <w:r>
        <w:rPr>
          <w:color w:val="000000" w:themeColor="text1"/>
          <w:sz w:val="22"/>
          <w:lang w:val="en-GB"/>
        </w:rPr>
        <w:t xml:space="preserve">8 weeks-old </w:t>
      </w:r>
      <w:r w:rsidRPr="00071592">
        <w:rPr>
          <w:color w:val="000000" w:themeColor="text1"/>
          <w:sz w:val="22"/>
          <w:lang w:val="en-GB"/>
        </w:rPr>
        <w:t>C57Bl/6 mice were randomly assigned to one of the following treatments: saline plus DOX (DOX group; n=14), or EMPA plus DOX (DOX+EMPA group; n=14), or furosemide</w:t>
      </w:r>
      <w:r w:rsidR="0024072C">
        <w:rPr>
          <w:color w:val="000000" w:themeColor="text1"/>
          <w:sz w:val="22"/>
          <w:lang w:val="en-GB"/>
        </w:rPr>
        <w:t xml:space="preserve"> </w:t>
      </w:r>
      <w:r w:rsidR="0024072C" w:rsidRPr="00071592">
        <w:rPr>
          <w:color w:val="000000" w:themeColor="text1"/>
          <w:sz w:val="22"/>
          <w:lang w:val="en-GB"/>
        </w:rPr>
        <w:t>(20 mg/kg daily by oral gavage for 5 weeks)</w:t>
      </w:r>
      <w:r w:rsidRPr="00071592">
        <w:rPr>
          <w:color w:val="000000" w:themeColor="text1"/>
          <w:sz w:val="22"/>
          <w:lang w:val="en-GB"/>
        </w:rPr>
        <w:t xml:space="preserve"> plus DOX (DOX+FURO group; n=</w:t>
      </w:r>
      <w:r>
        <w:rPr>
          <w:color w:val="000000" w:themeColor="text1"/>
          <w:sz w:val="22"/>
          <w:lang w:val="en-GB"/>
        </w:rPr>
        <w:t>7</w:t>
      </w:r>
      <w:r w:rsidRPr="00071592">
        <w:rPr>
          <w:color w:val="000000" w:themeColor="text1"/>
          <w:sz w:val="22"/>
          <w:lang w:val="en-GB"/>
        </w:rPr>
        <w:t xml:space="preserve">). DOX was injected intraperitoneally at weekly doses of 5 mg/kg for five weeks. EMPA (10 mg/kg) was administered daily by oral gavage for 5 weeks. In addition, a further control group of animals </w:t>
      </w:r>
      <w:r w:rsidR="0024072C">
        <w:rPr>
          <w:color w:val="000000" w:themeColor="text1"/>
          <w:sz w:val="22"/>
          <w:lang w:val="en-GB"/>
        </w:rPr>
        <w:t>(n=7) received no treatment at all</w:t>
      </w:r>
      <w:r w:rsidRPr="00071592">
        <w:rPr>
          <w:color w:val="000000" w:themeColor="text1"/>
          <w:sz w:val="22"/>
          <w:lang w:val="en-GB"/>
        </w:rPr>
        <w:t xml:space="preserve"> (</w:t>
      </w:r>
      <w:r w:rsidR="00E77734" w:rsidRPr="00E77734">
        <w:rPr>
          <w:color w:val="000000" w:themeColor="text1"/>
          <w:sz w:val="22"/>
          <w:lang w:val="en-GB"/>
        </w:rPr>
        <w:t xml:space="preserve">Supplementary </w:t>
      </w:r>
      <w:r w:rsidRPr="00E77734">
        <w:rPr>
          <w:color w:val="000000" w:themeColor="text1"/>
          <w:sz w:val="22"/>
          <w:lang w:val="en-GB"/>
        </w:rPr>
        <w:t xml:space="preserve">Figure 1). </w:t>
      </w:r>
      <w:r w:rsidR="00922973" w:rsidRPr="00E77734">
        <w:rPr>
          <w:color w:val="000000" w:themeColor="text1"/>
          <w:sz w:val="22"/>
          <w:lang w:val="en-GB"/>
        </w:rPr>
        <w:t xml:space="preserve">Our </w:t>
      </w:r>
      <w:r w:rsidR="00922973" w:rsidRPr="00E77734">
        <w:rPr>
          <w:color w:val="000000" w:themeColor="text1"/>
          <w:sz w:val="22"/>
          <w:szCs w:val="22"/>
          <w:lang w:val="en-GB"/>
        </w:rPr>
        <w:t>a</w:t>
      </w:r>
      <w:r w:rsidR="00922973" w:rsidRPr="00922973">
        <w:rPr>
          <w:color w:val="000000" w:themeColor="text1"/>
          <w:sz w:val="22"/>
          <w:szCs w:val="22"/>
          <w:lang w:val="en-GB"/>
        </w:rPr>
        <w:t xml:space="preserve">nimal protocol was designed to minimize pain and discomfort, in compliance with requests by the local </w:t>
      </w:r>
      <w:r w:rsidR="00922973" w:rsidRPr="00922973">
        <w:rPr>
          <w:color w:val="222222"/>
          <w:sz w:val="22"/>
          <w:szCs w:val="22"/>
          <w:shd w:val="clear" w:color="auto" w:fill="FFFFFF"/>
        </w:rPr>
        <w:t>Animal Wellness and Welfare Committee (O.P.B.A.)</w:t>
      </w:r>
      <w:r w:rsidR="00922973" w:rsidRPr="00922973">
        <w:rPr>
          <w:color w:val="000000" w:themeColor="text1"/>
          <w:sz w:val="22"/>
          <w:szCs w:val="22"/>
          <w:lang w:val="en-GB"/>
        </w:rPr>
        <w:t>.</w:t>
      </w:r>
    </w:p>
    <w:p w:rsidR="00D40D9E" w:rsidRDefault="00D40D9E" w:rsidP="00D40D9E">
      <w:pPr>
        <w:pStyle w:val="p1"/>
        <w:spacing w:line="480" w:lineRule="auto"/>
        <w:jc w:val="both"/>
        <w:rPr>
          <w:color w:val="000000" w:themeColor="text1"/>
          <w:sz w:val="22"/>
          <w:lang w:val="en-GB"/>
        </w:rPr>
      </w:pPr>
      <w:r w:rsidRPr="00071592">
        <w:rPr>
          <w:color w:val="000000" w:themeColor="text1"/>
          <w:sz w:val="22"/>
          <w:lang w:val="en-GB"/>
        </w:rPr>
        <w:t>All mice were monitored for body weight and heart function under basal conditions and 6 weeks later. They were housed in standard plexiglas</w:t>
      </w:r>
      <w:r w:rsidR="00E77734">
        <w:rPr>
          <w:color w:val="000000" w:themeColor="text1"/>
          <w:sz w:val="22"/>
          <w:lang w:val="en-GB"/>
        </w:rPr>
        <w:t>s</w:t>
      </w:r>
      <w:r w:rsidRPr="00071592">
        <w:rPr>
          <w:color w:val="000000" w:themeColor="text1"/>
          <w:sz w:val="22"/>
          <w:lang w:val="en-GB"/>
        </w:rPr>
        <w:t xml:space="preserve"> cages and maintained on a 12 h light/12 h dark cycle in a temperature</w:t>
      </w:r>
      <w:r>
        <w:rPr>
          <w:color w:val="000000" w:themeColor="text1"/>
          <w:sz w:val="22"/>
          <w:lang w:val="en-GB"/>
        </w:rPr>
        <w:t>-</w:t>
      </w:r>
      <w:r w:rsidRPr="00071592">
        <w:rPr>
          <w:color w:val="000000" w:themeColor="text1"/>
          <w:sz w:val="22"/>
          <w:lang w:val="en-GB"/>
        </w:rPr>
        <w:t xml:space="preserve">controlled room (22±2˚C), with </w:t>
      </w:r>
      <w:r>
        <w:rPr>
          <w:color w:val="000000" w:themeColor="text1"/>
          <w:sz w:val="22"/>
          <w:lang w:val="en-GB"/>
        </w:rPr>
        <w:t xml:space="preserve">access to </w:t>
      </w:r>
      <w:r w:rsidRPr="00071592">
        <w:rPr>
          <w:color w:val="000000" w:themeColor="text1"/>
          <w:sz w:val="22"/>
          <w:lang w:val="en-GB"/>
        </w:rPr>
        <w:t>food and water ad libitum. At the end of the experiment</w:t>
      </w:r>
      <w:r w:rsidR="00B00288">
        <w:rPr>
          <w:color w:val="000000" w:themeColor="text1"/>
          <w:sz w:val="22"/>
          <w:lang w:val="en-GB"/>
        </w:rPr>
        <w:t>,</w:t>
      </w:r>
      <w:r w:rsidRPr="00071592">
        <w:rPr>
          <w:color w:val="000000" w:themeColor="text1"/>
          <w:sz w:val="22"/>
          <w:lang w:val="en-GB"/>
        </w:rPr>
        <w:t xml:space="preserve"> animals were euthanized, and hearts processed for histological evaluations. All animal experiments were performed according to European Directive 63/2010/UE and Italian Law (DL 26/2014, authorized by the Minister of Health, Italy).</w:t>
      </w:r>
    </w:p>
    <w:p w:rsidR="00723D4B" w:rsidRPr="002656C9" w:rsidRDefault="00723D4B" w:rsidP="00723D4B">
      <w:pPr>
        <w:pStyle w:val="p1"/>
        <w:spacing w:line="480" w:lineRule="auto"/>
        <w:jc w:val="both"/>
        <w:rPr>
          <w:color w:val="000000" w:themeColor="text1"/>
          <w:sz w:val="22"/>
          <w:szCs w:val="22"/>
          <w:lang w:val="en-GB"/>
        </w:rPr>
      </w:pPr>
      <w:r w:rsidRPr="004F00D1">
        <w:rPr>
          <w:color w:val="000000" w:themeColor="text1"/>
          <w:sz w:val="22"/>
          <w:szCs w:val="22"/>
          <w:lang w:val="en-GB"/>
        </w:rPr>
        <w:t>Chronic myocardial injury was obtained using a</w:t>
      </w:r>
      <w:r w:rsidRPr="002656C9">
        <w:rPr>
          <w:color w:val="222222"/>
          <w:sz w:val="22"/>
          <w:szCs w:val="22"/>
          <w:shd w:val="clear" w:color="auto" w:fill="FFFFFF"/>
        </w:rPr>
        <w:t xml:space="preserve"> standardized model of DOX</w:t>
      </w:r>
      <w:r w:rsidRPr="002656C9">
        <w:rPr>
          <w:sz w:val="22"/>
          <w:szCs w:val="22"/>
        </w:rPr>
        <w:t>-</w:t>
      </w:r>
      <w:r w:rsidRPr="002656C9">
        <w:rPr>
          <w:color w:val="222222"/>
          <w:sz w:val="22"/>
          <w:szCs w:val="22"/>
          <w:shd w:val="clear" w:color="auto" w:fill="FFFFFF"/>
        </w:rPr>
        <w:t>induced toxicity, already described in previous studies (</w:t>
      </w:r>
      <w:r w:rsidR="00B04546">
        <w:rPr>
          <w:color w:val="222222"/>
          <w:sz w:val="22"/>
          <w:szCs w:val="22"/>
          <w:shd w:val="clear" w:color="auto" w:fill="FFFFFF"/>
        </w:rPr>
        <w:t>15</w:t>
      </w:r>
      <w:r w:rsidRPr="002656C9">
        <w:rPr>
          <w:color w:val="222222"/>
          <w:sz w:val="22"/>
          <w:szCs w:val="22"/>
          <w:shd w:val="clear" w:color="auto" w:fill="FFFFFF"/>
        </w:rPr>
        <w:t>)</w:t>
      </w:r>
      <w:r>
        <w:rPr>
          <w:color w:val="222222"/>
          <w:sz w:val="22"/>
          <w:szCs w:val="22"/>
          <w:shd w:val="clear" w:color="auto" w:fill="FFFFFF"/>
        </w:rPr>
        <w:t>.</w:t>
      </w:r>
      <w:r w:rsidR="00CD70E4">
        <w:rPr>
          <w:color w:val="222222"/>
          <w:sz w:val="22"/>
          <w:szCs w:val="22"/>
          <w:shd w:val="clear" w:color="auto" w:fill="FFFFFF"/>
        </w:rPr>
        <w:t xml:space="preserve"> </w:t>
      </w:r>
      <w:r w:rsidR="00CD70E4" w:rsidRPr="002656C9">
        <w:rPr>
          <w:color w:val="222222"/>
          <w:sz w:val="22"/>
          <w:szCs w:val="22"/>
          <w:shd w:val="clear" w:color="auto" w:fill="FFFFFF"/>
        </w:rPr>
        <w:t>According to the protocol, mice were administered with weekly injections of Dox (5 mg/kg) for 5 weeks</w:t>
      </w:r>
      <w:r w:rsidR="00CD7EB7">
        <w:rPr>
          <w:color w:val="222222"/>
          <w:sz w:val="22"/>
          <w:szCs w:val="22"/>
          <w:shd w:val="clear" w:color="auto" w:fill="FFFFFF"/>
        </w:rPr>
        <w:t xml:space="preserve"> (Supplementary Figure 1)</w:t>
      </w:r>
      <w:r w:rsidR="00CD70E4" w:rsidRPr="002656C9">
        <w:rPr>
          <w:color w:val="222222"/>
          <w:sz w:val="22"/>
          <w:szCs w:val="22"/>
          <w:shd w:val="clear" w:color="auto" w:fill="FFFFFF"/>
        </w:rPr>
        <w:t>.</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sidRPr="00F44CED">
        <w:rPr>
          <w:b/>
          <w:i/>
          <w:color w:val="000000" w:themeColor="text1"/>
          <w:sz w:val="22"/>
          <w:lang w:val="en-GB"/>
        </w:rPr>
        <w:t>Urine volume and glycosuria measurements by metabolic cages</w:t>
      </w:r>
      <w:r w:rsidRPr="00561768">
        <w:rPr>
          <w:b/>
          <w:i/>
          <w:color w:val="000000" w:themeColor="text1"/>
          <w:sz w:val="22"/>
          <w:lang w:val="en-GB"/>
        </w:rPr>
        <w:t>.</w:t>
      </w:r>
      <w:r w:rsidRPr="00561768">
        <w:rPr>
          <w:color w:val="000000" w:themeColor="text1"/>
          <w:sz w:val="22"/>
          <w:lang w:val="en-GB"/>
        </w:rPr>
        <w:t xml:space="preserve"> For evaluating urine volume and glycosuria, additional 10 conscious mice were individually placed in metabolic cages in a soundproof room at 25 degrees temperature with a 12/12 hr light</w:t>
      </w:r>
      <w:r w:rsidRPr="00BE1802">
        <w:rPr>
          <w:color w:val="000000" w:themeColor="text1"/>
          <w:sz w:val="22"/>
          <w:lang w:val="en-GB"/>
        </w:rPr>
        <w:t xml:space="preserve">-dark cycle. </w:t>
      </w:r>
      <w:r>
        <w:rPr>
          <w:color w:val="000000" w:themeColor="text1"/>
          <w:sz w:val="22"/>
          <w:lang w:val="en-GB"/>
        </w:rPr>
        <w:t xml:space="preserve">They were randomized in two groups: one group was treated with </w:t>
      </w:r>
      <w:r w:rsidRPr="00667474">
        <w:rPr>
          <w:color w:val="000000" w:themeColor="text1"/>
          <w:sz w:val="22"/>
          <w:lang w:val="en-GB"/>
        </w:rPr>
        <w:t>empagliflozin (n=6), and</w:t>
      </w:r>
      <w:r>
        <w:rPr>
          <w:color w:val="000000" w:themeColor="text1"/>
          <w:sz w:val="22"/>
          <w:lang w:val="en-GB"/>
        </w:rPr>
        <w:t xml:space="preserve"> the other with </w:t>
      </w:r>
      <w:r w:rsidRPr="00667474">
        <w:rPr>
          <w:color w:val="000000" w:themeColor="text1"/>
          <w:sz w:val="22"/>
          <w:lang w:val="en-GB"/>
        </w:rPr>
        <w:t>placebo (n=4).</w:t>
      </w:r>
      <w:r>
        <w:rPr>
          <w:color w:val="000000" w:themeColor="text1"/>
          <w:sz w:val="22"/>
          <w:lang w:val="en-GB"/>
        </w:rPr>
        <w:t xml:space="preserve"> </w:t>
      </w:r>
      <w:r w:rsidRPr="00BE1802">
        <w:rPr>
          <w:color w:val="000000" w:themeColor="text1"/>
          <w:sz w:val="22"/>
          <w:lang w:val="en-GB"/>
        </w:rPr>
        <w:t>Each mouse was provided with free access to food and water. After mice were acclimatized for 3 days in the cages,</w:t>
      </w:r>
      <w:r>
        <w:rPr>
          <w:color w:val="000000" w:themeColor="text1"/>
          <w:sz w:val="22"/>
          <w:lang w:val="en-GB"/>
        </w:rPr>
        <w:t xml:space="preserve"> the s</w:t>
      </w:r>
      <w:r w:rsidRPr="00BE1802">
        <w:rPr>
          <w:color w:val="000000" w:themeColor="text1"/>
          <w:sz w:val="22"/>
          <w:lang w:val="en-GB"/>
        </w:rPr>
        <w:t xml:space="preserve">ubsequent 48 hr data of voided urine and water intake </w:t>
      </w:r>
      <w:r w:rsidRPr="00BE1802">
        <w:rPr>
          <w:color w:val="000000" w:themeColor="text1"/>
          <w:sz w:val="22"/>
          <w:lang w:val="en-GB"/>
        </w:rPr>
        <w:lastRenderedPageBreak/>
        <w:t xml:space="preserve">were continuously recorded into a computer and analysed. Evaluated parameters </w:t>
      </w:r>
      <w:r w:rsidR="00922973">
        <w:rPr>
          <w:color w:val="000000" w:themeColor="text1"/>
          <w:sz w:val="22"/>
          <w:lang w:val="en-GB"/>
        </w:rPr>
        <w:t xml:space="preserve">included </w:t>
      </w:r>
      <w:r w:rsidRPr="00BE1802">
        <w:rPr>
          <w:color w:val="000000" w:themeColor="text1"/>
          <w:sz w:val="22"/>
          <w:lang w:val="en-GB"/>
        </w:rPr>
        <w:t>water</w:t>
      </w:r>
      <w:r w:rsidR="007C2708">
        <w:rPr>
          <w:color w:val="000000" w:themeColor="text1"/>
          <w:sz w:val="22"/>
          <w:lang w:val="en-GB"/>
        </w:rPr>
        <w:t xml:space="preserve"> </w:t>
      </w:r>
      <w:r w:rsidRPr="00BE1802">
        <w:rPr>
          <w:color w:val="000000" w:themeColor="text1"/>
          <w:sz w:val="22"/>
          <w:lang w:val="en-GB"/>
        </w:rPr>
        <w:t>intake (</w:t>
      </w:r>
      <w:proofErr w:type="spellStart"/>
      <w:r w:rsidRPr="00BE1802">
        <w:rPr>
          <w:color w:val="000000" w:themeColor="text1"/>
          <w:sz w:val="22"/>
          <w:lang w:val="en-GB"/>
        </w:rPr>
        <w:t>μl</w:t>
      </w:r>
      <w:proofErr w:type="spellEnd"/>
      <w:r w:rsidRPr="00BE1802">
        <w:rPr>
          <w:color w:val="000000" w:themeColor="text1"/>
          <w:sz w:val="22"/>
          <w:lang w:val="en-GB"/>
        </w:rPr>
        <w:t>/day), urine volume (</w:t>
      </w:r>
      <w:proofErr w:type="spellStart"/>
      <w:r w:rsidRPr="00BE1802">
        <w:rPr>
          <w:color w:val="000000" w:themeColor="text1"/>
          <w:sz w:val="22"/>
          <w:lang w:val="en-GB"/>
        </w:rPr>
        <w:t>μl</w:t>
      </w:r>
      <w:proofErr w:type="spellEnd"/>
      <w:r w:rsidRPr="00BE1802">
        <w:rPr>
          <w:color w:val="000000" w:themeColor="text1"/>
          <w:sz w:val="22"/>
          <w:lang w:val="en-GB"/>
        </w:rPr>
        <w:t xml:space="preserve">/day), </w:t>
      </w:r>
      <w:r>
        <w:rPr>
          <w:color w:val="000000" w:themeColor="text1"/>
          <w:sz w:val="22"/>
          <w:lang w:val="en-GB"/>
        </w:rPr>
        <w:t xml:space="preserve">and </w:t>
      </w:r>
      <w:r w:rsidRPr="00D50919">
        <w:rPr>
          <w:color w:val="000000" w:themeColor="text1"/>
          <w:sz w:val="22"/>
          <w:lang w:val="en-GB"/>
        </w:rPr>
        <w:t xml:space="preserve">glycosuria </w:t>
      </w:r>
      <w:r w:rsidRPr="00F44CED">
        <w:rPr>
          <w:color w:val="000000" w:themeColor="text1"/>
          <w:sz w:val="22"/>
          <w:lang w:val="en-GB"/>
        </w:rPr>
        <w:t>(</w:t>
      </w:r>
      <w:proofErr w:type="spellStart"/>
      <w:r w:rsidRPr="00D50919">
        <w:rPr>
          <w:color w:val="000000" w:themeColor="text1"/>
          <w:sz w:val="22"/>
          <w:lang w:val="en-GB"/>
        </w:rPr>
        <w:t>μg</w:t>
      </w:r>
      <w:proofErr w:type="spellEnd"/>
      <w:r>
        <w:rPr>
          <w:color w:val="000000" w:themeColor="text1"/>
          <w:sz w:val="22"/>
          <w:lang w:val="en-GB"/>
        </w:rPr>
        <w:t>/</w:t>
      </w:r>
      <w:r w:rsidRPr="00D50919">
        <w:rPr>
          <w:color w:val="000000" w:themeColor="text1"/>
          <w:sz w:val="22"/>
          <w:lang w:val="en-GB"/>
        </w:rPr>
        <w:t>day</w:t>
      </w:r>
      <w:r w:rsidRPr="00F44CED">
        <w:rPr>
          <w:color w:val="000000" w:themeColor="text1"/>
          <w:sz w:val="22"/>
          <w:lang w:val="en-GB"/>
        </w:rPr>
        <w:t>)</w:t>
      </w:r>
      <w:r w:rsidRPr="00D50919">
        <w:rPr>
          <w:color w:val="000000" w:themeColor="text1"/>
          <w:sz w:val="22"/>
          <w:lang w:val="en-GB"/>
        </w:rPr>
        <w:t>.</w:t>
      </w:r>
    </w:p>
    <w:p w:rsidR="007C2708" w:rsidRDefault="007C2708" w:rsidP="00D40D9E">
      <w:pPr>
        <w:pStyle w:val="p1"/>
        <w:spacing w:line="480" w:lineRule="auto"/>
        <w:jc w:val="both"/>
        <w:rPr>
          <w:b/>
          <w:i/>
          <w:color w:val="000000" w:themeColor="text1"/>
          <w:sz w:val="22"/>
          <w:lang w:val="en-GB"/>
        </w:rPr>
      </w:pPr>
    </w:p>
    <w:p w:rsidR="00D40D9E" w:rsidRPr="001339F3" w:rsidRDefault="00D40D9E" w:rsidP="00D40D9E">
      <w:pPr>
        <w:pStyle w:val="p1"/>
        <w:spacing w:line="480" w:lineRule="auto"/>
        <w:jc w:val="both"/>
        <w:rPr>
          <w:color w:val="000000" w:themeColor="text1"/>
          <w:sz w:val="22"/>
          <w:lang w:val="en-GB"/>
        </w:rPr>
      </w:pPr>
      <w:r w:rsidRPr="003339DA">
        <w:rPr>
          <w:b/>
          <w:i/>
          <w:color w:val="000000" w:themeColor="text1"/>
          <w:sz w:val="22"/>
          <w:lang w:val="en-GB"/>
        </w:rPr>
        <w:t>Standard echocardiographic analyses</w:t>
      </w:r>
      <w:r>
        <w:rPr>
          <w:b/>
          <w:i/>
          <w:color w:val="000000" w:themeColor="text1"/>
          <w:sz w:val="22"/>
          <w:lang w:val="en-GB"/>
        </w:rPr>
        <w:t>.</w:t>
      </w:r>
      <w:r>
        <w:rPr>
          <w:i/>
          <w:color w:val="000000" w:themeColor="text1"/>
          <w:sz w:val="22"/>
          <w:lang w:val="en-GB"/>
        </w:rPr>
        <w:t xml:space="preserve"> </w:t>
      </w:r>
      <w:r w:rsidRPr="00071592">
        <w:rPr>
          <w:i/>
          <w:color w:val="000000" w:themeColor="text1"/>
          <w:sz w:val="22"/>
          <w:lang w:val="en-GB"/>
        </w:rPr>
        <w:t>In vivo,</w:t>
      </w:r>
      <w:r w:rsidRPr="00071592">
        <w:rPr>
          <w:color w:val="000000" w:themeColor="text1"/>
          <w:sz w:val="22"/>
          <w:lang w:val="en-GB"/>
        </w:rPr>
        <w:t xml:space="preserve"> cardiac function was assessed by transthoracic </w:t>
      </w:r>
      <w:r w:rsidRPr="001339F3">
        <w:rPr>
          <w:color w:val="000000" w:themeColor="text1"/>
          <w:sz w:val="22"/>
          <w:szCs w:val="22"/>
          <w:lang w:val="en-GB"/>
        </w:rPr>
        <w:t>echocardiography in sedated mice by using a Vevo 2100 (</w:t>
      </w:r>
      <w:proofErr w:type="spellStart"/>
      <w:r w:rsidRPr="001339F3">
        <w:rPr>
          <w:color w:val="000000" w:themeColor="text1"/>
          <w:sz w:val="22"/>
          <w:szCs w:val="22"/>
          <w:lang w:val="en-GB"/>
        </w:rPr>
        <w:t>Visualsonics</w:t>
      </w:r>
      <w:proofErr w:type="spellEnd"/>
      <w:r w:rsidRPr="001339F3">
        <w:rPr>
          <w:color w:val="000000" w:themeColor="text1"/>
          <w:sz w:val="22"/>
          <w:szCs w:val="22"/>
          <w:lang w:val="en-GB"/>
        </w:rPr>
        <w:t xml:space="preserve">, Toronto, Canada) high-resolution imaging system, with 22-55 </w:t>
      </w:r>
      <w:proofErr w:type="spellStart"/>
      <w:r w:rsidRPr="001339F3">
        <w:rPr>
          <w:color w:val="000000" w:themeColor="text1"/>
          <w:sz w:val="22"/>
          <w:szCs w:val="22"/>
          <w:lang w:val="en-GB"/>
        </w:rPr>
        <w:t>hMHz</w:t>
      </w:r>
      <w:proofErr w:type="spellEnd"/>
      <w:r w:rsidRPr="001339F3">
        <w:rPr>
          <w:color w:val="000000" w:themeColor="text1"/>
          <w:sz w:val="22"/>
          <w:szCs w:val="22"/>
          <w:lang w:val="en-GB"/>
        </w:rPr>
        <w:t xml:space="preserve"> transducer (9). Mice were sedated and placed in supine position on a temperature-controlled surgical table to maintain rectal temperature at 37°C. </w:t>
      </w:r>
      <w:r w:rsidR="001339F3" w:rsidRPr="001339F3">
        <w:rPr>
          <w:color w:val="000000" w:themeColor="text1"/>
          <w:sz w:val="22"/>
          <w:szCs w:val="22"/>
          <w:shd w:val="clear" w:color="auto" w:fill="FFFFFF"/>
        </w:rPr>
        <w:t>A light anesthesia protocol (1% isoflurane) was adopted to minimize anesthesia-induced depression of LV function, as previously described by others (</w:t>
      </w:r>
      <w:r w:rsidR="00B04546">
        <w:rPr>
          <w:color w:val="000000" w:themeColor="text1"/>
          <w:sz w:val="22"/>
          <w:szCs w:val="22"/>
          <w:shd w:val="clear" w:color="auto" w:fill="FFFFFF"/>
        </w:rPr>
        <w:t>16-17</w:t>
      </w:r>
      <w:r w:rsidR="001339F3" w:rsidRPr="001339F3">
        <w:rPr>
          <w:color w:val="000000" w:themeColor="text1"/>
          <w:sz w:val="22"/>
          <w:szCs w:val="22"/>
          <w:shd w:val="clear" w:color="auto" w:fill="FFFFFF"/>
        </w:rPr>
        <w:t xml:space="preserve">). </w:t>
      </w:r>
      <w:r w:rsidRPr="001339F3">
        <w:rPr>
          <w:color w:val="000000" w:themeColor="text1"/>
          <w:sz w:val="22"/>
          <w:szCs w:val="22"/>
          <w:lang w:val="en-GB"/>
        </w:rPr>
        <w:t>Continuous electrocardiographic monitoring w</w:t>
      </w:r>
      <w:r w:rsidR="007C2708">
        <w:rPr>
          <w:color w:val="000000" w:themeColor="text1"/>
          <w:sz w:val="22"/>
          <w:szCs w:val="22"/>
          <w:lang w:val="en-GB"/>
        </w:rPr>
        <w:t>as</w:t>
      </w:r>
      <w:r w:rsidRPr="001339F3">
        <w:rPr>
          <w:color w:val="000000" w:themeColor="text1"/>
          <w:sz w:val="22"/>
          <w:szCs w:val="22"/>
          <w:lang w:val="en-GB"/>
        </w:rPr>
        <w:t xml:space="preserve"> obtained via limb electrodes; limbs were kept in position using a small amount of silk plaster.</w:t>
      </w:r>
    </w:p>
    <w:p w:rsidR="001339F3" w:rsidRDefault="00D40D9E" w:rsidP="00D40D9E">
      <w:pPr>
        <w:pStyle w:val="p1"/>
        <w:spacing w:line="480" w:lineRule="auto"/>
        <w:jc w:val="both"/>
        <w:rPr>
          <w:color w:val="000000" w:themeColor="text1"/>
          <w:sz w:val="22"/>
          <w:lang w:val="en-GB"/>
        </w:rPr>
      </w:pPr>
      <w:r w:rsidRPr="001339F3">
        <w:rPr>
          <w:color w:val="000000" w:themeColor="text1"/>
          <w:sz w:val="22"/>
          <w:lang w:val="en-GB"/>
        </w:rPr>
        <w:t xml:space="preserve">Cardiac function was evaluated by </w:t>
      </w:r>
      <w:r w:rsidRPr="001339F3">
        <w:rPr>
          <w:color w:val="000000" w:themeColor="text1"/>
          <w:sz w:val="22"/>
          <w:szCs w:val="22"/>
          <w:lang w:val="en-GB"/>
        </w:rPr>
        <w:t>echocardiography under basal conditions and at the end of the protocol 6 weeks later. LV echocardiography was assessed in both parasternal long-axis and short-axis views at a frame rate of 233 Hz.</w:t>
      </w:r>
      <w:r w:rsidR="001339F3" w:rsidRPr="001339F3">
        <w:rPr>
          <w:color w:val="000000" w:themeColor="text1"/>
          <w:sz w:val="22"/>
          <w:szCs w:val="22"/>
          <w:lang w:val="en-GB"/>
        </w:rPr>
        <w:t xml:space="preserve"> </w:t>
      </w:r>
      <w:r w:rsidR="001339F3" w:rsidRPr="001339F3">
        <w:rPr>
          <w:color w:val="222222"/>
          <w:sz w:val="22"/>
          <w:szCs w:val="22"/>
          <w:shd w:val="clear" w:color="auto" w:fill="FFFFFF"/>
        </w:rPr>
        <w:t xml:space="preserve">: </w:t>
      </w:r>
      <w:proofErr w:type="spellStart"/>
      <w:r w:rsidR="001339F3" w:rsidRPr="001339F3">
        <w:rPr>
          <w:color w:val="222222"/>
          <w:sz w:val="22"/>
          <w:szCs w:val="22"/>
          <w:shd w:val="clear" w:color="auto" w:fill="FFFFFF"/>
        </w:rPr>
        <w:t>LVIDd</w:t>
      </w:r>
      <w:proofErr w:type="spellEnd"/>
      <w:r w:rsidR="001339F3" w:rsidRPr="001339F3">
        <w:rPr>
          <w:color w:val="222222"/>
          <w:sz w:val="22"/>
          <w:szCs w:val="22"/>
          <w:shd w:val="clear" w:color="auto" w:fill="FFFFFF"/>
        </w:rPr>
        <w:t xml:space="preserve"> and LVIDs, and then FS and EF, were measured from the LV M-mode at the mid papillary muscle level order to standardize measurement protocol and to ensure the measurements are taken at the same LV level. This approach is widespread as it has been reported to maximize reproducibility, allowing to measure septum at the same site in all exams (</w:t>
      </w:r>
      <w:r w:rsidR="00B04546">
        <w:rPr>
          <w:color w:val="222222"/>
          <w:sz w:val="22"/>
          <w:szCs w:val="22"/>
          <w:shd w:val="clear" w:color="auto" w:fill="FFFFFF"/>
        </w:rPr>
        <w:t>17</w:t>
      </w:r>
      <w:r w:rsidR="001339F3" w:rsidRPr="001339F3">
        <w:rPr>
          <w:rFonts w:eastAsia="Times New Roman"/>
          <w:sz w:val="22"/>
          <w:szCs w:val="22"/>
        </w:rPr>
        <w:t>)</w:t>
      </w:r>
      <w:r w:rsidR="001339F3" w:rsidRPr="001339F3">
        <w:rPr>
          <w:color w:val="222222"/>
          <w:sz w:val="22"/>
          <w:szCs w:val="22"/>
          <w:shd w:val="clear" w:color="auto" w:fill="FFFFFF"/>
        </w:rPr>
        <w:t xml:space="preserve">. </w:t>
      </w:r>
      <w:r w:rsidRPr="001339F3">
        <w:rPr>
          <w:color w:val="000000" w:themeColor="text1"/>
          <w:sz w:val="22"/>
          <w:szCs w:val="22"/>
          <w:lang w:val="en-GB"/>
        </w:rPr>
        <w:t>Measurements of diastolic LV internal dimensions (</w:t>
      </w:r>
      <w:proofErr w:type="spellStart"/>
      <w:r w:rsidRPr="001339F3">
        <w:rPr>
          <w:color w:val="000000" w:themeColor="text1"/>
          <w:sz w:val="22"/>
          <w:szCs w:val="22"/>
          <w:lang w:val="en-GB"/>
        </w:rPr>
        <w:t>LVIDd</w:t>
      </w:r>
      <w:proofErr w:type="spellEnd"/>
      <w:r w:rsidRPr="001339F3">
        <w:rPr>
          <w:color w:val="000000" w:themeColor="text1"/>
          <w:sz w:val="22"/>
          <w:szCs w:val="22"/>
          <w:lang w:val="en-GB"/>
        </w:rPr>
        <w:t xml:space="preserve">) and systolic LV internal dimensions (LVIDs) were averaged from three to five beats. </w:t>
      </w:r>
      <w:proofErr w:type="spellStart"/>
      <w:r w:rsidRPr="001339F3">
        <w:rPr>
          <w:color w:val="000000" w:themeColor="text1"/>
          <w:sz w:val="22"/>
          <w:szCs w:val="22"/>
          <w:lang w:val="en-GB"/>
        </w:rPr>
        <w:t>LVIDd</w:t>
      </w:r>
      <w:proofErr w:type="spellEnd"/>
      <w:r w:rsidRPr="001339F3">
        <w:rPr>
          <w:color w:val="000000" w:themeColor="text1"/>
          <w:sz w:val="22"/>
          <w:szCs w:val="22"/>
          <w:lang w:val="en-GB"/>
        </w:rPr>
        <w:t xml:space="preserve"> and </w:t>
      </w:r>
      <w:proofErr w:type="spellStart"/>
      <w:r w:rsidRPr="001339F3">
        <w:rPr>
          <w:color w:val="000000" w:themeColor="text1"/>
          <w:sz w:val="22"/>
          <w:szCs w:val="22"/>
          <w:lang w:val="en-GB"/>
        </w:rPr>
        <w:t>LVIDs</w:t>
      </w:r>
      <w:proofErr w:type="spellEnd"/>
      <w:r w:rsidRPr="001339F3">
        <w:rPr>
          <w:color w:val="000000" w:themeColor="text1"/>
          <w:sz w:val="22"/>
          <w:szCs w:val="22"/>
          <w:lang w:val="en-GB"/>
        </w:rPr>
        <w:t xml:space="preserve"> were measured from the LV M-mode at the mid papillary muscle</w:t>
      </w:r>
      <w:r w:rsidRPr="00071592">
        <w:rPr>
          <w:color w:val="000000" w:themeColor="text1"/>
          <w:sz w:val="22"/>
          <w:lang w:val="en-GB"/>
        </w:rPr>
        <w:t xml:space="preserve"> level. </w:t>
      </w:r>
    </w:p>
    <w:p w:rsidR="00D40D9E" w:rsidRPr="00071592" w:rsidRDefault="00D40D9E" w:rsidP="00D40D9E">
      <w:pPr>
        <w:pStyle w:val="p1"/>
        <w:spacing w:line="480" w:lineRule="auto"/>
        <w:jc w:val="both"/>
        <w:rPr>
          <w:color w:val="000000" w:themeColor="text1"/>
          <w:sz w:val="22"/>
          <w:lang w:val="en-GB"/>
        </w:rPr>
      </w:pPr>
      <w:r w:rsidRPr="00071592">
        <w:rPr>
          <w:color w:val="000000" w:themeColor="text1"/>
          <w:sz w:val="22"/>
          <w:lang w:val="en-GB"/>
        </w:rPr>
        <w:t>Fractional shortening (FS) percentage was calculated as [(</w:t>
      </w:r>
      <w:proofErr w:type="spellStart"/>
      <w:r w:rsidRPr="00071592">
        <w:rPr>
          <w:color w:val="000000" w:themeColor="text1"/>
          <w:sz w:val="22"/>
          <w:lang w:val="en-GB"/>
        </w:rPr>
        <w:t>LVIDd−LVIDs</w:t>
      </w:r>
      <w:proofErr w:type="spellEnd"/>
      <w:r w:rsidRPr="00071592">
        <w:rPr>
          <w:color w:val="000000" w:themeColor="text1"/>
          <w:sz w:val="22"/>
          <w:lang w:val="en-GB"/>
        </w:rPr>
        <w:t>)/</w:t>
      </w:r>
      <w:proofErr w:type="spellStart"/>
      <w:r w:rsidRPr="00071592">
        <w:rPr>
          <w:color w:val="000000" w:themeColor="text1"/>
          <w:sz w:val="22"/>
          <w:lang w:val="en-GB"/>
        </w:rPr>
        <w:t>LVIDd</w:t>
      </w:r>
      <w:proofErr w:type="spellEnd"/>
      <w:proofErr w:type="gramStart"/>
      <w:r w:rsidRPr="00071592">
        <w:rPr>
          <w:color w:val="000000" w:themeColor="text1"/>
          <w:sz w:val="22"/>
          <w:lang w:val="en-GB"/>
        </w:rPr>
        <w:t>]×</w:t>
      </w:r>
      <w:proofErr w:type="gramEnd"/>
      <w:r w:rsidRPr="00071592">
        <w:rPr>
          <w:color w:val="000000" w:themeColor="text1"/>
          <w:sz w:val="22"/>
          <w:lang w:val="en-GB"/>
        </w:rPr>
        <w:t>100, and ejection fraction (EF) percentage was calculated as [(</w:t>
      </w:r>
      <w:proofErr w:type="spellStart"/>
      <w:r w:rsidRPr="00071592">
        <w:rPr>
          <w:color w:val="000000" w:themeColor="text1"/>
          <w:sz w:val="22"/>
          <w:lang w:val="en-GB"/>
        </w:rPr>
        <w:t>EDvol−ESvol</w:t>
      </w:r>
      <w:proofErr w:type="spellEnd"/>
      <w:r w:rsidRPr="00071592">
        <w:rPr>
          <w:color w:val="000000" w:themeColor="text1"/>
          <w:sz w:val="22"/>
          <w:lang w:val="en-GB"/>
        </w:rPr>
        <w:t>)/</w:t>
      </w:r>
      <w:proofErr w:type="spellStart"/>
      <w:r w:rsidRPr="00071592">
        <w:rPr>
          <w:color w:val="000000" w:themeColor="text1"/>
          <w:sz w:val="22"/>
          <w:lang w:val="en-GB"/>
        </w:rPr>
        <w:t>EDvol</w:t>
      </w:r>
      <w:proofErr w:type="spellEnd"/>
      <w:r w:rsidRPr="00071592">
        <w:rPr>
          <w:color w:val="000000" w:themeColor="text1"/>
          <w:sz w:val="22"/>
          <w:lang w:val="en-GB"/>
        </w:rPr>
        <w:t>]×100.</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i/>
          <w:color w:val="000000" w:themeColor="text1"/>
          <w:sz w:val="22"/>
          <w:lang w:val="en-GB"/>
        </w:rPr>
      </w:pPr>
      <w:r w:rsidRPr="003B3A70">
        <w:rPr>
          <w:b/>
          <w:i/>
          <w:color w:val="000000" w:themeColor="text1"/>
          <w:sz w:val="22"/>
          <w:lang w:val="en-GB"/>
        </w:rPr>
        <w:t>Speckle Tracking Analysis</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 xml:space="preserve">Acquired B-mode loops in both parasternal long-axis and short-axis views were imported into </w:t>
      </w:r>
      <w:proofErr w:type="spellStart"/>
      <w:r w:rsidRPr="00071592">
        <w:rPr>
          <w:color w:val="000000" w:themeColor="text1"/>
          <w:sz w:val="22"/>
          <w:lang w:val="en-GB"/>
        </w:rPr>
        <w:t>VevoStrain</w:t>
      </w:r>
      <w:proofErr w:type="spellEnd"/>
      <w:r w:rsidRPr="00071592">
        <w:rPr>
          <w:color w:val="000000" w:themeColor="text1"/>
          <w:sz w:val="22"/>
          <w:lang w:val="en-GB"/>
        </w:rPr>
        <w:t xml:space="preserve"> software (</w:t>
      </w:r>
      <w:proofErr w:type="spellStart"/>
      <w:r w:rsidRPr="00071592">
        <w:rPr>
          <w:color w:val="000000" w:themeColor="text1"/>
          <w:sz w:val="22"/>
          <w:lang w:val="en-GB"/>
        </w:rPr>
        <w:t>VisualSonics</w:t>
      </w:r>
      <w:proofErr w:type="spellEnd"/>
      <w:r w:rsidRPr="00071592">
        <w:rPr>
          <w:color w:val="000000" w:themeColor="text1"/>
          <w:sz w:val="22"/>
          <w:lang w:val="en-GB"/>
        </w:rPr>
        <w:t xml:space="preserve">, Toronto, ON, Canada). Three consecutive cardiac cycles were selected and adequate tracing of the endocardium was performed (9). Strain was evaluated in three axes: radial, circumferential and longitudinal. </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sidRPr="003B3A70">
        <w:rPr>
          <w:b/>
          <w:i/>
          <w:color w:val="000000" w:themeColor="text1"/>
          <w:sz w:val="22"/>
          <w:lang w:val="en-GB"/>
        </w:rPr>
        <w:lastRenderedPageBreak/>
        <w:t>Morphological examination and cardiac fibrosis analysis</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 xml:space="preserve">Hearts from the studied mice were fixed with 10% formalin and embedded in paraffin. Sections were stained with hematoxylin and eosin (H&amp;E) for morphological tissue analysis. Interstitial fibrosis was evaluated by </w:t>
      </w:r>
      <w:r w:rsidR="0059068D">
        <w:rPr>
          <w:color w:val="000000" w:themeColor="text1"/>
          <w:sz w:val="22"/>
          <w:lang w:val="en-GB"/>
        </w:rPr>
        <w:t>means of the Masson’s Trichrome staining</w:t>
      </w:r>
      <w:r w:rsidRPr="00071592">
        <w:rPr>
          <w:color w:val="000000" w:themeColor="text1"/>
          <w:sz w:val="22"/>
          <w:lang w:val="en-GB"/>
        </w:rPr>
        <w:t>. The fibrotic area was measured using a computer-assisted image analysis system (Nikon NIS ELEMENTS BRV, Melville, NY, USA) and expressed as a percentage of total area. The percentage of red staining was calculated from all samples, with two sections for each sample and five images for each section.</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i/>
          <w:color w:val="000000" w:themeColor="text1"/>
          <w:sz w:val="22"/>
          <w:lang w:val="en-GB"/>
        </w:rPr>
      </w:pPr>
      <w:r w:rsidRPr="003339DA">
        <w:rPr>
          <w:b/>
          <w:i/>
          <w:color w:val="000000" w:themeColor="text1"/>
          <w:sz w:val="22"/>
          <w:lang w:val="en-GB"/>
        </w:rPr>
        <w:t>Blood pressure measurements</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Non-invasive blood pressure measurements were performed in the three study groups at baseline and at the end of the treatment, by means of BP-2000 Blood Pressure Analysis System.</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sidRPr="003339DA">
        <w:rPr>
          <w:b/>
          <w:i/>
          <w:color w:val="000000" w:themeColor="text1"/>
          <w:sz w:val="22"/>
          <w:lang w:val="en-GB"/>
        </w:rPr>
        <w:t>Blood samples analysis</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Blood samples were obtained from the retro-orbital vein and analysed using the point-of-care analyzer (</w:t>
      </w:r>
      <w:r w:rsidRPr="00071592">
        <w:rPr>
          <w:sz w:val="22"/>
          <w:lang w:val="en-GB"/>
        </w:rPr>
        <w:t xml:space="preserve">Samsung </w:t>
      </w:r>
      <w:proofErr w:type="spellStart"/>
      <w:r w:rsidRPr="00071592">
        <w:rPr>
          <w:sz w:val="22"/>
          <w:lang w:val="en-GB"/>
        </w:rPr>
        <w:t>LABGEO</w:t>
      </w:r>
      <w:proofErr w:type="spellEnd"/>
      <w:r w:rsidRPr="00071592">
        <w:rPr>
          <w:sz w:val="22"/>
          <w:lang w:val="en-GB"/>
        </w:rPr>
        <w:t xml:space="preserve"> PT10 (Thermo Fischer Scientific, </w:t>
      </w:r>
      <w:proofErr w:type="spellStart"/>
      <w:r w:rsidRPr="00071592">
        <w:rPr>
          <w:sz w:val="22"/>
          <w:lang w:val="en-GB"/>
        </w:rPr>
        <w:t>Henningsdorf</w:t>
      </w:r>
      <w:proofErr w:type="spellEnd"/>
      <w:r w:rsidRPr="00071592">
        <w:rPr>
          <w:sz w:val="22"/>
          <w:lang w:val="en-GB"/>
        </w:rPr>
        <w:t xml:space="preserve">, Germany). Levels of Troponin, BNP and glucose were analysed </w:t>
      </w:r>
      <w:r w:rsidRPr="00071592">
        <w:rPr>
          <w:color w:val="000000" w:themeColor="text1"/>
          <w:sz w:val="22"/>
          <w:lang w:val="en-GB"/>
        </w:rPr>
        <w:t>under basal conditions and 6 weeks later.</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sidRPr="003339DA">
        <w:rPr>
          <w:b/>
          <w:i/>
          <w:color w:val="000000" w:themeColor="text1"/>
          <w:sz w:val="22"/>
          <w:lang w:val="en-GB"/>
        </w:rPr>
        <w:t>RNA Extraction and Quantitative Real-Time Polymerase Chain Reaction</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 xml:space="preserve">After RNA extraction from LV tissue and cDNA synthesis, quantitative real-time PCR was performed with </w:t>
      </w:r>
      <w:proofErr w:type="spellStart"/>
      <w:r w:rsidRPr="00071592">
        <w:rPr>
          <w:color w:val="000000" w:themeColor="text1"/>
          <w:sz w:val="22"/>
          <w:lang w:val="en-GB"/>
        </w:rPr>
        <w:t>SYBR-greenbased</w:t>
      </w:r>
      <w:proofErr w:type="spellEnd"/>
      <w:r w:rsidRPr="00071592">
        <w:rPr>
          <w:color w:val="000000" w:themeColor="text1"/>
          <w:sz w:val="22"/>
          <w:lang w:val="en-GB"/>
        </w:rPr>
        <w:t xml:space="preserve"> detection of double-stranded DNA using mouse specific primers and the ABI-7500 real-time PCR system (Applied Biosystems) (</w:t>
      </w:r>
      <w:r w:rsidR="00A93684">
        <w:rPr>
          <w:color w:val="000000" w:themeColor="text1"/>
          <w:sz w:val="22"/>
          <w:lang w:val="en-GB"/>
        </w:rPr>
        <w:t>20</w:t>
      </w:r>
      <w:r w:rsidRPr="00071592">
        <w:rPr>
          <w:color w:val="000000" w:themeColor="text1"/>
          <w:sz w:val="22"/>
          <w:lang w:val="en-GB"/>
        </w:rPr>
        <w:t>). For each set of primers, a no template control and a no reverse transcription control was included. Post-amplification dissociation curves were performed to verify the presence of a single amplification product in the absence of genomic DNA contamination. Results were expressed as fold change in mRNA expression compared to the control (reference group) using reference genes.</w:t>
      </w:r>
    </w:p>
    <w:p w:rsidR="007C2708" w:rsidRDefault="007C2708" w:rsidP="00D40D9E">
      <w:pPr>
        <w:pStyle w:val="p1"/>
        <w:spacing w:line="480" w:lineRule="auto"/>
        <w:jc w:val="both"/>
        <w:rPr>
          <w:b/>
          <w:i/>
          <w:color w:val="000000" w:themeColor="text1"/>
          <w:sz w:val="22"/>
          <w:lang w:val="en-GB"/>
        </w:rPr>
      </w:pPr>
    </w:p>
    <w:p w:rsidR="00D40D9E" w:rsidRPr="00071592" w:rsidRDefault="00D40D9E" w:rsidP="00D40D9E">
      <w:pPr>
        <w:pStyle w:val="p1"/>
        <w:spacing w:line="480" w:lineRule="auto"/>
        <w:jc w:val="both"/>
        <w:rPr>
          <w:color w:val="000000" w:themeColor="text1"/>
          <w:sz w:val="22"/>
          <w:lang w:val="en-GB"/>
        </w:rPr>
      </w:pPr>
      <w:r w:rsidRPr="003339DA">
        <w:rPr>
          <w:b/>
          <w:i/>
          <w:color w:val="000000" w:themeColor="text1"/>
          <w:sz w:val="22"/>
          <w:lang w:val="en-GB"/>
        </w:rPr>
        <w:t>Protein Extraction and Western Blot</w:t>
      </w:r>
      <w:r>
        <w:rPr>
          <w:b/>
          <w:i/>
          <w:color w:val="000000" w:themeColor="text1"/>
          <w:sz w:val="22"/>
          <w:lang w:val="en-GB"/>
        </w:rPr>
        <w:t>.</w:t>
      </w:r>
      <w:r>
        <w:rPr>
          <w:color w:val="000000" w:themeColor="text1"/>
          <w:sz w:val="22"/>
          <w:lang w:val="en-GB"/>
        </w:rPr>
        <w:t xml:space="preserve"> </w:t>
      </w:r>
      <w:r w:rsidRPr="00071592">
        <w:rPr>
          <w:color w:val="000000" w:themeColor="text1"/>
          <w:sz w:val="22"/>
          <w:lang w:val="en-GB"/>
        </w:rPr>
        <w:t>Proteins were prepared from mouse LV tissue using a lysis buffer containing protease inhibitors and phosphatase inhibitor cocktails. Cell lysates were separated by SDS-PAGE and transferred onto nitrocellulose membrane. The membranes were blocked with 5% non-fat milk and incubated overnight at 4 °C with the following primary antibodies: SGLT-1, SGLT-2, ERK, phospho-ERK. The membranes were incubated with appropriate secondary antibodies and signal intensities will be visualized by enhanced chemiluminescence. Films from at least three independent experiments were scanned and densities of the immunoreactive bands were evaluated using the NIH Image software. GAPDH and β-actin were used as internal controls.</w:t>
      </w:r>
    </w:p>
    <w:p w:rsidR="007C2708" w:rsidRDefault="007C2708" w:rsidP="00D40D9E">
      <w:pPr>
        <w:pStyle w:val="p1"/>
        <w:spacing w:line="480" w:lineRule="auto"/>
        <w:jc w:val="both"/>
        <w:rPr>
          <w:b/>
          <w:i/>
          <w:color w:val="000000" w:themeColor="text1"/>
          <w:sz w:val="22"/>
          <w:lang w:val="en-GB"/>
        </w:rPr>
      </w:pPr>
    </w:p>
    <w:p w:rsidR="00D40D9E" w:rsidRDefault="00D40D9E" w:rsidP="00D40D9E">
      <w:pPr>
        <w:pStyle w:val="p1"/>
        <w:spacing w:line="480" w:lineRule="auto"/>
        <w:jc w:val="both"/>
        <w:rPr>
          <w:color w:val="000000" w:themeColor="text1"/>
          <w:sz w:val="22"/>
          <w:lang w:val="en-GB"/>
        </w:rPr>
      </w:pPr>
      <w:r w:rsidRPr="003339DA">
        <w:rPr>
          <w:b/>
          <w:i/>
          <w:color w:val="000000" w:themeColor="text1"/>
          <w:sz w:val="22"/>
          <w:lang w:val="en-GB"/>
        </w:rPr>
        <w:t>Statistical Analysis</w:t>
      </w:r>
      <w:r>
        <w:rPr>
          <w:b/>
          <w:i/>
          <w:color w:val="000000" w:themeColor="text1"/>
          <w:sz w:val="22"/>
          <w:lang w:val="en-GB"/>
        </w:rPr>
        <w:t>.</w:t>
      </w:r>
      <w:r>
        <w:rPr>
          <w:color w:val="000000" w:themeColor="text1"/>
          <w:sz w:val="22"/>
          <w:lang w:val="en-GB"/>
        </w:rPr>
        <w:t xml:space="preserve"> Continuous d</w:t>
      </w:r>
      <w:r w:rsidRPr="00071592">
        <w:rPr>
          <w:color w:val="000000" w:themeColor="text1"/>
          <w:sz w:val="22"/>
          <w:lang w:val="en-GB"/>
        </w:rPr>
        <w:t>ata were expressed as mean</w:t>
      </w:r>
      <w:r>
        <w:rPr>
          <w:color w:val="000000" w:themeColor="text1"/>
          <w:sz w:val="22"/>
          <w:lang w:val="en-GB"/>
        </w:rPr>
        <w:t xml:space="preserve"> </w:t>
      </w:r>
      <w:r w:rsidRPr="00071592">
        <w:rPr>
          <w:color w:val="000000" w:themeColor="text1"/>
          <w:sz w:val="22"/>
          <w:lang w:val="en-GB"/>
        </w:rPr>
        <w:t>±</w:t>
      </w:r>
      <w:r>
        <w:rPr>
          <w:color w:val="000000" w:themeColor="text1"/>
          <w:sz w:val="22"/>
          <w:lang w:val="en-GB"/>
        </w:rPr>
        <w:t xml:space="preserve"> </w:t>
      </w:r>
      <w:r w:rsidRPr="00071592">
        <w:rPr>
          <w:color w:val="000000" w:themeColor="text1"/>
          <w:sz w:val="22"/>
          <w:lang w:val="en-GB"/>
        </w:rPr>
        <w:t xml:space="preserve">SD. For </w:t>
      </w:r>
      <w:r>
        <w:rPr>
          <w:color w:val="000000" w:themeColor="text1"/>
          <w:sz w:val="22"/>
          <w:lang w:val="en-GB"/>
        </w:rPr>
        <w:t xml:space="preserve">paired </w:t>
      </w:r>
      <w:r w:rsidRPr="00071592">
        <w:rPr>
          <w:color w:val="000000" w:themeColor="text1"/>
          <w:sz w:val="22"/>
          <w:lang w:val="en-GB"/>
        </w:rPr>
        <w:t xml:space="preserve">comparisons of </w:t>
      </w:r>
      <w:r>
        <w:rPr>
          <w:color w:val="000000" w:themeColor="text1"/>
          <w:sz w:val="22"/>
          <w:lang w:val="en-GB"/>
        </w:rPr>
        <w:t>continuous variables the nonparametric Wilcoxon test was used (</w:t>
      </w:r>
      <w:r w:rsidR="00A93684">
        <w:rPr>
          <w:color w:val="000000" w:themeColor="text1"/>
          <w:sz w:val="22"/>
          <w:lang w:val="en-GB"/>
        </w:rPr>
        <w:t>21</w:t>
      </w:r>
      <w:r>
        <w:rPr>
          <w:color w:val="000000" w:themeColor="text1"/>
          <w:sz w:val="22"/>
          <w:lang w:val="en-GB"/>
        </w:rPr>
        <w:t>). For comparisons between study groups the nonparametric</w:t>
      </w:r>
      <w:r w:rsidRPr="00071592">
        <w:rPr>
          <w:color w:val="000000" w:themeColor="text1"/>
          <w:sz w:val="22"/>
          <w:lang w:val="en-GB"/>
        </w:rPr>
        <w:t xml:space="preserve"> Mann-Whitney </w:t>
      </w:r>
      <w:r>
        <w:rPr>
          <w:color w:val="000000" w:themeColor="text1"/>
          <w:sz w:val="22"/>
          <w:lang w:val="en-GB"/>
        </w:rPr>
        <w:t xml:space="preserve">and Kruskal-Wallis </w:t>
      </w:r>
      <w:r w:rsidRPr="00071592">
        <w:rPr>
          <w:color w:val="000000" w:themeColor="text1"/>
          <w:sz w:val="22"/>
          <w:lang w:val="en-GB"/>
        </w:rPr>
        <w:t>tests</w:t>
      </w:r>
      <w:r>
        <w:rPr>
          <w:color w:val="000000" w:themeColor="text1"/>
          <w:sz w:val="22"/>
          <w:lang w:val="en-GB"/>
        </w:rPr>
        <w:t xml:space="preserve"> were applied</w:t>
      </w:r>
      <w:r w:rsidRPr="00071592">
        <w:rPr>
          <w:color w:val="000000" w:themeColor="text1"/>
          <w:sz w:val="22"/>
          <w:lang w:val="en-GB"/>
        </w:rPr>
        <w:t xml:space="preserve"> (</w:t>
      </w:r>
      <w:r w:rsidR="00591E36">
        <w:rPr>
          <w:color w:val="000000" w:themeColor="text1"/>
          <w:sz w:val="22"/>
          <w:lang w:val="en-GB"/>
        </w:rPr>
        <w:t>21-22</w:t>
      </w:r>
      <w:r w:rsidRPr="00071592">
        <w:rPr>
          <w:color w:val="000000" w:themeColor="text1"/>
          <w:sz w:val="22"/>
          <w:lang w:val="en-GB"/>
        </w:rPr>
        <w:t>)</w:t>
      </w:r>
      <w:r w:rsidR="007C2708">
        <w:rPr>
          <w:color w:val="000000" w:themeColor="text1"/>
          <w:sz w:val="22"/>
          <w:lang w:val="en-GB"/>
        </w:rPr>
        <w:t xml:space="preserve">. Repeated measures ANOVA was used for all baseline to end-of-study comparisons. </w:t>
      </w:r>
      <w:r>
        <w:rPr>
          <w:color w:val="000000" w:themeColor="text1"/>
          <w:sz w:val="22"/>
          <w:lang w:val="en-GB"/>
        </w:rPr>
        <w:t xml:space="preserve">A </w:t>
      </w:r>
      <w:r w:rsidRPr="00071592">
        <w:rPr>
          <w:color w:val="000000" w:themeColor="text1"/>
          <w:sz w:val="22"/>
          <w:lang w:val="en-GB"/>
        </w:rPr>
        <w:t xml:space="preserve">p </w:t>
      </w:r>
      <w:r>
        <w:rPr>
          <w:color w:val="000000" w:themeColor="text1"/>
          <w:sz w:val="22"/>
          <w:lang w:val="en-GB"/>
        </w:rPr>
        <w:t xml:space="preserve">value below </w:t>
      </w:r>
      <w:r w:rsidRPr="00071592">
        <w:rPr>
          <w:color w:val="000000" w:themeColor="text1"/>
          <w:sz w:val="22"/>
          <w:lang w:val="en-GB"/>
        </w:rPr>
        <w:t>0.05 was considered statistically significant</w:t>
      </w:r>
      <w:r w:rsidR="007C2708">
        <w:rPr>
          <w:color w:val="000000" w:themeColor="text1"/>
          <w:sz w:val="22"/>
          <w:lang w:val="en-GB"/>
        </w:rPr>
        <w:t>, with Bonferroni correction for multiple comparisons between the groups</w:t>
      </w:r>
      <w:r w:rsidRPr="00071592">
        <w:rPr>
          <w:color w:val="000000" w:themeColor="text1"/>
          <w:sz w:val="22"/>
          <w:lang w:val="en-GB"/>
        </w:rPr>
        <w:t>.</w:t>
      </w:r>
    </w:p>
    <w:p w:rsidR="00D062E9" w:rsidRDefault="00D062E9" w:rsidP="00D40D9E">
      <w:pPr>
        <w:pStyle w:val="p1"/>
        <w:spacing w:line="480" w:lineRule="auto"/>
        <w:jc w:val="both"/>
        <w:rPr>
          <w:color w:val="000000" w:themeColor="text1"/>
          <w:sz w:val="22"/>
          <w:lang w:val="en-GB"/>
        </w:rPr>
      </w:pPr>
    </w:p>
    <w:p w:rsidR="00D062E9" w:rsidRDefault="00D062E9" w:rsidP="00D062E9">
      <w:pPr>
        <w:pStyle w:val="p1"/>
        <w:spacing w:line="480" w:lineRule="auto"/>
        <w:jc w:val="both"/>
        <w:rPr>
          <w:b/>
          <w:color w:val="000000" w:themeColor="text1"/>
          <w:sz w:val="22"/>
          <w:szCs w:val="22"/>
          <w:lang w:val="en-GB"/>
        </w:rPr>
      </w:pPr>
    </w:p>
    <w:p w:rsidR="00D062E9" w:rsidRDefault="00D062E9" w:rsidP="00D062E9">
      <w:pPr>
        <w:pStyle w:val="p1"/>
        <w:spacing w:line="480" w:lineRule="auto"/>
        <w:jc w:val="both"/>
        <w:rPr>
          <w:b/>
          <w:color w:val="000000" w:themeColor="text1"/>
          <w:sz w:val="22"/>
          <w:szCs w:val="22"/>
          <w:lang w:val="en-GB"/>
        </w:rPr>
      </w:pPr>
    </w:p>
    <w:p w:rsidR="00D062E9" w:rsidRDefault="00D062E9" w:rsidP="00D062E9">
      <w:pPr>
        <w:pStyle w:val="p1"/>
        <w:spacing w:line="480" w:lineRule="auto"/>
        <w:jc w:val="both"/>
        <w:rPr>
          <w:b/>
          <w:color w:val="000000" w:themeColor="text1"/>
          <w:sz w:val="22"/>
          <w:szCs w:val="22"/>
          <w:lang w:val="en-GB"/>
        </w:rPr>
      </w:pPr>
    </w:p>
    <w:p w:rsidR="00D062E9" w:rsidRDefault="00D062E9" w:rsidP="00D062E9">
      <w:pPr>
        <w:pStyle w:val="p1"/>
        <w:spacing w:line="480" w:lineRule="auto"/>
        <w:jc w:val="both"/>
        <w:rPr>
          <w:b/>
          <w:color w:val="000000" w:themeColor="text1"/>
          <w:sz w:val="22"/>
          <w:szCs w:val="22"/>
          <w:lang w:val="en-GB"/>
        </w:rPr>
      </w:pPr>
    </w:p>
    <w:p w:rsidR="00D062E9" w:rsidRDefault="00D062E9" w:rsidP="00D062E9">
      <w:pPr>
        <w:pStyle w:val="p1"/>
        <w:spacing w:line="480" w:lineRule="auto"/>
        <w:jc w:val="both"/>
        <w:rPr>
          <w:b/>
          <w:color w:val="000000" w:themeColor="text1"/>
          <w:sz w:val="22"/>
          <w:szCs w:val="22"/>
          <w:lang w:val="en-GB"/>
        </w:rPr>
      </w:pPr>
    </w:p>
    <w:p w:rsidR="00D062E9" w:rsidRDefault="00D062E9" w:rsidP="00D062E9">
      <w:pPr>
        <w:pStyle w:val="p1"/>
        <w:spacing w:line="480" w:lineRule="auto"/>
        <w:jc w:val="both"/>
        <w:rPr>
          <w:b/>
          <w:color w:val="000000" w:themeColor="text1"/>
          <w:sz w:val="22"/>
          <w:szCs w:val="22"/>
          <w:lang w:val="en-GB"/>
        </w:rPr>
      </w:pPr>
    </w:p>
    <w:p w:rsidR="00F322A4" w:rsidRDefault="00F322A4">
      <w:pPr>
        <w:rPr>
          <w:rFonts w:ascii="Arial" w:hAnsi="Arial" w:cs="Arial"/>
          <w:b/>
          <w:color w:val="000000" w:themeColor="text1"/>
        </w:rPr>
      </w:pPr>
      <w:r>
        <w:rPr>
          <w:b/>
          <w:color w:val="000000" w:themeColor="text1"/>
        </w:rPr>
        <w:br w:type="page"/>
      </w:r>
    </w:p>
    <w:p w:rsidR="00D062E9" w:rsidRPr="00A03815" w:rsidRDefault="00CE44BD" w:rsidP="00D062E9">
      <w:pPr>
        <w:pStyle w:val="p1"/>
        <w:spacing w:line="480" w:lineRule="auto"/>
        <w:jc w:val="both"/>
        <w:rPr>
          <w:b/>
          <w:color w:val="000000" w:themeColor="text1"/>
          <w:sz w:val="22"/>
          <w:szCs w:val="22"/>
          <w:lang w:val="en-GB"/>
        </w:rPr>
      </w:pPr>
      <w:r>
        <w:rPr>
          <w:b/>
          <w:color w:val="000000" w:themeColor="text1"/>
          <w:sz w:val="22"/>
          <w:szCs w:val="22"/>
          <w:lang w:val="en-GB"/>
        </w:rPr>
        <w:t>ADDITIONAL</w:t>
      </w:r>
      <w:r w:rsidR="00D062E9">
        <w:rPr>
          <w:b/>
          <w:color w:val="000000" w:themeColor="text1"/>
          <w:sz w:val="22"/>
          <w:szCs w:val="22"/>
          <w:lang w:val="en-GB"/>
        </w:rPr>
        <w:t xml:space="preserve"> </w:t>
      </w:r>
      <w:r w:rsidR="00D062E9" w:rsidRPr="009659E3">
        <w:rPr>
          <w:b/>
          <w:color w:val="000000" w:themeColor="text1"/>
          <w:sz w:val="22"/>
          <w:szCs w:val="22"/>
          <w:lang w:val="en-GB"/>
        </w:rPr>
        <w:t>FIGURE LEGENDS</w:t>
      </w:r>
    </w:p>
    <w:p w:rsidR="00D062E9" w:rsidRPr="006D0233" w:rsidRDefault="00D062E9" w:rsidP="00D062E9">
      <w:pPr>
        <w:pStyle w:val="p1"/>
        <w:spacing w:line="480" w:lineRule="auto"/>
        <w:jc w:val="both"/>
        <w:rPr>
          <w:b/>
          <w:bCs/>
          <w:color w:val="000000" w:themeColor="text1"/>
          <w:sz w:val="22"/>
          <w:szCs w:val="22"/>
          <w:lang w:val="en-GB"/>
        </w:rPr>
      </w:pPr>
      <w:r w:rsidRPr="006D0233">
        <w:rPr>
          <w:b/>
          <w:bCs/>
          <w:color w:val="000000" w:themeColor="text1"/>
          <w:sz w:val="22"/>
          <w:szCs w:val="22"/>
          <w:lang w:val="en-GB"/>
        </w:rPr>
        <w:t xml:space="preserve">Figure </w:t>
      </w:r>
      <w:proofErr w:type="spellStart"/>
      <w:r w:rsidR="00CE44BD">
        <w:rPr>
          <w:b/>
          <w:bCs/>
          <w:color w:val="000000" w:themeColor="text1"/>
          <w:sz w:val="22"/>
          <w:szCs w:val="22"/>
          <w:lang w:val="en-GB"/>
        </w:rPr>
        <w:t>S</w:t>
      </w:r>
      <w:r w:rsidRPr="006D0233">
        <w:rPr>
          <w:b/>
          <w:bCs/>
          <w:color w:val="000000" w:themeColor="text1"/>
          <w:sz w:val="22"/>
          <w:szCs w:val="22"/>
          <w:lang w:val="en-GB"/>
        </w:rPr>
        <w:t>1</w:t>
      </w:r>
      <w:proofErr w:type="spellEnd"/>
      <w:r w:rsidRPr="006D0233">
        <w:rPr>
          <w:b/>
          <w:bCs/>
          <w:color w:val="000000" w:themeColor="text1"/>
          <w:sz w:val="22"/>
          <w:szCs w:val="22"/>
          <w:lang w:val="en-GB"/>
        </w:rPr>
        <w:t>. Study timeline.</w:t>
      </w:r>
    </w:p>
    <w:p w:rsidR="00D062E9" w:rsidRDefault="00D062E9" w:rsidP="00D062E9">
      <w:pPr>
        <w:pStyle w:val="p1"/>
        <w:spacing w:line="480" w:lineRule="auto"/>
        <w:jc w:val="both"/>
        <w:rPr>
          <w:color w:val="000000" w:themeColor="text1"/>
          <w:sz w:val="22"/>
          <w:szCs w:val="22"/>
          <w:lang w:val="en-GB"/>
        </w:rPr>
      </w:pPr>
      <w:r>
        <w:rPr>
          <w:color w:val="000000" w:themeColor="text1"/>
          <w:sz w:val="22"/>
          <w:szCs w:val="22"/>
          <w:lang w:val="en-GB"/>
        </w:rPr>
        <w:t xml:space="preserve">The figure depicts the study timeline with the breakdown of </w:t>
      </w:r>
      <w:r w:rsidRPr="00A03815">
        <w:rPr>
          <w:color w:val="000000" w:themeColor="text1"/>
          <w:sz w:val="22"/>
          <w:szCs w:val="22"/>
          <w:lang w:val="en-GB"/>
        </w:rPr>
        <w:t>mice</w:t>
      </w:r>
      <w:r>
        <w:rPr>
          <w:color w:val="000000" w:themeColor="text1"/>
          <w:sz w:val="22"/>
          <w:szCs w:val="22"/>
          <w:lang w:val="en-GB"/>
        </w:rPr>
        <w:t xml:space="preserve"> into three groups.</w:t>
      </w:r>
    </w:p>
    <w:p w:rsidR="00D062E9" w:rsidRPr="006D0233" w:rsidRDefault="00D062E9" w:rsidP="00D062E9">
      <w:pPr>
        <w:pStyle w:val="p1"/>
        <w:spacing w:line="480" w:lineRule="auto"/>
        <w:jc w:val="both"/>
        <w:rPr>
          <w:b/>
          <w:bCs/>
          <w:color w:val="000000" w:themeColor="text1"/>
          <w:sz w:val="22"/>
          <w:szCs w:val="22"/>
          <w:lang w:val="en-GB"/>
        </w:rPr>
      </w:pPr>
      <w:r w:rsidRPr="006D0233">
        <w:rPr>
          <w:b/>
          <w:bCs/>
          <w:color w:val="000000" w:themeColor="text1"/>
          <w:sz w:val="22"/>
          <w:szCs w:val="22"/>
          <w:lang w:val="en-GB"/>
        </w:rPr>
        <w:t xml:space="preserve">Figure </w:t>
      </w:r>
      <w:proofErr w:type="spellStart"/>
      <w:r w:rsidR="00CE44BD">
        <w:rPr>
          <w:b/>
          <w:bCs/>
          <w:color w:val="000000" w:themeColor="text1"/>
          <w:sz w:val="22"/>
          <w:szCs w:val="22"/>
          <w:lang w:val="en-GB"/>
        </w:rPr>
        <w:t>S</w:t>
      </w:r>
      <w:r w:rsidRPr="006D0233">
        <w:rPr>
          <w:b/>
          <w:bCs/>
          <w:color w:val="000000" w:themeColor="text1"/>
          <w:sz w:val="22"/>
          <w:szCs w:val="22"/>
          <w:lang w:val="en-GB"/>
        </w:rPr>
        <w:t>2</w:t>
      </w:r>
      <w:proofErr w:type="spellEnd"/>
      <w:r w:rsidRPr="006D0233">
        <w:rPr>
          <w:b/>
          <w:bCs/>
          <w:color w:val="000000" w:themeColor="text1"/>
          <w:sz w:val="22"/>
          <w:szCs w:val="22"/>
          <w:lang w:val="en-GB"/>
        </w:rPr>
        <w:t xml:space="preserve">. Systemic blood pressure. </w:t>
      </w:r>
    </w:p>
    <w:p w:rsidR="00D062E9" w:rsidRDefault="00D062E9" w:rsidP="00D062E9">
      <w:pPr>
        <w:pStyle w:val="p1"/>
        <w:spacing w:line="480" w:lineRule="auto"/>
        <w:jc w:val="both"/>
        <w:rPr>
          <w:color w:val="000000" w:themeColor="text1"/>
          <w:sz w:val="22"/>
          <w:szCs w:val="22"/>
          <w:lang w:val="en-GB"/>
        </w:rPr>
      </w:pPr>
      <w:r>
        <w:rPr>
          <w:color w:val="000000" w:themeColor="text1"/>
          <w:sz w:val="22"/>
          <w:szCs w:val="22"/>
          <w:lang w:val="en-GB"/>
        </w:rPr>
        <w:t xml:space="preserve">At the sixth week, both systolic (panel A) and diastolic </w:t>
      </w:r>
      <w:r w:rsidRPr="009C5392">
        <w:rPr>
          <w:color w:val="000000" w:themeColor="text1"/>
          <w:sz w:val="22"/>
          <w:szCs w:val="22"/>
          <w:lang w:val="en-GB"/>
        </w:rPr>
        <w:t xml:space="preserve">blood pressure </w:t>
      </w:r>
      <w:r>
        <w:rPr>
          <w:color w:val="000000" w:themeColor="text1"/>
          <w:sz w:val="22"/>
          <w:szCs w:val="22"/>
          <w:lang w:val="en-GB"/>
        </w:rPr>
        <w:t xml:space="preserve">(panel B) </w:t>
      </w:r>
      <w:r w:rsidRPr="009C5392">
        <w:rPr>
          <w:color w:val="000000" w:themeColor="text1"/>
          <w:sz w:val="22"/>
          <w:szCs w:val="22"/>
          <w:lang w:val="en-GB"/>
        </w:rPr>
        <w:t xml:space="preserve">was significantly lower in the DOX group compared to DOX+EMPA. </w:t>
      </w:r>
    </w:p>
    <w:p w:rsidR="004A41AB" w:rsidRPr="006D0233" w:rsidRDefault="004A41AB" w:rsidP="004A41AB">
      <w:pPr>
        <w:pStyle w:val="p1"/>
        <w:spacing w:line="480" w:lineRule="auto"/>
        <w:jc w:val="both"/>
        <w:rPr>
          <w:b/>
          <w:bCs/>
          <w:color w:val="000000" w:themeColor="text1"/>
          <w:sz w:val="22"/>
          <w:szCs w:val="22"/>
          <w:lang w:val="en-GB"/>
        </w:rPr>
      </w:pPr>
      <w:r w:rsidRPr="006D0233">
        <w:rPr>
          <w:b/>
          <w:bCs/>
          <w:color w:val="000000" w:themeColor="text1"/>
          <w:sz w:val="22"/>
          <w:szCs w:val="22"/>
          <w:lang w:val="en-GB"/>
        </w:rPr>
        <w:t xml:space="preserve">Figure </w:t>
      </w:r>
      <w:proofErr w:type="spellStart"/>
      <w:r w:rsidR="00CE44BD">
        <w:rPr>
          <w:b/>
          <w:bCs/>
          <w:color w:val="000000" w:themeColor="text1"/>
          <w:sz w:val="22"/>
          <w:szCs w:val="22"/>
          <w:lang w:val="en-GB"/>
        </w:rPr>
        <w:t>S</w:t>
      </w:r>
      <w:r w:rsidRPr="006D0233">
        <w:rPr>
          <w:b/>
          <w:bCs/>
          <w:color w:val="000000" w:themeColor="text1"/>
          <w:sz w:val="22"/>
          <w:szCs w:val="22"/>
          <w:lang w:val="en-GB"/>
        </w:rPr>
        <w:t>3</w:t>
      </w:r>
      <w:proofErr w:type="spellEnd"/>
      <w:r w:rsidRPr="006D0233">
        <w:rPr>
          <w:b/>
          <w:bCs/>
          <w:color w:val="000000" w:themeColor="text1"/>
          <w:sz w:val="22"/>
          <w:szCs w:val="22"/>
          <w:lang w:val="en-GB"/>
        </w:rPr>
        <w:t>. Histological examples of doxorubicin myocardial injuries.</w:t>
      </w:r>
    </w:p>
    <w:p w:rsidR="004A41AB" w:rsidRDefault="004A41AB" w:rsidP="004A41AB">
      <w:pPr>
        <w:pStyle w:val="p1"/>
        <w:spacing w:line="480" w:lineRule="auto"/>
        <w:jc w:val="both"/>
        <w:rPr>
          <w:color w:val="000000" w:themeColor="text1"/>
          <w:sz w:val="22"/>
          <w:szCs w:val="22"/>
          <w:lang w:val="en-GB"/>
        </w:rPr>
      </w:pPr>
      <w:r w:rsidRPr="004A41AB">
        <w:rPr>
          <w:color w:val="000000" w:themeColor="text1"/>
          <w:sz w:val="22"/>
          <w:szCs w:val="22"/>
          <w:lang w:val="en-GB"/>
        </w:rPr>
        <w:t>The figure shows the characteristic attenuation of fibrillar bands observed after treatment with doxorubicin, in some morphological variants (lower left and mid panels and upper mid panel). Masson’s trichrome staining highlights the degree of fibrosis in hearts from control group (upper right panel) and heart</w:t>
      </w:r>
      <w:r>
        <w:rPr>
          <w:color w:val="000000" w:themeColor="text1"/>
          <w:sz w:val="22"/>
          <w:szCs w:val="22"/>
          <w:lang w:val="en-GB"/>
        </w:rPr>
        <w:t>s</w:t>
      </w:r>
      <w:r w:rsidRPr="004A41AB">
        <w:rPr>
          <w:color w:val="000000" w:themeColor="text1"/>
          <w:sz w:val="22"/>
          <w:szCs w:val="22"/>
          <w:lang w:val="en-GB"/>
        </w:rPr>
        <w:t xml:space="preserve"> from the DOX group (lower right panel).</w:t>
      </w:r>
    </w:p>
    <w:p w:rsidR="006D0233" w:rsidRPr="006D0233" w:rsidRDefault="00CE44BD" w:rsidP="006D0233">
      <w:pPr>
        <w:pStyle w:val="p1"/>
        <w:spacing w:line="480" w:lineRule="auto"/>
        <w:jc w:val="both"/>
        <w:rPr>
          <w:b/>
          <w:bCs/>
          <w:color w:val="000000" w:themeColor="text1"/>
          <w:sz w:val="22"/>
          <w:highlight w:val="yellow"/>
          <w:lang w:val="en-GB"/>
        </w:rPr>
      </w:pPr>
      <w:r>
        <w:rPr>
          <w:b/>
          <w:bCs/>
          <w:color w:val="000000" w:themeColor="text1"/>
          <w:sz w:val="22"/>
          <w:lang w:val="en-GB"/>
        </w:rPr>
        <w:t>F</w:t>
      </w:r>
      <w:r w:rsidR="006D0233" w:rsidRPr="006D0233">
        <w:rPr>
          <w:b/>
          <w:bCs/>
          <w:color w:val="000000" w:themeColor="text1"/>
          <w:sz w:val="22"/>
          <w:lang w:val="en-GB"/>
        </w:rPr>
        <w:t xml:space="preserve">igure </w:t>
      </w:r>
      <w:proofErr w:type="spellStart"/>
      <w:r>
        <w:rPr>
          <w:b/>
          <w:bCs/>
          <w:color w:val="000000" w:themeColor="text1"/>
          <w:sz w:val="22"/>
          <w:lang w:val="en-GB"/>
        </w:rPr>
        <w:t>S</w:t>
      </w:r>
      <w:r w:rsidR="006D0233" w:rsidRPr="006D0233">
        <w:rPr>
          <w:b/>
          <w:bCs/>
          <w:color w:val="000000" w:themeColor="text1"/>
          <w:sz w:val="22"/>
          <w:lang w:val="en-GB"/>
        </w:rPr>
        <w:t>4</w:t>
      </w:r>
      <w:proofErr w:type="spellEnd"/>
      <w:r w:rsidR="006D0233" w:rsidRPr="006D0233">
        <w:rPr>
          <w:b/>
          <w:bCs/>
          <w:color w:val="000000" w:themeColor="text1"/>
          <w:sz w:val="22"/>
          <w:lang w:val="en-GB"/>
        </w:rPr>
        <w:t>. Expression of SGLT-</w:t>
      </w:r>
      <w:r w:rsidR="006D0233">
        <w:rPr>
          <w:b/>
          <w:bCs/>
          <w:color w:val="000000" w:themeColor="text1"/>
          <w:sz w:val="22"/>
          <w:lang w:val="en-GB"/>
        </w:rPr>
        <w:t>1</w:t>
      </w:r>
      <w:r w:rsidR="006D0233" w:rsidRPr="006D0233">
        <w:rPr>
          <w:b/>
          <w:bCs/>
          <w:color w:val="000000" w:themeColor="text1"/>
          <w:sz w:val="22"/>
          <w:lang w:val="en-GB"/>
        </w:rPr>
        <w:t xml:space="preserve"> in mice hearts. </w:t>
      </w:r>
    </w:p>
    <w:p w:rsidR="006D0233" w:rsidRDefault="006D0233" w:rsidP="006D0233">
      <w:pPr>
        <w:pStyle w:val="p1"/>
        <w:spacing w:line="480" w:lineRule="auto"/>
        <w:jc w:val="both"/>
        <w:rPr>
          <w:color w:val="000000" w:themeColor="text1"/>
          <w:sz w:val="22"/>
          <w:szCs w:val="22"/>
          <w:lang w:val="en-GB"/>
        </w:rPr>
      </w:pPr>
      <w:r>
        <w:rPr>
          <w:color w:val="000000" w:themeColor="text1"/>
          <w:sz w:val="22"/>
          <w:lang w:val="en-GB"/>
        </w:rPr>
        <w:t>Results RT-PCR showing the expression levels of SGLT-1 in different mouse hearts.</w:t>
      </w:r>
    </w:p>
    <w:p w:rsidR="00D062E9" w:rsidRPr="006D0233" w:rsidRDefault="00D062E9" w:rsidP="004A41AB">
      <w:pPr>
        <w:pStyle w:val="p1"/>
        <w:spacing w:line="480" w:lineRule="auto"/>
        <w:jc w:val="both"/>
        <w:rPr>
          <w:b/>
          <w:bCs/>
          <w:color w:val="000000" w:themeColor="text1"/>
          <w:sz w:val="22"/>
          <w:highlight w:val="yellow"/>
          <w:lang w:val="en-GB"/>
        </w:rPr>
      </w:pPr>
      <w:r w:rsidRPr="006D0233">
        <w:rPr>
          <w:b/>
          <w:bCs/>
          <w:color w:val="000000" w:themeColor="text1"/>
          <w:sz w:val="22"/>
          <w:lang w:val="en-GB"/>
        </w:rPr>
        <w:t xml:space="preserve">Figure </w:t>
      </w:r>
      <w:proofErr w:type="spellStart"/>
      <w:r w:rsidR="00CE44BD">
        <w:rPr>
          <w:b/>
          <w:bCs/>
          <w:color w:val="000000" w:themeColor="text1"/>
          <w:sz w:val="22"/>
          <w:lang w:val="en-GB"/>
        </w:rPr>
        <w:t>S</w:t>
      </w:r>
      <w:r w:rsidR="006D0233" w:rsidRPr="006D0233">
        <w:rPr>
          <w:b/>
          <w:bCs/>
          <w:color w:val="000000" w:themeColor="text1"/>
          <w:sz w:val="22"/>
          <w:lang w:val="en-GB"/>
        </w:rPr>
        <w:t>5</w:t>
      </w:r>
      <w:proofErr w:type="spellEnd"/>
      <w:r w:rsidRPr="006D0233">
        <w:rPr>
          <w:b/>
          <w:bCs/>
          <w:color w:val="000000" w:themeColor="text1"/>
          <w:sz w:val="22"/>
          <w:lang w:val="en-GB"/>
        </w:rPr>
        <w:t xml:space="preserve">. Expression of SGLT-2 in mice hearts. </w:t>
      </w:r>
    </w:p>
    <w:p w:rsidR="00D062E9" w:rsidRPr="00071592" w:rsidRDefault="00D062E9" w:rsidP="00D062E9">
      <w:pPr>
        <w:pStyle w:val="p1"/>
        <w:spacing w:line="480" w:lineRule="auto"/>
        <w:jc w:val="both"/>
        <w:rPr>
          <w:color w:val="000000" w:themeColor="text1"/>
          <w:sz w:val="22"/>
          <w:lang w:val="en-GB"/>
        </w:rPr>
      </w:pPr>
      <w:r>
        <w:rPr>
          <w:color w:val="000000" w:themeColor="text1"/>
          <w:sz w:val="22"/>
          <w:lang w:val="en-GB"/>
        </w:rPr>
        <w:t xml:space="preserve">Immunohistochemistry shows the expression of SGLT-2 in mice hearts. SGLT-2 expression showed a 75% reduction in DOX mice </w:t>
      </w:r>
      <w:r w:rsidRPr="00071592">
        <w:rPr>
          <w:color w:val="000000" w:themeColor="text1"/>
          <w:sz w:val="22"/>
          <w:szCs w:val="22"/>
          <w:lang w:val="en-GB"/>
        </w:rPr>
        <w:t>(</w:t>
      </w:r>
      <w:r>
        <w:rPr>
          <w:color w:val="000000" w:themeColor="text1"/>
          <w:sz w:val="22"/>
          <w:szCs w:val="22"/>
          <w:lang w:val="en-GB"/>
        </w:rPr>
        <w:t>upper</w:t>
      </w:r>
      <w:r w:rsidRPr="00071592">
        <w:rPr>
          <w:color w:val="000000" w:themeColor="text1"/>
          <w:sz w:val="22"/>
          <w:szCs w:val="22"/>
          <w:lang w:val="en-GB"/>
        </w:rPr>
        <w:t xml:space="preserve"> right panel)</w:t>
      </w:r>
      <w:r>
        <w:rPr>
          <w:color w:val="000000" w:themeColor="text1"/>
          <w:sz w:val="22"/>
          <w:lang w:val="en-GB"/>
        </w:rPr>
        <w:t>, compared to baseline. This effect was significant</w:t>
      </w:r>
      <w:r w:rsidR="004A41AB">
        <w:rPr>
          <w:color w:val="000000" w:themeColor="text1"/>
          <w:sz w:val="22"/>
          <w:lang w:val="en-GB"/>
        </w:rPr>
        <w:t xml:space="preserve">ly attenuated in EMPA+DOX mice </w:t>
      </w:r>
      <w:r>
        <w:rPr>
          <w:color w:val="000000" w:themeColor="text1"/>
          <w:sz w:val="22"/>
          <w:lang w:val="en-GB"/>
        </w:rPr>
        <w:t>(</w:t>
      </w:r>
      <w:r>
        <w:rPr>
          <w:color w:val="000000" w:themeColor="text1"/>
          <w:sz w:val="22"/>
          <w:szCs w:val="22"/>
          <w:lang w:val="en-GB"/>
        </w:rPr>
        <w:t>lower right panel</w:t>
      </w:r>
      <w:r w:rsidRPr="00071592">
        <w:rPr>
          <w:color w:val="000000" w:themeColor="text1"/>
          <w:sz w:val="22"/>
          <w:szCs w:val="22"/>
          <w:lang w:val="en-GB"/>
        </w:rPr>
        <w:t>)</w:t>
      </w:r>
      <w:r>
        <w:rPr>
          <w:color w:val="000000" w:themeColor="text1"/>
          <w:sz w:val="22"/>
          <w:lang w:val="en-GB"/>
        </w:rPr>
        <w:t>.</w:t>
      </w:r>
    </w:p>
    <w:p w:rsidR="00D062E9" w:rsidRDefault="00D062E9" w:rsidP="00D40D9E">
      <w:pPr>
        <w:pStyle w:val="p1"/>
        <w:spacing w:line="480" w:lineRule="auto"/>
        <w:jc w:val="both"/>
        <w:rPr>
          <w:b/>
          <w:color w:val="000000" w:themeColor="text1"/>
          <w:sz w:val="22"/>
          <w:lang w:val="en-GB"/>
        </w:rPr>
      </w:pPr>
    </w:p>
    <w:p w:rsidR="00F322A4" w:rsidRDefault="00F322A4">
      <w:r>
        <w:br w:type="page"/>
      </w:r>
    </w:p>
    <w:p w:rsidR="00A41A82" w:rsidRPr="003349FD" w:rsidRDefault="00F322A4">
      <w:pPr>
        <w:rPr>
          <w:b/>
          <w:bCs/>
        </w:rPr>
      </w:pPr>
      <w:r w:rsidRPr="003349FD">
        <w:rPr>
          <w:b/>
          <w:bCs/>
        </w:rPr>
        <w:t xml:space="preserve">Table </w:t>
      </w:r>
      <w:proofErr w:type="spellStart"/>
      <w:r w:rsidR="00CE44BD">
        <w:rPr>
          <w:b/>
          <w:bCs/>
        </w:rPr>
        <w:t>S</w:t>
      </w:r>
      <w:r w:rsidR="003349FD" w:rsidRPr="003349FD">
        <w:rPr>
          <w:b/>
          <w:bCs/>
        </w:rPr>
        <w:t>1</w:t>
      </w:r>
      <w:proofErr w:type="spellEnd"/>
      <w:r w:rsidRPr="003349FD">
        <w:rPr>
          <w:b/>
          <w:bCs/>
        </w:rPr>
        <w:t>.</w:t>
      </w:r>
      <w:r w:rsidR="003349FD" w:rsidRPr="003349FD">
        <w:rPr>
          <w:b/>
          <w:bCs/>
        </w:rPr>
        <w:t xml:space="preserve"> </w:t>
      </w:r>
      <w:proofErr w:type="spellStart"/>
      <w:r w:rsidR="003349FD" w:rsidRPr="003349FD">
        <w:rPr>
          <w:b/>
          <w:bCs/>
        </w:rPr>
        <w:t>MicroRNAs</w:t>
      </w:r>
      <w:proofErr w:type="spellEnd"/>
      <w:r w:rsidR="003349FD" w:rsidRPr="003349FD">
        <w:rPr>
          <w:b/>
          <w:bCs/>
        </w:rPr>
        <w:t xml:space="preserve"> targeting SGLT2</w:t>
      </w:r>
    </w:p>
    <w:p w:rsidR="00F322A4" w:rsidRDefault="00F322A4"/>
    <w:tbl>
      <w:tblPr>
        <w:tblW w:w="6237" w:type="dxa"/>
        <w:tblInd w:w="70" w:type="dxa"/>
        <w:tblCellMar>
          <w:left w:w="70" w:type="dxa"/>
          <w:right w:w="70" w:type="dxa"/>
        </w:tblCellMar>
        <w:tblLook w:val="04A0"/>
      </w:tblPr>
      <w:tblGrid>
        <w:gridCol w:w="2160"/>
        <w:gridCol w:w="1360"/>
        <w:gridCol w:w="2717"/>
      </w:tblGrid>
      <w:tr w:rsidR="00F322A4" w:rsidRPr="00F322A4" w:rsidTr="00F322A4">
        <w:trPr>
          <w:trHeight w:val="315"/>
        </w:trPr>
        <w:tc>
          <w:tcPr>
            <w:tcW w:w="2160" w:type="dxa"/>
            <w:tcBorders>
              <w:top w:val="nil"/>
              <w:left w:val="nil"/>
              <w:bottom w:val="single" w:sz="4" w:space="0" w:color="auto"/>
              <w:right w:val="nil"/>
            </w:tcBorders>
            <w:shd w:val="clear" w:color="000000" w:fill="000000"/>
            <w:noWrap/>
            <w:vAlign w:val="bottom"/>
            <w:hideMark/>
          </w:tcPr>
          <w:p w:rsidR="00F322A4" w:rsidRPr="00F322A4" w:rsidRDefault="00F322A4" w:rsidP="00F322A4">
            <w:pPr>
              <w:spacing w:after="0" w:line="240" w:lineRule="auto"/>
              <w:rPr>
                <w:rFonts w:ascii="Calibri" w:eastAsia="Times New Roman" w:hAnsi="Calibri" w:cs="Calibri"/>
                <w:b/>
                <w:bCs/>
                <w:color w:val="FFFFFF"/>
                <w:sz w:val="24"/>
                <w:szCs w:val="24"/>
                <w:lang w:val="it-IT" w:eastAsia="it-IT"/>
              </w:rPr>
            </w:pPr>
            <w:r w:rsidRPr="00F322A4">
              <w:rPr>
                <w:rFonts w:ascii="Calibri" w:eastAsia="Times New Roman" w:hAnsi="Calibri" w:cs="Calibri"/>
                <w:b/>
                <w:bCs/>
                <w:color w:val="FFFFFF"/>
                <w:sz w:val="24"/>
                <w:szCs w:val="24"/>
                <w:lang w:val="it-IT" w:eastAsia="it-IT"/>
              </w:rPr>
              <w:t>miRNA</w:t>
            </w:r>
          </w:p>
        </w:tc>
        <w:tc>
          <w:tcPr>
            <w:tcW w:w="1360" w:type="dxa"/>
            <w:tcBorders>
              <w:top w:val="nil"/>
              <w:left w:val="nil"/>
              <w:bottom w:val="single" w:sz="4" w:space="0" w:color="auto"/>
              <w:right w:val="nil"/>
            </w:tcBorders>
            <w:shd w:val="clear" w:color="000000" w:fill="000000"/>
            <w:noWrap/>
            <w:vAlign w:val="bottom"/>
            <w:hideMark/>
          </w:tcPr>
          <w:p w:rsidR="00F322A4" w:rsidRPr="00F322A4" w:rsidRDefault="00F322A4" w:rsidP="00F322A4">
            <w:pPr>
              <w:spacing w:after="0" w:line="240" w:lineRule="auto"/>
              <w:rPr>
                <w:rFonts w:ascii="Calibri" w:eastAsia="Times New Roman" w:hAnsi="Calibri" w:cs="Calibri"/>
                <w:b/>
                <w:bCs/>
                <w:color w:val="FFFFFF"/>
                <w:sz w:val="24"/>
                <w:szCs w:val="24"/>
                <w:lang w:val="it-IT" w:eastAsia="it-IT"/>
              </w:rPr>
            </w:pPr>
            <w:r w:rsidRPr="00F322A4">
              <w:rPr>
                <w:rFonts w:ascii="Calibri" w:eastAsia="Times New Roman" w:hAnsi="Calibri" w:cs="Calibri"/>
                <w:b/>
                <w:bCs/>
                <w:color w:val="FFFFFF"/>
                <w:sz w:val="24"/>
                <w:szCs w:val="24"/>
                <w:lang w:val="it-IT" w:eastAsia="it-IT"/>
              </w:rPr>
              <w:t>seed match</w:t>
            </w:r>
          </w:p>
        </w:tc>
        <w:tc>
          <w:tcPr>
            <w:tcW w:w="2717" w:type="dxa"/>
            <w:tcBorders>
              <w:top w:val="nil"/>
              <w:left w:val="nil"/>
              <w:bottom w:val="single" w:sz="4" w:space="0" w:color="auto"/>
              <w:right w:val="nil"/>
            </w:tcBorders>
            <w:shd w:val="clear" w:color="000000" w:fill="000000"/>
            <w:noWrap/>
            <w:vAlign w:val="bottom"/>
            <w:hideMark/>
          </w:tcPr>
          <w:p w:rsidR="00F322A4" w:rsidRPr="00F322A4" w:rsidRDefault="00F322A4" w:rsidP="00F322A4">
            <w:pPr>
              <w:spacing w:after="0" w:line="240" w:lineRule="auto"/>
              <w:rPr>
                <w:rFonts w:ascii="Calibri" w:eastAsia="Times New Roman" w:hAnsi="Calibri" w:cs="Calibri"/>
                <w:b/>
                <w:bCs/>
                <w:color w:val="FFFFFF"/>
                <w:sz w:val="24"/>
                <w:szCs w:val="24"/>
                <w:lang w:val="it-IT" w:eastAsia="it-IT"/>
              </w:rPr>
            </w:pPr>
            <w:r w:rsidRPr="00F322A4">
              <w:rPr>
                <w:rFonts w:ascii="Calibri" w:eastAsia="Times New Roman" w:hAnsi="Calibri" w:cs="Calibri"/>
                <w:b/>
                <w:bCs/>
                <w:color w:val="FFFFFF"/>
                <w:sz w:val="24"/>
                <w:szCs w:val="24"/>
                <w:lang w:val="it-IT" w:eastAsia="it-IT"/>
              </w:rPr>
              <w:t>context score percentile</w:t>
            </w:r>
          </w:p>
        </w:tc>
      </w:tr>
      <w:tr w:rsidR="00F322A4" w:rsidRPr="00F322A4" w:rsidTr="00F322A4">
        <w:trPr>
          <w:trHeight w:val="285"/>
        </w:trPr>
        <w:tc>
          <w:tcPr>
            <w:tcW w:w="2160" w:type="dxa"/>
            <w:tcBorders>
              <w:top w:val="nil"/>
              <w:left w:val="nil"/>
              <w:bottom w:val="single" w:sz="4" w:space="0" w:color="auto"/>
              <w:right w:val="nil"/>
            </w:tcBorders>
            <w:shd w:val="clear" w:color="000000" w:fill="D9D9D9"/>
            <w:noWrap/>
            <w:vAlign w:val="bottom"/>
            <w:hideMark/>
          </w:tcPr>
          <w:p w:rsidR="00F322A4" w:rsidRPr="00F322A4" w:rsidRDefault="00F322A4" w:rsidP="00F322A4">
            <w:pPr>
              <w:spacing w:after="0" w:line="240" w:lineRule="auto"/>
              <w:rPr>
                <w:rFonts w:ascii="Calibri" w:eastAsia="Times New Roman" w:hAnsi="Calibri" w:cs="Calibri"/>
                <w:b/>
                <w:bCs/>
                <w:color w:val="000000"/>
                <w:lang w:val="it-IT" w:eastAsia="it-IT"/>
              </w:rPr>
            </w:pPr>
            <w:r w:rsidRPr="00F322A4">
              <w:rPr>
                <w:rFonts w:ascii="Calibri" w:eastAsia="Times New Roman" w:hAnsi="Calibri" w:cs="Calibri"/>
                <w:b/>
                <w:bCs/>
                <w:color w:val="000000"/>
                <w:lang w:val="it-IT" w:eastAsia="it-IT"/>
              </w:rPr>
              <w:t>Conserved sites</w:t>
            </w:r>
          </w:p>
        </w:tc>
        <w:tc>
          <w:tcPr>
            <w:tcW w:w="1360" w:type="dxa"/>
            <w:tcBorders>
              <w:top w:val="nil"/>
              <w:left w:val="nil"/>
              <w:bottom w:val="single" w:sz="4" w:space="0" w:color="auto"/>
              <w:right w:val="nil"/>
            </w:tcBorders>
            <w:shd w:val="clear" w:color="000000" w:fill="D9D9D9"/>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w:t>
            </w:r>
          </w:p>
        </w:tc>
        <w:tc>
          <w:tcPr>
            <w:tcW w:w="2717" w:type="dxa"/>
            <w:tcBorders>
              <w:top w:val="nil"/>
              <w:left w:val="nil"/>
              <w:bottom w:val="single" w:sz="4" w:space="0" w:color="auto"/>
              <w:right w:val="nil"/>
            </w:tcBorders>
            <w:shd w:val="clear" w:color="000000" w:fill="D9D9D9"/>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w:t>
            </w:r>
          </w:p>
        </w:tc>
      </w:tr>
      <w:tr w:rsidR="00F322A4" w:rsidRPr="00F322A4" w:rsidTr="00F322A4">
        <w:trPr>
          <w:trHeight w:val="285"/>
        </w:trPr>
        <w:tc>
          <w:tcPr>
            <w:tcW w:w="2160" w:type="dxa"/>
            <w:tcBorders>
              <w:top w:val="single" w:sz="4" w:space="0" w:color="auto"/>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hsa-miR-296-5p</w:t>
            </w:r>
          </w:p>
        </w:tc>
        <w:tc>
          <w:tcPr>
            <w:tcW w:w="1360" w:type="dxa"/>
            <w:tcBorders>
              <w:top w:val="single" w:sz="4" w:space="0" w:color="auto"/>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single" w:sz="4" w:space="0" w:color="auto"/>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99</w:t>
            </w:r>
          </w:p>
        </w:tc>
      </w:tr>
      <w:tr w:rsidR="00F322A4" w:rsidRPr="00F322A4" w:rsidTr="00F322A4">
        <w:trPr>
          <w:trHeight w:val="285"/>
        </w:trPr>
        <w:tc>
          <w:tcPr>
            <w:tcW w:w="3520" w:type="dxa"/>
            <w:gridSpan w:val="2"/>
            <w:tcBorders>
              <w:top w:val="single" w:sz="4" w:space="0" w:color="auto"/>
              <w:left w:val="nil"/>
              <w:bottom w:val="single" w:sz="4" w:space="0" w:color="auto"/>
              <w:right w:val="nil"/>
            </w:tcBorders>
            <w:shd w:val="clear" w:color="000000" w:fill="D9D9D9"/>
            <w:noWrap/>
            <w:vAlign w:val="bottom"/>
            <w:hideMark/>
          </w:tcPr>
          <w:p w:rsidR="00F322A4" w:rsidRPr="00F322A4" w:rsidRDefault="00F322A4" w:rsidP="00F322A4">
            <w:pPr>
              <w:spacing w:after="0" w:line="240" w:lineRule="auto"/>
              <w:rPr>
                <w:rFonts w:ascii="Calibri" w:eastAsia="Times New Roman" w:hAnsi="Calibri" w:cs="Calibri"/>
                <w:b/>
                <w:bCs/>
                <w:color w:val="000000"/>
                <w:lang w:val="it-IT" w:eastAsia="it-IT"/>
              </w:rPr>
            </w:pPr>
            <w:r w:rsidRPr="00F322A4">
              <w:rPr>
                <w:rFonts w:ascii="Calibri" w:eastAsia="Times New Roman" w:hAnsi="Calibri" w:cs="Calibri"/>
                <w:b/>
                <w:bCs/>
                <w:color w:val="000000"/>
                <w:lang w:val="it-IT" w:eastAsia="it-IT"/>
              </w:rPr>
              <w:t>Poorly conserved sites</w:t>
            </w:r>
          </w:p>
        </w:tc>
        <w:tc>
          <w:tcPr>
            <w:tcW w:w="2717" w:type="dxa"/>
            <w:tcBorders>
              <w:top w:val="single" w:sz="4" w:space="0" w:color="auto"/>
              <w:left w:val="nil"/>
              <w:bottom w:val="single" w:sz="4" w:space="0" w:color="auto"/>
              <w:right w:val="nil"/>
            </w:tcBorders>
            <w:shd w:val="clear" w:color="000000" w:fill="D9D9D9"/>
            <w:noWrap/>
            <w:vAlign w:val="bottom"/>
            <w:hideMark/>
          </w:tcPr>
          <w:p w:rsidR="00F322A4" w:rsidRPr="00F322A4" w:rsidRDefault="00F322A4" w:rsidP="00F322A4">
            <w:pPr>
              <w:spacing w:after="0" w:line="240" w:lineRule="auto"/>
              <w:rPr>
                <w:rFonts w:ascii="Calibri" w:eastAsia="Times New Roman" w:hAnsi="Calibri" w:cs="Calibri"/>
                <w:b/>
                <w:bCs/>
                <w:color w:val="000000"/>
                <w:lang w:val="it-IT" w:eastAsia="it-IT"/>
              </w:rPr>
            </w:pPr>
            <w:r w:rsidRPr="00F322A4">
              <w:rPr>
                <w:rFonts w:ascii="Calibri" w:eastAsia="Times New Roman" w:hAnsi="Calibri" w:cs="Calibri"/>
                <w:b/>
                <w:bCs/>
                <w:color w:val="000000"/>
                <w:lang w:val="it-IT" w:eastAsia="it-IT"/>
              </w:rPr>
              <w:t> </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hsa-miR-584-5p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hsa-miR-4474-3p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hsa-miR-7974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hsa-miR-485-5p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hsa-miR-6884-5p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hsa-miR-3975</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hsa-miR-3188</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hsa-miR-2467-5p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hsa-miR-4316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hsa-miR-1294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hsa-miR-4677-3p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58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hsa-miR-1914-5p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hsa-miR-7152-5p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53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hsa-miR-4286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hsa-miR-6802-3p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hsa-miR-6784-3p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hsa-miR-6862-3p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hsa-miR-4268</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hsa-miR-484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hsa-miR-3155a</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hsa-miR-3155b</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hsa-miR-6886-5p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hsa-miR-3663-3p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hsa-miR-1343-5p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hsa-miR-939-5p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hsa-miR-3175</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hsa-miR-3150a-3p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hsa-miR-6763-5p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hsa-miR-6825-5p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45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hsa-miR-8089</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hsa-miR-4700-5p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hsa-miR-4667-5p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hsa-miR-637</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hsa-miR-7155-5p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hsa-miR-4314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hsa-miR-627-3p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38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hsa-miR-6832-3p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37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hsa-miR-6756-3p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hsa-miR-3127-3p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59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hsa-miR-6826-3p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hsa-miR-6734-3p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hsa-miR-6756-3p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hsa-miR-3127-3p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hsa-miR-210-5p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hsa-miR-4749-3p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hsa-miR-1913</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hsa-miR-324-3p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hsa-miR-6890-3p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hsa-miR-1273g-3p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59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hsa-miR-4286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hsa-miR-6802-3p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hsa-miR-6784-3p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hsa-miR-6862-3p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hsa-miR-1229-3p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hsa-miR-6511b-3p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hsa-miR-6511a-3p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hsa-miR-505-5p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hsa-miR-6827-5p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hsa-miR-1343-5p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hsa-miR-939-5p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hsa-miR-3179</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hsa-miR-3154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hsa-miR-6770-5p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hsa-miR-5703</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hsa-miR-4434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hsa-miR-4516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hsa-miR-6878-5p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26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hsa-miR-6746-5p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hsa-miR-4493</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hsa-miR-4476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hsa-miR-6876-5p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hsa-miR-3125</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hsa-miR-6859-5p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40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hsa-miR-3916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35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hsa-miR-6847-5p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hsa-miR-2467-3p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hsa-miR-6511a-5p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hsa-miR-1910-3p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49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hsa-miR-4692</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hsa-miR-4514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hsa-miR-4673</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hsa-miR-4645-5p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hsa-miR-874-5p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76</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hsa-miR-6724-5p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hsa-miR-6773-5p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hsa-miR-194-3p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hsa-miR-6499-3p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hsa-miR-1245b-3p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hsa-miR-192-3p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hsa-miR-5002-3p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hsa-miR-134-5p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hsa-miR-3118</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hsa-miR-4747-5p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hsa-miR-5196-5p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hsa-miR-4755-3p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hsa-miR-4726-5p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hsa-miR-4640-5p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8mer</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hsa-miR-6508-3p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78</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hsa-miR-654-5p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hsa-miR-541-3p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hsa-miR-6766-5p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hsa-miR-6756-5p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64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hsa-miR-3656</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89</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hsa-miR-1184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hsa-miR-509-5p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hsa-miR-509-3-5p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hsa-miR-4418</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91</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hsa-miR-4761-3p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95</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hsa-miR-7843-5p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hsa-miR-4632-5p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hsa-miR-6879-5p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hsa-miR-6735-5p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hsa-miR-4436b-3p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90</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hsa-miR-2909</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hsa-miR-1296-5p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7mer-1A</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77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hsa-miR-3714</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97</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hsa-miR-548an</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hsa-miR-6733-5p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94</w:t>
            </w:r>
          </w:p>
        </w:tc>
      </w:tr>
      <w:tr w:rsidR="00F322A4" w:rsidRPr="00F322A4" w:rsidTr="00F322A4">
        <w:trPr>
          <w:trHeight w:val="285"/>
        </w:trPr>
        <w:tc>
          <w:tcPr>
            <w:tcW w:w="21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hsa-miR-6739-5p</w:t>
            </w:r>
          </w:p>
        </w:tc>
        <w:tc>
          <w:tcPr>
            <w:tcW w:w="1360"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93</w:t>
            </w:r>
          </w:p>
        </w:tc>
      </w:tr>
      <w:tr w:rsidR="00F322A4" w:rsidRPr="00F322A4" w:rsidTr="00F322A4">
        <w:trPr>
          <w:trHeight w:val="285"/>
        </w:trPr>
        <w:tc>
          <w:tcPr>
            <w:tcW w:w="2160" w:type="dxa"/>
            <w:tcBorders>
              <w:top w:val="nil"/>
              <w:left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hsa-miR-3153</w:t>
            </w:r>
          </w:p>
        </w:tc>
        <w:tc>
          <w:tcPr>
            <w:tcW w:w="1360" w:type="dxa"/>
            <w:tcBorders>
              <w:top w:val="nil"/>
              <w:left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92</w:t>
            </w:r>
          </w:p>
        </w:tc>
      </w:tr>
      <w:tr w:rsidR="00F322A4" w:rsidRPr="00F322A4" w:rsidTr="00F322A4">
        <w:trPr>
          <w:trHeight w:val="285"/>
        </w:trPr>
        <w:tc>
          <w:tcPr>
            <w:tcW w:w="2160" w:type="dxa"/>
            <w:tcBorders>
              <w:top w:val="nil"/>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hsa-miR-6783-5p</w:t>
            </w:r>
          </w:p>
        </w:tc>
        <w:tc>
          <w:tcPr>
            <w:tcW w:w="1360" w:type="dxa"/>
            <w:tcBorders>
              <w:top w:val="nil"/>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7mer-m8</w:t>
            </w:r>
          </w:p>
        </w:tc>
        <w:tc>
          <w:tcPr>
            <w:tcW w:w="2717" w:type="dxa"/>
            <w:tcBorders>
              <w:top w:val="nil"/>
              <w:left w:val="nil"/>
              <w:bottom w:val="single" w:sz="4" w:space="0" w:color="auto"/>
              <w:right w:val="nil"/>
            </w:tcBorders>
            <w:shd w:val="clear" w:color="auto" w:fill="auto"/>
            <w:noWrap/>
            <w:vAlign w:val="bottom"/>
            <w:hideMark/>
          </w:tcPr>
          <w:p w:rsidR="00F322A4" w:rsidRPr="00F322A4" w:rsidRDefault="00F322A4" w:rsidP="00F322A4">
            <w:pPr>
              <w:spacing w:after="0" w:line="240" w:lineRule="auto"/>
              <w:rPr>
                <w:rFonts w:ascii="Calibri" w:eastAsia="Times New Roman" w:hAnsi="Calibri" w:cs="Calibri"/>
                <w:color w:val="000000"/>
                <w:lang w:val="it-IT" w:eastAsia="it-IT"/>
              </w:rPr>
            </w:pPr>
            <w:r w:rsidRPr="00F322A4">
              <w:rPr>
                <w:rFonts w:ascii="Calibri" w:eastAsia="Times New Roman" w:hAnsi="Calibri" w:cs="Calibri"/>
                <w:color w:val="000000"/>
                <w:lang w:val="it-IT" w:eastAsia="it-IT"/>
              </w:rPr>
              <w:t xml:space="preserve"> 96</w:t>
            </w:r>
          </w:p>
        </w:tc>
      </w:tr>
    </w:tbl>
    <w:p w:rsidR="00F322A4" w:rsidRDefault="00F322A4"/>
    <w:p w:rsidR="00140F1F" w:rsidRDefault="00140F1F">
      <w:r>
        <w:br w:type="page"/>
      </w:r>
    </w:p>
    <w:p w:rsidR="00140F1F" w:rsidRPr="00140F1F" w:rsidRDefault="00140F1F">
      <w:pPr>
        <w:rPr>
          <w:b/>
          <w:bCs/>
          <w:sz w:val="28"/>
          <w:szCs w:val="28"/>
        </w:rPr>
      </w:pPr>
      <w:r w:rsidRPr="00140F1F">
        <w:rPr>
          <w:b/>
          <w:bCs/>
          <w:sz w:val="28"/>
          <w:szCs w:val="28"/>
        </w:rPr>
        <w:t xml:space="preserve">Figure </w:t>
      </w:r>
      <w:proofErr w:type="spellStart"/>
      <w:r w:rsidR="00CE44BD">
        <w:rPr>
          <w:b/>
          <w:bCs/>
          <w:sz w:val="28"/>
          <w:szCs w:val="28"/>
        </w:rPr>
        <w:t>S</w:t>
      </w:r>
      <w:r w:rsidRPr="00140F1F">
        <w:rPr>
          <w:b/>
          <w:bCs/>
          <w:sz w:val="28"/>
          <w:szCs w:val="28"/>
        </w:rPr>
        <w:t>1</w:t>
      </w:r>
      <w:proofErr w:type="spellEnd"/>
    </w:p>
    <w:p w:rsidR="00140F1F" w:rsidRDefault="00140F1F">
      <w:r>
        <w:rPr>
          <w:noProof/>
          <w:lang w:val="en-US"/>
        </w:rPr>
        <w:drawing>
          <wp:inline distT="0" distB="0" distL="0" distR="0">
            <wp:extent cx="6119495" cy="4585970"/>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4585970"/>
                    </a:xfrm>
                    <a:prstGeom prst="rect">
                      <a:avLst/>
                    </a:prstGeom>
                    <a:noFill/>
                    <a:ln>
                      <a:noFill/>
                    </a:ln>
                  </pic:spPr>
                </pic:pic>
              </a:graphicData>
            </a:graphic>
          </wp:inline>
        </w:drawing>
      </w:r>
    </w:p>
    <w:p w:rsidR="00140F1F" w:rsidRDefault="00140F1F">
      <w:r>
        <w:br w:type="page"/>
      </w:r>
    </w:p>
    <w:p w:rsidR="00140F1F" w:rsidRPr="00140F1F" w:rsidRDefault="00140F1F" w:rsidP="00140F1F">
      <w:pPr>
        <w:rPr>
          <w:b/>
          <w:bCs/>
          <w:sz w:val="28"/>
          <w:szCs w:val="28"/>
        </w:rPr>
      </w:pPr>
      <w:r w:rsidRPr="00140F1F">
        <w:rPr>
          <w:b/>
          <w:bCs/>
          <w:sz w:val="28"/>
          <w:szCs w:val="28"/>
        </w:rPr>
        <w:t xml:space="preserve">Figure </w:t>
      </w:r>
      <w:proofErr w:type="spellStart"/>
      <w:r w:rsidR="00CE44BD">
        <w:rPr>
          <w:b/>
          <w:bCs/>
          <w:sz w:val="28"/>
          <w:szCs w:val="28"/>
        </w:rPr>
        <w:t>S</w:t>
      </w:r>
      <w:r w:rsidRPr="00140F1F">
        <w:rPr>
          <w:b/>
          <w:bCs/>
          <w:sz w:val="28"/>
          <w:szCs w:val="28"/>
        </w:rPr>
        <w:t>2</w:t>
      </w:r>
      <w:proofErr w:type="spellEnd"/>
    </w:p>
    <w:p w:rsidR="00140F1F" w:rsidRDefault="00140F1F" w:rsidP="00140F1F">
      <w:r>
        <w:rPr>
          <w:noProof/>
          <w:lang w:val="en-US"/>
        </w:rPr>
        <w:drawing>
          <wp:inline distT="0" distB="0" distL="0" distR="0">
            <wp:extent cx="6119495" cy="81591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8159115"/>
                    </a:xfrm>
                    <a:prstGeom prst="rect">
                      <a:avLst/>
                    </a:prstGeom>
                    <a:noFill/>
                    <a:ln>
                      <a:noFill/>
                    </a:ln>
                  </pic:spPr>
                </pic:pic>
              </a:graphicData>
            </a:graphic>
          </wp:inline>
        </w:drawing>
      </w:r>
    </w:p>
    <w:p w:rsidR="00140F1F" w:rsidRDefault="00140F1F">
      <w:r>
        <w:br w:type="page"/>
      </w:r>
    </w:p>
    <w:p w:rsidR="00140F1F" w:rsidRPr="00140F1F" w:rsidRDefault="00140F1F">
      <w:pPr>
        <w:rPr>
          <w:b/>
          <w:bCs/>
          <w:sz w:val="28"/>
          <w:szCs w:val="28"/>
        </w:rPr>
      </w:pPr>
      <w:r w:rsidRPr="00140F1F">
        <w:rPr>
          <w:b/>
          <w:bCs/>
          <w:sz w:val="28"/>
          <w:szCs w:val="28"/>
        </w:rPr>
        <w:t xml:space="preserve">Figure </w:t>
      </w:r>
      <w:proofErr w:type="spellStart"/>
      <w:r w:rsidR="00CE44BD">
        <w:rPr>
          <w:b/>
          <w:bCs/>
          <w:sz w:val="28"/>
          <w:szCs w:val="28"/>
        </w:rPr>
        <w:t>S</w:t>
      </w:r>
      <w:r w:rsidRPr="00140F1F">
        <w:rPr>
          <w:b/>
          <w:bCs/>
          <w:sz w:val="28"/>
          <w:szCs w:val="28"/>
        </w:rPr>
        <w:t>3</w:t>
      </w:r>
      <w:proofErr w:type="spellEnd"/>
    </w:p>
    <w:p w:rsidR="00140F1F" w:rsidRDefault="00140F1F">
      <w:r>
        <w:rPr>
          <w:noProof/>
          <w:lang w:val="en-US"/>
        </w:rPr>
        <w:drawing>
          <wp:inline distT="0" distB="0" distL="0" distR="0">
            <wp:extent cx="6119495" cy="2967990"/>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9495" cy="2967990"/>
                    </a:xfrm>
                    <a:prstGeom prst="rect">
                      <a:avLst/>
                    </a:prstGeom>
                    <a:noFill/>
                    <a:ln>
                      <a:noFill/>
                    </a:ln>
                  </pic:spPr>
                </pic:pic>
              </a:graphicData>
            </a:graphic>
          </wp:inline>
        </w:drawing>
      </w:r>
    </w:p>
    <w:p w:rsidR="00140F1F" w:rsidRDefault="00140F1F"/>
    <w:p w:rsidR="00140F1F" w:rsidRDefault="00140F1F" w:rsidP="00140F1F">
      <w:pPr>
        <w:rPr>
          <w:b/>
          <w:bCs/>
          <w:sz w:val="28"/>
          <w:szCs w:val="28"/>
        </w:rPr>
      </w:pPr>
    </w:p>
    <w:p w:rsidR="00140F1F" w:rsidRDefault="00140F1F" w:rsidP="00140F1F">
      <w:pPr>
        <w:rPr>
          <w:b/>
          <w:bCs/>
          <w:sz w:val="28"/>
          <w:szCs w:val="28"/>
        </w:rPr>
      </w:pPr>
    </w:p>
    <w:p w:rsidR="00140F1F" w:rsidRPr="00140F1F" w:rsidRDefault="00140F1F" w:rsidP="00140F1F">
      <w:pPr>
        <w:rPr>
          <w:b/>
          <w:bCs/>
          <w:sz w:val="28"/>
          <w:szCs w:val="28"/>
        </w:rPr>
      </w:pPr>
      <w:r w:rsidRPr="00140F1F">
        <w:rPr>
          <w:b/>
          <w:bCs/>
          <w:sz w:val="28"/>
          <w:szCs w:val="28"/>
        </w:rPr>
        <w:t>Figure</w:t>
      </w:r>
      <w:r w:rsidR="00CE44BD">
        <w:rPr>
          <w:b/>
          <w:bCs/>
          <w:sz w:val="28"/>
          <w:szCs w:val="28"/>
        </w:rPr>
        <w:t xml:space="preserve"> </w:t>
      </w:r>
      <w:proofErr w:type="spellStart"/>
      <w:r w:rsidR="00CE44BD">
        <w:rPr>
          <w:b/>
          <w:bCs/>
          <w:sz w:val="28"/>
          <w:szCs w:val="28"/>
        </w:rPr>
        <w:t>S</w:t>
      </w:r>
      <w:r>
        <w:rPr>
          <w:b/>
          <w:bCs/>
          <w:sz w:val="28"/>
          <w:szCs w:val="28"/>
        </w:rPr>
        <w:t>4</w:t>
      </w:r>
      <w:proofErr w:type="spellEnd"/>
    </w:p>
    <w:p w:rsidR="00140F1F" w:rsidRDefault="00140F1F">
      <w:r>
        <w:rPr>
          <w:noProof/>
          <w:lang w:val="en-US"/>
        </w:rPr>
        <w:drawing>
          <wp:inline distT="0" distB="0" distL="0" distR="0">
            <wp:extent cx="5282419" cy="4089051"/>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696" cy="4092362"/>
                    </a:xfrm>
                    <a:prstGeom prst="rect">
                      <a:avLst/>
                    </a:prstGeom>
                    <a:noFill/>
                    <a:ln>
                      <a:noFill/>
                    </a:ln>
                  </pic:spPr>
                </pic:pic>
              </a:graphicData>
            </a:graphic>
          </wp:inline>
        </w:drawing>
      </w:r>
    </w:p>
    <w:p w:rsidR="00140F1F" w:rsidRPr="00140F1F" w:rsidRDefault="00140F1F" w:rsidP="00140F1F">
      <w:pPr>
        <w:rPr>
          <w:b/>
          <w:bCs/>
          <w:sz w:val="28"/>
          <w:szCs w:val="28"/>
        </w:rPr>
      </w:pPr>
      <w:r w:rsidRPr="00140F1F">
        <w:rPr>
          <w:b/>
          <w:bCs/>
          <w:sz w:val="28"/>
          <w:szCs w:val="28"/>
        </w:rPr>
        <w:t xml:space="preserve">Figure </w:t>
      </w:r>
      <w:r w:rsidR="00CE44BD">
        <w:rPr>
          <w:b/>
          <w:bCs/>
          <w:sz w:val="28"/>
          <w:szCs w:val="28"/>
        </w:rPr>
        <w:t>S</w:t>
      </w:r>
      <w:r>
        <w:rPr>
          <w:b/>
          <w:bCs/>
          <w:sz w:val="28"/>
          <w:szCs w:val="28"/>
        </w:rPr>
        <w:t>5</w:t>
      </w:r>
      <w:bookmarkStart w:id="0" w:name="_GoBack"/>
      <w:bookmarkEnd w:id="0"/>
      <w:r>
        <w:rPr>
          <w:b/>
          <w:bCs/>
          <w:noProof/>
          <w:sz w:val="28"/>
          <w:szCs w:val="28"/>
          <w:lang w:val="en-US"/>
        </w:rPr>
        <w:drawing>
          <wp:inline distT="0" distB="0" distL="0" distR="0">
            <wp:extent cx="6231988" cy="477050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3071" cy="4771336"/>
                    </a:xfrm>
                    <a:prstGeom prst="rect">
                      <a:avLst/>
                    </a:prstGeom>
                    <a:noFill/>
                    <a:ln>
                      <a:noFill/>
                    </a:ln>
                  </pic:spPr>
                </pic:pic>
              </a:graphicData>
            </a:graphic>
          </wp:inline>
        </w:drawing>
      </w:r>
    </w:p>
    <w:p w:rsidR="00140F1F" w:rsidRDefault="00140F1F"/>
    <w:p w:rsidR="00140F1F" w:rsidRDefault="00140F1F"/>
    <w:sectPr w:rsidR="00140F1F" w:rsidSect="009921D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283"/>
  <w:characterSpacingControl w:val="doNotCompress"/>
  <w:compat/>
  <w:rsids>
    <w:rsidRoot w:val="00D40D9E"/>
    <w:rsid w:val="001339F3"/>
    <w:rsid w:val="00140F1F"/>
    <w:rsid w:val="001532A8"/>
    <w:rsid w:val="00205CC4"/>
    <w:rsid w:val="0024072C"/>
    <w:rsid w:val="003349FD"/>
    <w:rsid w:val="004A41AB"/>
    <w:rsid w:val="0059068D"/>
    <w:rsid w:val="00591E36"/>
    <w:rsid w:val="006D0233"/>
    <w:rsid w:val="00723D4B"/>
    <w:rsid w:val="007C2708"/>
    <w:rsid w:val="00922973"/>
    <w:rsid w:val="00951A49"/>
    <w:rsid w:val="009921DB"/>
    <w:rsid w:val="00A41A82"/>
    <w:rsid w:val="00A93684"/>
    <w:rsid w:val="00B00288"/>
    <w:rsid w:val="00B04546"/>
    <w:rsid w:val="00CD70E4"/>
    <w:rsid w:val="00CD7EB7"/>
    <w:rsid w:val="00CE44BD"/>
    <w:rsid w:val="00D062E9"/>
    <w:rsid w:val="00D40D9E"/>
    <w:rsid w:val="00E77734"/>
    <w:rsid w:val="00F322A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1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40D9E"/>
    <w:pPr>
      <w:spacing w:after="0" w:line="240" w:lineRule="auto"/>
    </w:pPr>
    <w:rPr>
      <w:rFonts w:ascii="Arial" w:hAnsi="Arial" w:cs="Arial"/>
      <w:color w:val="212121"/>
      <w:sz w:val="24"/>
      <w:szCs w:val="24"/>
      <w:lang w:val="en-US"/>
    </w:rPr>
  </w:style>
  <w:style w:type="paragraph" w:styleId="BalloonText">
    <w:name w:val="Balloon Text"/>
    <w:basedOn w:val="Normal"/>
    <w:link w:val="BalloonTextChar"/>
    <w:uiPriority w:val="99"/>
    <w:semiHidden/>
    <w:unhideWhenUsed/>
    <w:rsid w:val="00723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D4B"/>
    <w:rPr>
      <w:rFonts w:ascii="Segoe UI" w:hAnsi="Segoe UI" w:cs="Segoe UI"/>
      <w:sz w:val="18"/>
      <w:szCs w:val="18"/>
    </w:rPr>
  </w:style>
  <w:style w:type="character" w:styleId="Hyperlink">
    <w:name w:val="Hyperlink"/>
    <w:basedOn w:val="DefaultParagraphFont"/>
    <w:uiPriority w:val="99"/>
    <w:unhideWhenUsed/>
    <w:rsid w:val="001339F3"/>
    <w:rPr>
      <w:color w:val="0000FF"/>
      <w:u w:val="single"/>
    </w:rPr>
  </w:style>
  <w:style w:type="character" w:styleId="FollowedHyperlink">
    <w:name w:val="FollowedHyperlink"/>
    <w:basedOn w:val="DefaultParagraphFont"/>
    <w:uiPriority w:val="99"/>
    <w:semiHidden/>
    <w:unhideWhenUsed/>
    <w:rsid w:val="00B0454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96457757">
      <w:bodyDiv w:val="1"/>
      <w:marLeft w:val="0"/>
      <w:marRight w:val="0"/>
      <w:marTop w:val="0"/>
      <w:marBottom w:val="0"/>
      <w:divBdr>
        <w:top w:val="none" w:sz="0" w:space="0" w:color="auto"/>
        <w:left w:val="none" w:sz="0" w:space="0" w:color="auto"/>
        <w:bottom w:val="none" w:sz="0" w:space="0" w:color="auto"/>
        <w:right w:val="none" w:sz="0" w:space="0" w:color="auto"/>
      </w:divBdr>
    </w:div>
    <w:div w:id="132038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1801</Words>
  <Characters>10271</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De Rosa</dc:creator>
  <cp:keywords/>
  <dc:description/>
  <cp:lastModifiedBy>0011692</cp:lastModifiedBy>
  <cp:revision>3</cp:revision>
  <dcterms:created xsi:type="dcterms:W3CDTF">2020-04-24T21:37:00Z</dcterms:created>
  <dcterms:modified xsi:type="dcterms:W3CDTF">2020-05-10T17:01:00Z</dcterms:modified>
</cp:coreProperties>
</file>