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A2" w:rsidRPr="00605083" w:rsidRDefault="001A25A2" w:rsidP="001A25A2">
      <w:pPr>
        <w:pStyle w:val="Kop1zondernummer"/>
        <w:rPr>
          <w:rFonts w:ascii="Times New Roman" w:hAnsi="Times New Roman"/>
          <w:sz w:val="24"/>
          <w:szCs w:val="24"/>
        </w:rPr>
      </w:pPr>
      <w:r w:rsidRPr="00605083">
        <w:rPr>
          <w:rFonts w:ascii="Times New Roman" w:hAnsi="Times New Roman"/>
          <w:sz w:val="24"/>
          <w:szCs w:val="24"/>
        </w:rPr>
        <w:t xml:space="preserve">Supplementary </w:t>
      </w:r>
      <w:r>
        <w:rPr>
          <w:rFonts w:ascii="Times New Roman" w:hAnsi="Times New Roman"/>
          <w:sz w:val="24"/>
          <w:szCs w:val="24"/>
        </w:rPr>
        <w:t>Text</w:t>
      </w:r>
      <w:r w:rsidRPr="00605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605083">
        <w:rPr>
          <w:rFonts w:ascii="Times New Roman" w:hAnsi="Times New Roman"/>
          <w:sz w:val="24"/>
          <w:szCs w:val="24"/>
        </w:rPr>
        <w:t>1 Probiotics Administration Protocol</w:t>
      </w:r>
    </w:p>
    <w:p w:rsidR="001A25A2" w:rsidRPr="00605083" w:rsidRDefault="001A25A2" w:rsidP="001A25A2">
      <w:pPr>
        <w:rPr>
          <w:rFonts w:ascii="Times New Roman" w:hAnsi="Times New Roman" w:cs="Times New Roman"/>
          <w:sz w:val="24"/>
          <w:szCs w:val="24"/>
        </w:rPr>
      </w:pPr>
      <w:r w:rsidRPr="00605083">
        <w:rPr>
          <w:rFonts w:ascii="Times New Roman" w:hAnsi="Times New Roman" w:cs="Times New Roman"/>
          <w:sz w:val="24"/>
          <w:szCs w:val="24"/>
        </w:rPr>
        <w:t xml:space="preserve">The Probiotics Administration Protocol below is an updated version of the protocol used by Rivas </w:t>
      </w:r>
      <w:proofErr w:type="spellStart"/>
      <w:r w:rsidRPr="00605083">
        <w:rPr>
          <w:rFonts w:ascii="Times New Roman" w:hAnsi="Times New Roman" w:cs="Times New Roman"/>
          <w:sz w:val="24"/>
          <w:szCs w:val="24"/>
        </w:rPr>
        <w:t>Zorggroep</w:t>
      </w:r>
      <w:proofErr w:type="spellEnd"/>
      <w:r w:rsidRPr="00605083">
        <w:rPr>
          <w:rFonts w:ascii="Times New Roman" w:hAnsi="Times New Roman" w:cs="Times New Roman"/>
          <w:sz w:val="24"/>
          <w:szCs w:val="24"/>
        </w:rPr>
        <w:t xml:space="preserve"> based on the focus group discus</w:t>
      </w:r>
      <w:bookmarkStart w:id="0" w:name="_GoBack"/>
      <w:bookmarkEnd w:id="0"/>
      <w:r w:rsidRPr="00605083">
        <w:rPr>
          <w:rFonts w:ascii="Times New Roman" w:hAnsi="Times New Roman" w:cs="Times New Roman"/>
          <w:sz w:val="24"/>
          <w:szCs w:val="24"/>
        </w:rPr>
        <w:t>sions.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A25A2" w:rsidRPr="00605083" w:rsidTr="00333944">
        <w:trPr>
          <w:trHeight w:val="402"/>
        </w:trPr>
        <w:tc>
          <w:tcPr>
            <w:tcW w:w="5000" w:type="pct"/>
          </w:tcPr>
          <w:p w:rsidR="001A25A2" w:rsidRPr="00605083" w:rsidRDefault="001A25A2" w:rsidP="00333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b/>
                <w:sz w:val="24"/>
                <w:szCs w:val="24"/>
              </w:rPr>
              <w:t>Administration of probiotics (powder form)</w:t>
            </w:r>
          </w:p>
        </w:tc>
      </w:tr>
      <w:tr w:rsidR="001A25A2" w:rsidRPr="00605083" w:rsidTr="00333944">
        <w:tc>
          <w:tcPr>
            <w:tcW w:w="5000" w:type="pct"/>
          </w:tcPr>
          <w:p w:rsidR="001A25A2" w:rsidRPr="00605083" w:rsidRDefault="001A25A2" w:rsidP="001A25A2">
            <w:pPr>
              <w:pStyle w:val="Stijl12ptVet"/>
              <w:spacing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605083">
              <w:rPr>
                <w:rFonts w:ascii="Times New Roman" w:hAnsi="Times New Roman"/>
                <w:sz w:val="24"/>
                <w:lang w:val="en-GB"/>
              </w:rPr>
              <w:t>Aim</w:t>
            </w:r>
          </w:p>
          <w:p w:rsidR="001A25A2" w:rsidRPr="00605083" w:rsidRDefault="001A25A2" w:rsidP="001A2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g</w:t>
            </w: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>uidelines for correct administration of probiotics</w:t>
            </w:r>
          </w:p>
          <w:p w:rsidR="001A25A2" w:rsidRPr="00605083" w:rsidRDefault="001A25A2" w:rsidP="001A25A2">
            <w:pPr>
              <w:pStyle w:val="Stijl12ptVet"/>
              <w:spacing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605083">
              <w:rPr>
                <w:rFonts w:ascii="Times New Roman" w:hAnsi="Times New Roman"/>
                <w:sz w:val="24"/>
                <w:lang w:val="en-GB"/>
              </w:rPr>
              <w:t>Target group</w:t>
            </w:r>
          </w:p>
          <w:p w:rsidR="001A25A2" w:rsidRPr="00605083" w:rsidRDefault="001A25A2" w:rsidP="001A2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>This document is meant for nursing staff working in nursing homes.</w:t>
            </w:r>
          </w:p>
          <w:p w:rsidR="001A25A2" w:rsidRPr="00605083" w:rsidRDefault="001A25A2" w:rsidP="001A25A2">
            <w:pPr>
              <w:pStyle w:val="Stijl12ptVet"/>
              <w:spacing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605083">
              <w:rPr>
                <w:rFonts w:ascii="Times New Roman" w:hAnsi="Times New Roman"/>
                <w:sz w:val="24"/>
                <w:lang w:val="en-GB"/>
              </w:rPr>
              <w:t>Materials</w:t>
            </w:r>
          </w:p>
          <w:p w:rsidR="001A25A2" w:rsidRPr="00605083" w:rsidRDefault="001A25A2" w:rsidP="001A25A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 xml:space="preserve"> 5 g sachet of probiotics (powder form)</w:t>
            </w:r>
          </w:p>
          <w:p w:rsidR="001A25A2" w:rsidRPr="00605083" w:rsidRDefault="001A25A2" w:rsidP="001A25A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>100 ml water, dessert, milk or (drink)yoghurt</w:t>
            </w:r>
          </w:p>
          <w:p w:rsidR="001A25A2" w:rsidRPr="00605083" w:rsidRDefault="001A25A2" w:rsidP="001A25A2">
            <w:pPr>
              <w:pStyle w:val="Stijl12ptVet"/>
              <w:spacing w:line="240" w:lineRule="auto"/>
              <w:rPr>
                <w:rFonts w:ascii="Times New Roman" w:hAnsi="Times New Roman"/>
                <w:sz w:val="24"/>
                <w:lang w:val="en-GB"/>
              </w:rPr>
            </w:pPr>
            <w:r w:rsidRPr="00605083">
              <w:rPr>
                <w:rFonts w:ascii="Times New Roman" w:hAnsi="Times New Roman"/>
                <w:sz w:val="24"/>
                <w:lang w:val="en-GB"/>
              </w:rPr>
              <w:t>Description of the administration procedure</w:t>
            </w:r>
          </w:p>
          <w:p w:rsidR="001A25A2" w:rsidRPr="00605083" w:rsidRDefault="001A25A2" w:rsidP="001A25A2">
            <w:pPr>
              <w:pStyle w:val="Lijstaline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b/>
                <w:sz w:val="24"/>
                <w:szCs w:val="24"/>
              </w:rPr>
              <w:t>General considerations</w:t>
            </w:r>
          </w:p>
          <w:p w:rsidR="001A25A2" w:rsidRPr="00605083" w:rsidRDefault="001A25A2" w:rsidP="001A25A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>Mix the powder with 100 ml water, dessert, milk or (drink)yoghurt. Don’t mix it with fruit juice, fruit compote, carbonized drinks or warm drinks. Stir well before use.</w:t>
            </w:r>
          </w:p>
          <w:p w:rsidR="001A25A2" w:rsidRPr="00605083" w:rsidRDefault="001A25A2" w:rsidP="001A25A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>Administer probiotics at least 2-3 hours before or after the administration of antibiotics.</w:t>
            </w:r>
          </w:p>
          <w:p w:rsidR="001A25A2" w:rsidRPr="00605083" w:rsidRDefault="001A25A2" w:rsidP="001A25A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 xml:space="preserve">Administer probiotics twice per day from the start of antibiotics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 xml:space="preserve"> up to 1 week after finishing the antibiotics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5A2" w:rsidRPr="00605083" w:rsidRDefault="001A25A2" w:rsidP="001A25A2">
            <w:pPr>
              <w:pStyle w:val="Lijstalinea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2" w:rsidRPr="00605083" w:rsidRDefault="001A25A2" w:rsidP="001A25A2">
            <w:pPr>
              <w:pStyle w:val="Lijstaline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b/>
                <w:sz w:val="24"/>
                <w:szCs w:val="24"/>
              </w:rPr>
              <w:t>In case of swallowing problems</w:t>
            </w:r>
          </w:p>
          <w:p w:rsidR="001A25A2" w:rsidRPr="00605083" w:rsidRDefault="001A25A2" w:rsidP="001A25A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Mix probiotics with thickener, dessert or pudding. Don’t thicken with fruit compote and/or warm foods.</w:t>
            </w:r>
          </w:p>
          <w:p w:rsidR="001A25A2" w:rsidRPr="00605083" w:rsidRDefault="001A25A2" w:rsidP="001A25A2">
            <w:pPr>
              <w:pStyle w:val="Lijstalinea"/>
              <w:spacing w:after="0" w:line="240" w:lineRule="auto"/>
              <w:ind w:left="14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A25A2" w:rsidRPr="00605083" w:rsidRDefault="001A25A2" w:rsidP="001A25A2">
            <w:pPr>
              <w:pStyle w:val="Lijstaline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b/>
                <w:sz w:val="24"/>
                <w:szCs w:val="24"/>
              </w:rPr>
              <w:t>In case of probe feeding</w:t>
            </w:r>
          </w:p>
          <w:p w:rsidR="001A25A2" w:rsidRPr="00605083" w:rsidRDefault="001A25A2" w:rsidP="001A25A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 xml:space="preserve">Mix the powder with 100 ml water. Stir well before administration by probe. Don’t administer probiotics when the probe is positioned past the stomach. </w:t>
            </w:r>
          </w:p>
          <w:p w:rsidR="001A25A2" w:rsidRPr="00605083" w:rsidRDefault="001A25A2" w:rsidP="001A25A2">
            <w:pPr>
              <w:pStyle w:val="Lijstalinea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2" w:rsidRPr="00605083" w:rsidRDefault="001A25A2" w:rsidP="001A25A2">
            <w:pPr>
              <w:pStyle w:val="Lijstalinea"/>
              <w:tabs>
                <w:tab w:val="center" w:pos="452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case of diarrhoea </w:t>
            </w:r>
            <w:r w:rsidRPr="006050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A25A2" w:rsidRPr="00605083" w:rsidRDefault="001A25A2" w:rsidP="001A25A2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 xml:space="preserve">Probiotics administration is allowed in cases of diarrhoea. </w:t>
            </w:r>
          </w:p>
          <w:p w:rsidR="001A25A2" w:rsidRPr="00605083" w:rsidRDefault="001A25A2" w:rsidP="001A25A2">
            <w:pPr>
              <w:pStyle w:val="Lijstalinea"/>
              <w:spacing w:before="100" w:beforeAutospacing="1" w:after="100" w:afterAutospacing="1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A2" w:rsidRPr="00605083" w:rsidRDefault="001A25A2" w:rsidP="001A25A2">
            <w:pPr>
              <w:pStyle w:val="Lijstaline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b/>
                <w:sz w:val="24"/>
                <w:szCs w:val="24"/>
              </w:rPr>
              <w:t>In case of lactose intolerance</w:t>
            </w:r>
          </w:p>
          <w:p w:rsidR="001A25A2" w:rsidRPr="00605083" w:rsidRDefault="001A25A2" w:rsidP="001A25A2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>Probiotics can be used in cases of lactose intolerance.</w:t>
            </w:r>
          </w:p>
          <w:p w:rsidR="001A25A2" w:rsidRPr="00605083" w:rsidRDefault="001A25A2" w:rsidP="001A25A2">
            <w:pPr>
              <w:pStyle w:val="Lijstalinea"/>
              <w:tabs>
                <w:tab w:val="center" w:pos="452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5A2" w:rsidRPr="00605083" w:rsidRDefault="001A25A2" w:rsidP="001A25A2">
            <w:pPr>
              <w:pStyle w:val="Lijstalinea"/>
              <w:tabs>
                <w:tab w:val="center" w:pos="452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case of laxative use </w:t>
            </w:r>
            <w:r w:rsidRPr="006050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A25A2" w:rsidRPr="00605083" w:rsidRDefault="001A25A2" w:rsidP="001A25A2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83">
              <w:rPr>
                <w:rFonts w:ascii="Times New Roman" w:hAnsi="Times New Roman" w:cs="Times New Roman"/>
                <w:sz w:val="24"/>
                <w:szCs w:val="24"/>
              </w:rPr>
              <w:t xml:space="preserve">Probiotics administration is allowed in conjunction with laxatives. </w:t>
            </w:r>
          </w:p>
        </w:tc>
      </w:tr>
    </w:tbl>
    <w:p w:rsidR="001A25A2" w:rsidRPr="00516D94" w:rsidRDefault="001A25A2" w:rsidP="001A25A2"/>
    <w:p w:rsidR="00424267" w:rsidRDefault="00424267"/>
    <w:sectPr w:rsidR="0042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91"/>
    <w:multiLevelType w:val="hybridMultilevel"/>
    <w:tmpl w:val="450E7C3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A2"/>
    <w:rsid w:val="00051845"/>
    <w:rsid w:val="000A2BF1"/>
    <w:rsid w:val="000C3B44"/>
    <w:rsid w:val="001A25A2"/>
    <w:rsid w:val="0021714E"/>
    <w:rsid w:val="00237B77"/>
    <w:rsid w:val="00237E89"/>
    <w:rsid w:val="002B7DC6"/>
    <w:rsid w:val="00357A69"/>
    <w:rsid w:val="003879FA"/>
    <w:rsid w:val="00391770"/>
    <w:rsid w:val="00421EAA"/>
    <w:rsid w:val="00424267"/>
    <w:rsid w:val="004520F7"/>
    <w:rsid w:val="0047269C"/>
    <w:rsid w:val="004841A3"/>
    <w:rsid w:val="004D580D"/>
    <w:rsid w:val="005C1784"/>
    <w:rsid w:val="0061773C"/>
    <w:rsid w:val="00693EB1"/>
    <w:rsid w:val="006E2D7F"/>
    <w:rsid w:val="006F67F1"/>
    <w:rsid w:val="00722B21"/>
    <w:rsid w:val="00752898"/>
    <w:rsid w:val="00775E10"/>
    <w:rsid w:val="00792608"/>
    <w:rsid w:val="00811C11"/>
    <w:rsid w:val="00837BC6"/>
    <w:rsid w:val="008B029C"/>
    <w:rsid w:val="008D12F6"/>
    <w:rsid w:val="008D42B0"/>
    <w:rsid w:val="008E79D9"/>
    <w:rsid w:val="00986C2E"/>
    <w:rsid w:val="00996021"/>
    <w:rsid w:val="009C69F1"/>
    <w:rsid w:val="009E13EB"/>
    <w:rsid w:val="00AA6EFC"/>
    <w:rsid w:val="00AB18CD"/>
    <w:rsid w:val="00B04921"/>
    <w:rsid w:val="00B31CAF"/>
    <w:rsid w:val="00B40FFB"/>
    <w:rsid w:val="00CB12D2"/>
    <w:rsid w:val="00CB3883"/>
    <w:rsid w:val="00CD66DF"/>
    <w:rsid w:val="00D305C1"/>
    <w:rsid w:val="00D65996"/>
    <w:rsid w:val="00DA3C70"/>
    <w:rsid w:val="00DD4A75"/>
    <w:rsid w:val="00E07234"/>
    <w:rsid w:val="00E450A6"/>
    <w:rsid w:val="00E62280"/>
    <w:rsid w:val="00E70F94"/>
    <w:rsid w:val="00E917AD"/>
    <w:rsid w:val="00F20606"/>
    <w:rsid w:val="00F2571F"/>
    <w:rsid w:val="00F367FA"/>
    <w:rsid w:val="00F40964"/>
    <w:rsid w:val="00F7458D"/>
    <w:rsid w:val="00F9480A"/>
    <w:rsid w:val="00FC3FA3"/>
    <w:rsid w:val="00FD7574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F6EAB-9371-4E54-A9F7-FC6CDA9E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5A2"/>
    <w:pPr>
      <w:spacing w:after="200" w:line="276" w:lineRule="auto"/>
    </w:pPr>
    <w:rPr>
      <w:rFonts w:asciiTheme="majorHAnsi" w:hAnsiTheme="majorHAnsi" w:cstheme="majorBidi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1A25A2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25A2"/>
    <w:pPr>
      <w:ind w:left="720"/>
      <w:contextualSpacing/>
    </w:pPr>
  </w:style>
  <w:style w:type="table" w:styleId="Tabelraster">
    <w:name w:val="Table Grid"/>
    <w:aliases w:val="Tabelraster LBI"/>
    <w:basedOn w:val="Standaardtabel"/>
    <w:uiPriority w:val="39"/>
    <w:rsid w:val="001A25A2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zondernummer">
    <w:name w:val="Kop 1 zonder nummer"/>
    <w:basedOn w:val="Kop1"/>
    <w:next w:val="Standaard"/>
    <w:qFormat/>
    <w:rsid w:val="001A25A2"/>
    <w:pPr>
      <w:keepLines w:val="0"/>
      <w:spacing w:before="0" w:after="360" w:line="240" w:lineRule="auto"/>
    </w:pPr>
    <w:rPr>
      <w:rFonts w:ascii="Calibri" w:eastAsia="Times New Roman" w:hAnsi="Calibri" w:cs="Times New Roman"/>
      <w:b/>
      <w:iCs/>
      <w:color w:val="auto"/>
      <w:kern w:val="32"/>
      <w:szCs w:val="40"/>
      <w:lang w:eastAsia="nl-NL"/>
    </w:rPr>
  </w:style>
  <w:style w:type="paragraph" w:customStyle="1" w:styleId="Stijl12ptVet">
    <w:name w:val="Stijl 12 pt Vet"/>
    <w:basedOn w:val="Standaard"/>
    <w:link w:val="Stijl12ptVetChar"/>
    <w:rsid w:val="001A25A2"/>
    <w:pPr>
      <w:spacing w:before="360" w:after="0" w:line="360" w:lineRule="auto"/>
    </w:pPr>
    <w:rPr>
      <w:rFonts w:ascii="Century Gothic" w:eastAsia="Times New Roman" w:hAnsi="Century Gothic" w:cs="Times New Roman"/>
      <w:b/>
      <w:sz w:val="21"/>
      <w:szCs w:val="24"/>
      <w:lang w:val="nl-NL" w:eastAsia="nl-NL"/>
    </w:rPr>
  </w:style>
  <w:style w:type="character" w:customStyle="1" w:styleId="Stijl12ptVetChar">
    <w:name w:val="Stijl 12 pt Vet Char"/>
    <w:basedOn w:val="Standaardalinea-lettertype"/>
    <w:link w:val="Stijl12ptVet"/>
    <w:rsid w:val="001A25A2"/>
    <w:rPr>
      <w:rFonts w:ascii="Century Gothic" w:eastAsia="Times New Roman" w:hAnsi="Century Gothic" w:cs="Times New Roman"/>
      <w:b/>
      <w:sz w:val="21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A25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van Wietmarschen</dc:creator>
  <cp:keywords/>
  <dc:description/>
  <cp:lastModifiedBy>Herman van Wietmarschen</cp:lastModifiedBy>
  <cp:revision>1</cp:revision>
  <dcterms:created xsi:type="dcterms:W3CDTF">2019-08-13T09:14:00Z</dcterms:created>
  <dcterms:modified xsi:type="dcterms:W3CDTF">2019-08-13T09:16:00Z</dcterms:modified>
</cp:coreProperties>
</file>