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63A3" w14:textId="7B236ED4" w:rsidR="00DB2FAA" w:rsidRDefault="003E6E56" w:rsidP="00DB2FAA">
      <w:r>
        <w:t xml:space="preserve">Additional </w:t>
      </w:r>
      <w:r w:rsidR="00DB2FAA">
        <w:t xml:space="preserve"> File  </w:t>
      </w:r>
      <w:r w:rsidR="00CD3E40">
        <w:t>5</w:t>
      </w:r>
      <w:r w:rsidR="00383010">
        <w:t>:</w:t>
      </w:r>
      <w:bookmarkStart w:id="0" w:name="_GoBack"/>
      <w:bookmarkEnd w:id="0"/>
      <w:r w:rsidR="00DB2FAA">
        <w:t xml:space="preserve"> Level of evidence and quality assessment of survey study.</w:t>
      </w:r>
    </w:p>
    <w:tbl>
      <w:tblPr>
        <w:tblStyle w:val="TableGrid"/>
        <w:tblW w:w="15877" w:type="dxa"/>
        <w:tblInd w:w="-289" w:type="dxa"/>
        <w:tblLook w:val="04A0" w:firstRow="1" w:lastRow="0" w:firstColumn="1" w:lastColumn="0" w:noHBand="0" w:noVBand="1"/>
      </w:tblPr>
      <w:tblGrid>
        <w:gridCol w:w="1017"/>
        <w:gridCol w:w="958"/>
        <w:gridCol w:w="957"/>
        <w:gridCol w:w="800"/>
        <w:gridCol w:w="435"/>
        <w:gridCol w:w="696"/>
        <w:gridCol w:w="567"/>
        <w:gridCol w:w="771"/>
        <w:gridCol w:w="832"/>
        <w:gridCol w:w="943"/>
        <w:gridCol w:w="737"/>
        <w:gridCol w:w="691"/>
        <w:gridCol w:w="538"/>
        <w:gridCol w:w="541"/>
        <w:gridCol w:w="530"/>
        <w:gridCol w:w="440"/>
        <w:gridCol w:w="394"/>
        <w:gridCol w:w="552"/>
        <w:gridCol w:w="548"/>
        <w:gridCol w:w="552"/>
        <w:gridCol w:w="550"/>
        <w:gridCol w:w="543"/>
        <w:gridCol w:w="550"/>
        <w:gridCol w:w="735"/>
      </w:tblGrid>
      <w:tr w:rsidR="00DB2FAA" w:rsidRPr="0094476B" w14:paraId="776D8A38" w14:textId="77777777" w:rsidTr="005F5B47">
        <w:trPr>
          <w:trHeight w:val="217"/>
        </w:trPr>
        <w:tc>
          <w:tcPr>
            <w:tcW w:w="1020" w:type="dxa"/>
            <w:vMerge w:val="restart"/>
          </w:tcPr>
          <w:p w14:paraId="01B52961" w14:textId="77777777" w:rsidR="00DB2FAA" w:rsidRPr="0094476B" w:rsidRDefault="00DB2FAA" w:rsidP="005F5B47">
            <w:pPr>
              <w:rPr>
                <w:rFonts w:cstheme="minorHAnsi"/>
                <w:b/>
                <w:bCs/>
                <w:sz w:val="20"/>
                <w:szCs w:val="20"/>
              </w:rPr>
            </w:pPr>
            <w:r w:rsidRPr="0094476B">
              <w:rPr>
                <w:rFonts w:cstheme="minorHAnsi"/>
                <w:b/>
                <w:bCs/>
                <w:sz w:val="20"/>
                <w:szCs w:val="20"/>
              </w:rPr>
              <w:t>Author Year</w:t>
            </w:r>
          </w:p>
        </w:tc>
        <w:tc>
          <w:tcPr>
            <w:tcW w:w="885" w:type="dxa"/>
            <w:vMerge w:val="restart"/>
          </w:tcPr>
          <w:p w14:paraId="1E011474" w14:textId="77777777" w:rsidR="00DB2FAA" w:rsidRPr="0094476B" w:rsidRDefault="00DB2FAA" w:rsidP="005F5B47">
            <w:pPr>
              <w:rPr>
                <w:rFonts w:cstheme="minorHAnsi"/>
                <w:b/>
                <w:bCs/>
                <w:sz w:val="20"/>
                <w:szCs w:val="20"/>
              </w:rPr>
            </w:pPr>
            <w:r w:rsidRPr="0094476B">
              <w:rPr>
                <w:rFonts w:cstheme="minorHAnsi"/>
                <w:b/>
                <w:bCs/>
                <w:sz w:val="20"/>
                <w:szCs w:val="20"/>
              </w:rPr>
              <w:t>Level of Evidence</w:t>
            </w:r>
          </w:p>
          <w:p w14:paraId="2A7A720C" w14:textId="77777777" w:rsidR="00DB2FAA" w:rsidRPr="0094476B" w:rsidRDefault="00DB2FAA" w:rsidP="005F5B47">
            <w:pPr>
              <w:rPr>
                <w:rFonts w:cstheme="minorHAnsi"/>
                <w:b/>
                <w:bCs/>
                <w:sz w:val="20"/>
                <w:szCs w:val="20"/>
              </w:rPr>
            </w:pPr>
            <w:r w:rsidRPr="0094476B">
              <w:rPr>
                <w:rFonts w:cstheme="minorHAnsi"/>
                <w:b/>
                <w:bCs/>
                <w:sz w:val="20"/>
                <w:szCs w:val="20"/>
              </w:rPr>
              <w:t>Study Design</w:t>
            </w:r>
          </w:p>
          <w:p w14:paraId="367600EA" w14:textId="77777777" w:rsidR="00DB2FAA" w:rsidRPr="0094476B" w:rsidRDefault="00DB2FAA" w:rsidP="005F5B47">
            <w:pPr>
              <w:rPr>
                <w:rFonts w:cstheme="minorHAnsi"/>
                <w:sz w:val="20"/>
                <w:szCs w:val="20"/>
              </w:rPr>
            </w:pPr>
            <w:r w:rsidRPr="0094476B">
              <w:rPr>
                <w:rFonts w:cstheme="minorHAnsi"/>
                <w:b/>
                <w:bCs/>
                <w:sz w:val="20"/>
                <w:szCs w:val="20"/>
              </w:rPr>
              <w:t>OCEBM</w:t>
            </w:r>
          </w:p>
        </w:tc>
        <w:tc>
          <w:tcPr>
            <w:tcW w:w="13972" w:type="dxa"/>
            <w:gridSpan w:val="22"/>
          </w:tcPr>
          <w:p w14:paraId="680DE094" w14:textId="77777777" w:rsidR="00DB2FAA" w:rsidRPr="0094476B" w:rsidRDefault="00DB2FAA" w:rsidP="005F5B47">
            <w:pPr>
              <w:rPr>
                <w:rFonts w:cstheme="minorHAnsi"/>
                <w:b/>
                <w:bCs/>
                <w:sz w:val="20"/>
                <w:szCs w:val="20"/>
              </w:rPr>
            </w:pPr>
            <w:r w:rsidRPr="0094476B">
              <w:rPr>
                <w:rFonts w:cstheme="minorHAnsi"/>
                <w:b/>
                <w:bCs/>
                <w:sz w:val="20"/>
                <w:szCs w:val="20"/>
              </w:rPr>
              <w:t>Quality Assessment Burns and Kho Assessment Tool for Surveys</w:t>
            </w:r>
          </w:p>
        </w:tc>
      </w:tr>
      <w:tr w:rsidR="00DB2FAA" w:rsidRPr="0094476B" w14:paraId="59CE7BE2" w14:textId="77777777" w:rsidTr="005F5B47">
        <w:trPr>
          <w:trHeight w:val="422"/>
        </w:trPr>
        <w:tc>
          <w:tcPr>
            <w:tcW w:w="1020" w:type="dxa"/>
            <w:vMerge/>
          </w:tcPr>
          <w:p w14:paraId="405C7B3B" w14:textId="77777777" w:rsidR="00DB2FAA" w:rsidRPr="0094476B" w:rsidRDefault="00DB2FAA" w:rsidP="005F5B47">
            <w:pPr>
              <w:rPr>
                <w:rFonts w:cstheme="minorHAnsi"/>
                <w:sz w:val="18"/>
                <w:szCs w:val="18"/>
              </w:rPr>
            </w:pPr>
          </w:p>
        </w:tc>
        <w:tc>
          <w:tcPr>
            <w:tcW w:w="885" w:type="dxa"/>
            <w:vMerge/>
          </w:tcPr>
          <w:p w14:paraId="36F06E0F" w14:textId="77777777" w:rsidR="00DB2FAA" w:rsidRPr="0094476B" w:rsidRDefault="00DB2FAA" w:rsidP="005F5B47">
            <w:pPr>
              <w:rPr>
                <w:rFonts w:cstheme="minorHAnsi"/>
                <w:sz w:val="18"/>
                <w:szCs w:val="18"/>
              </w:rPr>
            </w:pPr>
          </w:p>
        </w:tc>
        <w:tc>
          <w:tcPr>
            <w:tcW w:w="883" w:type="dxa"/>
          </w:tcPr>
          <w:p w14:paraId="40BB174E" w14:textId="77777777" w:rsidR="00DB2FAA" w:rsidRPr="0094476B" w:rsidRDefault="00DB2FAA" w:rsidP="005F5B47">
            <w:pPr>
              <w:rPr>
                <w:rFonts w:cstheme="minorHAnsi"/>
                <w:sz w:val="20"/>
                <w:szCs w:val="20"/>
              </w:rPr>
            </w:pPr>
            <w:r w:rsidRPr="0094476B">
              <w:rPr>
                <w:rFonts w:cstheme="minorHAnsi"/>
                <w:sz w:val="20"/>
                <w:szCs w:val="20"/>
              </w:rPr>
              <w:t xml:space="preserve">1) </w:t>
            </w:r>
          </w:p>
          <w:p w14:paraId="6479EDB7" w14:textId="77777777" w:rsidR="00DB2FAA" w:rsidRPr="0094476B" w:rsidRDefault="00DB2FAA" w:rsidP="005F5B47">
            <w:pPr>
              <w:rPr>
                <w:rFonts w:cstheme="minorHAnsi"/>
                <w:sz w:val="20"/>
                <w:szCs w:val="20"/>
              </w:rPr>
            </w:pPr>
            <w:r w:rsidRPr="0094476B">
              <w:rPr>
                <w:rFonts w:cstheme="minorHAnsi"/>
                <w:sz w:val="20"/>
                <w:szCs w:val="20"/>
              </w:rPr>
              <w:t>Question</w:t>
            </w:r>
          </w:p>
        </w:tc>
        <w:tc>
          <w:tcPr>
            <w:tcW w:w="1246" w:type="dxa"/>
            <w:gridSpan w:val="2"/>
          </w:tcPr>
          <w:p w14:paraId="34A17247" w14:textId="77777777" w:rsidR="00DB2FAA" w:rsidRPr="0094476B" w:rsidRDefault="00DB2FAA" w:rsidP="005F5B47">
            <w:pPr>
              <w:rPr>
                <w:rFonts w:cstheme="minorHAnsi"/>
                <w:sz w:val="20"/>
                <w:szCs w:val="20"/>
              </w:rPr>
            </w:pPr>
            <w:r w:rsidRPr="0094476B">
              <w:rPr>
                <w:rFonts w:cstheme="minorHAnsi"/>
                <w:sz w:val="20"/>
                <w:szCs w:val="20"/>
              </w:rPr>
              <w:t xml:space="preserve">2) </w:t>
            </w:r>
          </w:p>
          <w:p w14:paraId="30A9DDBE" w14:textId="77777777" w:rsidR="00DB2FAA" w:rsidRPr="0094476B" w:rsidRDefault="00DB2FAA" w:rsidP="005F5B47">
            <w:pPr>
              <w:rPr>
                <w:rFonts w:cstheme="minorHAnsi"/>
                <w:sz w:val="20"/>
                <w:szCs w:val="20"/>
              </w:rPr>
            </w:pPr>
            <w:r w:rsidRPr="0094476B">
              <w:rPr>
                <w:rFonts w:cstheme="minorHAnsi"/>
                <w:sz w:val="20"/>
                <w:szCs w:val="20"/>
              </w:rPr>
              <w:t>Population</w:t>
            </w:r>
          </w:p>
        </w:tc>
        <w:tc>
          <w:tcPr>
            <w:tcW w:w="2089" w:type="dxa"/>
            <w:gridSpan w:val="3"/>
          </w:tcPr>
          <w:p w14:paraId="7FAC9497" w14:textId="77777777" w:rsidR="00DB2FAA" w:rsidRPr="0094476B" w:rsidRDefault="00DB2FAA" w:rsidP="005F5B47">
            <w:pPr>
              <w:rPr>
                <w:rFonts w:cstheme="minorHAnsi"/>
                <w:sz w:val="20"/>
                <w:szCs w:val="20"/>
              </w:rPr>
            </w:pPr>
            <w:r w:rsidRPr="0094476B">
              <w:rPr>
                <w:rFonts w:cstheme="minorHAnsi"/>
                <w:sz w:val="20"/>
                <w:szCs w:val="20"/>
              </w:rPr>
              <w:t>3)</w:t>
            </w:r>
          </w:p>
          <w:p w14:paraId="1ACD6B81" w14:textId="77777777" w:rsidR="00DB2FAA" w:rsidRPr="0094476B" w:rsidRDefault="00DB2FAA" w:rsidP="005F5B47">
            <w:pPr>
              <w:rPr>
                <w:rFonts w:cstheme="minorHAnsi"/>
                <w:sz w:val="20"/>
                <w:szCs w:val="20"/>
              </w:rPr>
            </w:pPr>
            <w:r w:rsidRPr="0094476B">
              <w:rPr>
                <w:rFonts w:cstheme="minorHAnsi"/>
                <w:sz w:val="20"/>
                <w:szCs w:val="20"/>
              </w:rPr>
              <w:t xml:space="preserve">Develop Questionnaire </w:t>
            </w:r>
          </w:p>
        </w:tc>
        <w:tc>
          <w:tcPr>
            <w:tcW w:w="1808" w:type="dxa"/>
            <w:gridSpan w:val="2"/>
          </w:tcPr>
          <w:p w14:paraId="55A1F713" w14:textId="77777777" w:rsidR="00DB2FAA" w:rsidRPr="0094476B" w:rsidRDefault="00DB2FAA" w:rsidP="005F5B47">
            <w:pPr>
              <w:rPr>
                <w:rFonts w:cstheme="minorHAnsi"/>
                <w:sz w:val="20"/>
                <w:szCs w:val="20"/>
              </w:rPr>
            </w:pPr>
            <w:r w:rsidRPr="0094476B">
              <w:rPr>
                <w:rFonts w:cstheme="minorHAnsi"/>
                <w:sz w:val="20"/>
                <w:szCs w:val="20"/>
              </w:rPr>
              <w:t>4)</w:t>
            </w:r>
          </w:p>
          <w:p w14:paraId="41906B1E" w14:textId="77777777" w:rsidR="00DB2FAA" w:rsidRPr="0094476B" w:rsidRDefault="00DB2FAA" w:rsidP="005F5B47">
            <w:pPr>
              <w:rPr>
                <w:rFonts w:cstheme="minorHAnsi"/>
                <w:sz w:val="20"/>
                <w:szCs w:val="20"/>
              </w:rPr>
            </w:pPr>
            <w:r w:rsidRPr="0094476B">
              <w:rPr>
                <w:rFonts w:cstheme="minorHAnsi"/>
                <w:sz w:val="20"/>
                <w:szCs w:val="20"/>
              </w:rPr>
              <w:t>Testing Questionnaire</w:t>
            </w:r>
          </w:p>
        </w:tc>
        <w:tc>
          <w:tcPr>
            <w:tcW w:w="1342" w:type="dxa"/>
            <w:gridSpan w:val="2"/>
          </w:tcPr>
          <w:p w14:paraId="5C6A4838" w14:textId="77777777" w:rsidR="00DB2FAA" w:rsidRPr="0094476B" w:rsidRDefault="00DB2FAA" w:rsidP="005F5B47">
            <w:pPr>
              <w:rPr>
                <w:rFonts w:cstheme="minorHAnsi"/>
                <w:sz w:val="20"/>
                <w:szCs w:val="20"/>
              </w:rPr>
            </w:pPr>
            <w:r w:rsidRPr="0094476B">
              <w:rPr>
                <w:rFonts w:cstheme="minorHAnsi"/>
                <w:sz w:val="20"/>
                <w:szCs w:val="20"/>
              </w:rPr>
              <w:t>5)</w:t>
            </w:r>
          </w:p>
          <w:p w14:paraId="746182E1" w14:textId="77777777" w:rsidR="00DB2FAA" w:rsidRPr="0094476B" w:rsidRDefault="00DB2FAA" w:rsidP="005F5B47">
            <w:pPr>
              <w:rPr>
                <w:rFonts w:cstheme="minorHAnsi"/>
                <w:sz w:val="20"/>
                <w:szCs w:val="20"/>
              </w:rPr>
            </w:pPr>
            <w:r w:rsidRPr="0094476B">
              <w:rPr>
                <w:rFonts w:cstheme="minorHAnsi"/>
                <w:sz w:val="20"/>
                <w:szCs w:val="20"/>
              </w:rPr>
              <w:t>Administration</w:t>
            </w:r>
          </w:p>
        </w:tc>
        <w:tc>
          <w:tcPr>
            <w:tcW w:w="2075" w:type="dxa"/>
            <w:gridSpan w:val="4"/>
          </w:tcPr>
          <w:p w14:paraId="5BE6D936" w14:textId="77777777" w:rsidR="00DB2FAA" w:rsidRPr="0094476B" w:rsidRDefault="00DB2FAA" w:rsidP="005F5B47">
            <w:pPr>
              <w:rPr>
                <w:rFonts w:cstheme="minorHAnsi"/>
                <w:sz w:val="20"/>
                <w:szCs w:val="20"/>
              </w:rPr>
            </w:pPr>
            <w:r w:rsidRPr="0094476B">
              <w:rPr>
                <w:rFonts w:cstheme="minorHAnsi"/>
                <w:sz w:val="20"/>
                <w:szCs w:val="20"/>
              </w:rPr>
              <w:t>6)</w:t>
            </w:r>
          </w:p>
          <w:p w14:paraId="4227E6FA" w14:textId="77777777" w:rsidR="00DB2FAA" w:rsidRPr="0094476B" w:rsidRDefault="00DB2FAA" w:rsidP="005F5B47">
            <w:pPr>
              <w:rPr>
                <w:rFonts w:cstheme="minorHAnsi"/>
                <w:sz w:val="20"/>
                <w:szCs w:val="20"/>
              </w:rPr>
            </w:pPr>
            <w:r w:rsidRPr="0094476B">
              <w:rPr>
                <w:rFonts w:cstheme="minorHAnsi"/>
                <w:sz w:val="20"/>
                <w:szCs w:val="20"/>
              </w:rPr>
              <w:t>Response</w:t>
            </w:r>
          </w:p>
        </w:tc>
        <w:tc>
          <w:tcPr>
            <w:tcW w:w="4529" w:type="dxa"/>
            <w:gridSpan w:val="8"/>
          </w:tcPr>
          <w:p w14:paraId="0FD4D00D" w14:textId="77777777" w:rsidR="00DB2FAA" w:rsidRPr="0094476B" w:rsidRDefault="00DB2FAA" w:rsidP="005F5B47">
            <w:pPr>
              <w:rPr>
                <w:rFonts w:cstheme="minorHAnsi"/>
                <w:sz w:val="20"/>
                <w:szCs w:val="20"/>
              </w:rPr>
            </w:pPr>
            <w:r w:rsidRPr="0094476B">
              <w:rPr>
                <w:rFonts w:cstheme="minorHAnsi"/>
                <w:sz w:val="20"/>
                <w:szCs w:val="20"/>
              </w:rPr>
              <w:t xml:space="preserve">7) </w:t>
            </w:r>
          </w:p>
          <w:p w14:paraId="723E4448" w14:textId="77777777" w:rsidR="00DB2FAA" w:rsidRPr="0094476B" w:rsidRDefault="00DB2FAA" w:rsidP="005F5B47">
            <w:pPr>
              <w:rPr>
                <w:rFonts w:cstheme="minorHAnsi"/>
                <w:sz w:val="20"/>
                <w:szCs w:val="20"/>
              </w:rPr>
            </w:pPr>
            <w:r w:rsidRPr="0094476B">
              <w:rPr>
                <w:rFonts w:cstheme="minorHAnsi"/>
                <w:sz w:val="20"/>
                <w:szCs w:val="20"/>
              </w:rPr>
              <w:t>Results Reporting</w:t>
            </w:r>
          </w:p>
        </w:tc>
      </w:tr>
      <w:tr w:rsidR="00DB2FAA" w:rsidRPr="0094476B" w14:paraId="0E7E7E9C" w14:textId="77777777" w:rsidTr="005F5B47">
        <w:trPr>
          <w:trHeight w:val="215"/>
        </w:trPr>
        <w:tc>
          <w:tcPr>
            <w:tcW w:w="1020" w:type="dxa"/>
            <w:vMerge/>
          </w:tcPr>
          <w:p w14:paraId="61738582" w14:textId="77777777" w:rsidR="00DB2FAA" w:rsidRPr="0094476B" w:rsidRDefault="00DB2FAA" w:rsidP="005F5B47">
            <w:pPr>
              <w:rPr>
                <w:rFonts w:cstheme="minorHAnsi"/>
                <w:sz w:val="18"/>
                <w:szCs w:val="18"/>
              </w:rPr>
            </w:pPr>
          </w:p>
        </w:tc>
        <w:tc>
          <w:tcPr>
            <w:tcW w:w="885" w:type="dxa"/>
            <w:vMerge/>
          </w:tcPr>
          <w:p w14:paraId="27D5C876" w14:textId="77777777" w:rsidR="00DB2FAA" w:rsidRPr="0094476B" w:rsidRDefault="00DB2FAA" w:rsidP="005F5B47">
            <w:pPr>
              <w:rPr>
                <w:rFonts w:cstheme="minorHAnsi"/>
                <w:sz w:val="18"/>
                <w:szCs w:val="18"/>
              </w:rPr>
            </w:pPr>
          </w:p>
        </w:tc>
        <w:tc>
          <w:tcPr>
            <w:tcW w:w="883" w:type="dxa"/>
          </w:tcPr>
          <w:p w14:paraId="4F78107D" w14:textId="77777777" w:rsidR="00DB2FAA" w:rsidRPr="0094476B" w:rsidRDefault="00DB2FAA" w:rsidP="005F5B47">
            <w:pPr>
              <w:rPr>
                <w:rFonts w:cstheme="minorHAnsi"/>
                <w:sz w:val="18"/>
                <w:szCs w:val="18"/>
              </w:rPr>
            </w:pPr>
            <w:r w:rsidRPr="0094476B">
              <w:rPr>
                <w:rFonts w:cstheme="minorHAnsi"/>
                <w:sz w:val="18"/>
                <w:szCs w:val="18"/>
              </w:rPr>
              <w:t>1 a</w:t>
            </w:r>
          </w:p>
        </w:tc>
        <w:tc>
          <w:tcPr>
            <w:tcW w:w="810" w:type="dxa"/>
          </w:tcPr>
          <w:p w14:paraId="4C1D5909" w14:textId="77777777" w:rsidR="00DB2FAA" w:rsidRPr="0094476B" w:rsidRDefault="00DB2FAA" w:rsidP="005F5B47">
            <w:pPr>
              <w:rPr>
                <w:rFonts w:cstheme="minorHAnsi"/>
                <w:sz w:val="18"/>
                <w:szCs w:val="18"/>
              </w:rPr>
            </w:pPr>
            <w:r w:rsidRPr="0094476B">
              <w:rPr>
                <w:rFonts w:cstheme="minorHAnsi"/>
                <w:sz w:val="18"/>
                <w:szCs w:val="18"/>
              </w:rPr>
              <w:t>2a</w:t>
            </w:r>
          </w:p>
        </w:tc>
        <w:tc>
          <w:tcPr>
            <w:tcW w:w="436" w:type="dxa"/>
          </w:tcPr>
          <w:p w14:paraId="1CED8F01" w14:textId="77777777" w:rsidR="00DB2FAA" w:rsidRPr="0094476B" w:rsidRDefault="00DB2FAA" w:rsidP="005F5B47">
            <w:pPr>
              <w:rPr>
                <w:rFonts w:cstheme="minorHAnsi"/>
                <w:sz w:val="18"/>
                <w:szCs w:val="18"/>
              </w:rPr>
            </w:pPr>
            <w:r w:rsidRPr="0094476B">
              <w:rPr>
                <w:rFonts w:cstheme="minorHAnsi"/>
                <w:sz w:val="18"/>
                <w:szCs w:val="18"/>
              </w:rPr>
              <w:t>2b</w:t>
            </w:r>
          </w:p>
        </w:tc>
        <w:tc>
          <w:tcPr>
            <w:tcW w:w="714" w:type="dxa"/>
          </w:tcPr>
          <w:p w14:paraId="6093DFF2" w14:textId="77777777" w:rsidR="00DB2FAA" w:rsidRPr="0094476B" w:rsidRDefault="00DB2FAA" w:rsidP="005F5B47">
            <w:pPr>
              <w:rPr>
                <w:rFonts w:cstheme="minorHAnsi"/>
                <w:sz w:val="18"/>
                <w:szCs w:val="18"/>
              </w:rPr>
            </w:pPr>
            <w:r w:rsidRPr="0094476B">
              <w:rPr>
                <w:rFonts w:cstheme="minorHAnsi"/>
                <w:sz w:val="18"/>
                <w:szCs w:val="18"/>
              </w:rPr>
              <w:t>3a</w:t>
            </w:r>
          </w:p>
        </w:tc>
        <w:tc>
          <w:tcPr>
            <w:tcW w:w="576" w:type="dxa"/>
          </w:tcPr>
          <w:p w14:paraId="240324CD" w14:textId="77777777" w:rsidR="00DB2FAA" w:rsidRPr="0094476B" w:rsidRDefault="00DB2FAA" w:rsidP="005F5B47">
            <w:pPr>
              <w:rPr>
                <w:rFonts w:cstheme="minorHAnsi"/>
                <w:sz w:val="18"/>
                <w:szCs w:val="18"/>
              </w:rPr>
            </w:pPr>
            <w:r w:rsidRPr="0094476B">
              <w:rPr>
                <w:rFonts w:cstheme="minorHAnsi"/>
                <w:sz w:val="18"/>
                <w:szCs w:val="18"/>
              </w:rPr>
              <w:t>3b</w:t>
            </w:r>
          </w:p>
        </w:tc>
        <w:tc>
          <w:tcPr>
            <w:tcW w:w="799" w:type="dxa"/>
          </w:tcPr>
          <w:p w14:paraId="27A796CE" w14:textId="77777777" w:rsidR="00DB2FAA" w:rsidRPr="0094476B" w:rsidRDefault="00DB2FAA" w:rsidP="005F5B47">
            <w:pPr>
              <w:rPr>
                <w:rFonts w:cstheme="minorHAnsi"/>
                <w:sz w:val="18"/>
                <w:szCs w:val="18"/>
              </w:rPr>
            </w:pPr>
            <w:r w:rsidRPr="0094476B">
              <w:rPr>
                <w:rFonts w:cstheme="minorHAnsi"/>
                <w:sz w:val="18"/>
                <w:szCs w:val="18"/>
              </w:rPr>
              <w:t>3c</w:t>
            </w:r>
          </w:p>
        </w:tc>
        <w:tc>
          <w:tcPr>
            <w:tcW w:w="840" w:type="dxa"/>
          </w:tcPr>
          <w:p w14:paraId="63511781" w14:textId="77777777" w:rsidR="00DB2FAA" w:rsidRPr="0094476B" w:rsidRDefault="00DB2FAA" w:rsidP="005F5B47">
            <w:pPr>
              <w:rPr>
                <w:rFonts w:cstheme="minorHAnsi"/>
                <w:sz w:val="18"/>
                <w:szCs w:val="18"/>
              </w:rPr>
            </w:pPr>
            <w:r w:rsidRPr="0094476B">
              <w:rPr>
                <w:rFonts w:cstheme="minorHAnsi"/>
                <w:sz w:val="18"/>
                <w:szCs w:val="18"/>
              </w:rPr>
              <w:t>4a</w:t>
            </w:r>
          </w:p>
        </w:tc>
        <w:tc>
          <w:tcPr>
            <w:tcW w:w="968" w:type="dxa"/>
          </w:tcPr>
          <w:p w14:paraId="38FF9252" w14:textId="77777777" w:rsidR="00DB2FAA" w:rsidRPr="0094476B" w:rsidRDefault="00DB2FAA" w:rsidP="005F5B47">
            <w:pPr>
              <w:rPr>
                <w:rFonts w:cstheme="minorHAnsi"/>
                <w:sz w:val="18"/>
                <w:szCs w:val="18"/>
              </w:rPr>
            </w:pPr>
            <w:r w:rsidRPr="0094476B">
              <w:rPr>
                <w:rFonts w:cstheme="minorHAnsi"/>
                <w:sz w:val="18"/>
                <w:szCs w:val="18"/>
              </w:rPr>
              <w:t>4b</w:t>
            </w:r>
          </w:p>
        </w:tc>
        <w:tc>
          <w:tcPr>
            <w:tcW w:w="709" w:type="dxa"/>
          </w:tcPr>
          <w:p w14:paraId="3F9D2131" w14:textId="77777777" w:rsidR="00DB2FAA" w:rsidRPr="0094476B" w:rsidRDefault="00DB2FAA" w:rsidP="005F5B47">
            <w:pPr>
              <w:rPr>
                <w:rFonts w:cstheme="minorHAnsi"/>
                <w:sz w:val="18"/>
                <w:szCs w:val="18"/>
              </w:rPr>
            </w:pPr>
            <w:r w:rsidRPr="0094476B">
              <w:rPr>
                <w:rFonts w:cstheme="minorHAnsi"/>
                <w:sz w:val="18"/>
                <w:szCs w:val="18"/>
              </w:rPr>
              <w:t>5a</w:t>
            </w:r>
          </w:p>
        </w:tc>
        <w:tc>
          <w:tcPr>
            <w:tcW w:w="633" w:type="dxa"/>
          </w:tcPr>
          <w:p w14:paraId="0A0F20A2" w14:textId="77777777" w:rsidR="00DB2FAA" w:rsidRPr="0094476B" w:rsidRDefault="00DB2FAA" w:rsidP="005F5B47">
            <w:pPr>
              <w:rPr>
                <w:rFonts w:cstheme="minorHAnsi"/>
                <w:sz w:val="18"/>
                <w:szCs w:val="18"/>
              </w:rPr>
            </w:pPr>
            <w:r w:rsidRPr="0094476B">
              <w:rPr>
                <w:rFonts w:cstheme="minorHAnsi"/>
                <w:sz w:val="18"/>
                <w:szCs w:val="18"/>
              </w:rPr>
              <w:t>5b</w:t>
            </w:r>
          </w:p>
        </w:tc>
        <w:tc>
          <w:tcPr>
            <w:tcW w:w="550" w:type="dxa"/>
          </w:tcPr>
          <w:p w14:paraId="01639370" w14:textId="77777777" w:rsidR="00DB2FAA" w:rsidRPr="0094476B" w:rsidRDefault="00DB2FAA" w:rsidP="005F5B47">
            <w:pPr>
              <w:rPr>
                <w:rFonts w:cstheme="minorHAnsi"/>
                <w:sz w:val="18"/>
                <w:szCs w:val="18"/>
              </w:rPr>
            </w:pPr>
            <w:r w:rsidRPr="0094476B">
              <w:rPr>
                <w:rFonts w:cstheme="minorHAnsi"/>
                <w:sz w:val="18"/>
                <w:szCs w:val="18"/>
              </w:rPr>
              <w:t>6a</w:t>
            </w:r>
          </w:p>
        </w:tc>
        <w:tc>
          <w:tcPr>
            <w:tcW w:w="552" w:type="dxa"/>
          </w:tcPr>
          <w:p w14:paraId="641BE615" w14:textId="77777777" w:rsidR="00DB2FAA" w:rsidRPr="0094476B" w:rsidRDefault="00DB2FAA" w:rsidP="005F5B47">
            <w:pPr>
              <w:rPr>
                <w:rFonts w:cstheme="minorHAnsi"/>
                <w:sz w:val="18"/>
                <w:szCs w:val="18"/>
              </w:rPr>
            </w:pPr>
            <w:r w:rsidRPr="0094476B">
              <w:rPr>
                <w:rFonts w:cstheme="minorHAnsi"/>
                <w:sz w:val="18"/>
                <w:szCs w:val="18"/>
              </w:rPr>
              <w:t>6b</w:t>
            </w:r>
          </w:p>
        </w:tc>
        <w:tc>
          <w:tcPr>
            <w:tcW w:w="530" w:type="dxa"/>
          </w:tcPr>
          <w:p w14:paraId="1D56AEE4" w14:textId="77777777" w:rsidR="00DB2FAA" w:rsidRPr="0094476B" w:rsidRDefault="00DB2FAA" w:rsidP="005F5B47">
            <w:pPr>
              <w:rPr>
                <w:rFonts w:cstheme="minorHAnsi"/>
                <w:sz w:val="18"/>
                <w:szCs w:val="18"/>
              </w:rPr>
            </w:pPr>
            <w:r w:rsidRPr="0094476B">
              <w:rPr>
                <w:rFonts w:cstheme="minorHAnsi"/>
                <w:sz w:val="18"/>
                <w:szCs w:val="18"/>
              </w:rPr>
              <w:t>6c</w:t>
            </w:r>
          </w:p>
        </w:tc>
        <w:tc>
          <w:tcPr>
            <w:tcW w:w="443" w:type="dxa"/>
          </w:tcPr>
          <w:p w14:paraId="2180180D" w14:textId="77777777" w:rsidR="00DB2FAA" w:rsidRPr="0094476B" w:rsidRDefault="00DB2FAA" w:rsidP="005F5B47">
            <w:pPr>
              <w:rPr>
                <w:rFonts w:cstheme="minorHAnsi"/>
                <w:sz w:val="18"/>
                <w:szCs w:val="18"/>
              </w:rPr>
            </w:pPr>
            <w:r w:rsidRPr="0094476B">
              <w:rPr>
                <w:rFonts w:cstheme="minorHAnsi"/>
                <w:sz w:val="18"/>
                <w:szCs w:val="18"/>
              </w:rPr>
              <w:t>6d</w:t>
            </w:r>
          </w:p>
        </w:tc>
        <w:tc>
          <w:tcPr>
            <w:tcW w:w="394" w:type="dxa"/>
          </w:tcPr>
          <w:p w14:paraId="4A277F8B" w14:textId="77777777" w:rsidR="00DB2FAA" w:rsidRPr="0094476B" w:rsidRDefault="00DB2FAA" w:rsidP="005F5B47">
            <w:pPr>
              <w:rPr>
                <w:rFonts w:cstheme="minorHAnsi"/>
                <w:sz w:val="18"/>
                <w:szCs w:val="18"/>
              </w:rPr>
            </w:pPr>
            <w:r w:rsidRPr="0094476B">
              <w:rPr>
                <w:rFonts w:cstheme="minorHAnsi"/>
                <w:sz w:val="18"/>
                <w:szCs w:val="18"/>
              </w:rPr>
              <w:t>7a</w:t>
            </w:r>
          </w:p>
        </w:tc>
        <w:tc>
          <w:tcPr>
            <w:tcW w:w="564" w:type="dxa"/>
          </w:tcPr>
          <w:p w14:paraId="6854C2A6" w14:textId="77777777" w:rsidR="00DB2FAA" w:rsidRPr="0094476B" w:rsidRDefault="00DB2FAA" w:rsidP="005F5B47">
            <w:pPr>
              <w:rPr>
                <w:rFonts w:cstheme="minorHAnsi"/>
                <w:sz w:val="18"/>
                <w:szCs w:val="18"/>
              </w:rPr>
            </w:pPr>
            <w:r w:rsidRPr="0094476B">
              <w:rPr>
                <w:rFonts w:cstheme="minorHAnsi"/>
                <w:sz w:val="18"/>
                <w:szCs w:val="18"/>
              </w:rPr>
              <w:t>7b</w:t>
            </w:r>
          </w:p>
        </w:tc>
        <w:tc>
          <w:tcPr>
            <w:tcW w:w="561" w:type="dxa"/>
          </w:tcPr>
          <w:p w14:paraId="16BC3B44" w14:textId="77777777" w:rsidR="00DB2FAA" w:rsidRPr="0094476B" w:rsidRDefault="00DB2FAA" w:rsidP="005F5B47">
            <w:pPr>
              <w:rPr>
                <w:rFonts w:cstheme="minorHAnsi"/>
                <w:sz w:val="18"/>
                <w:szCs w:val="18"/>
              </w:rPr>
            </w:pPr>
            <w:r w:rsidRPr="0094476B">
              <w:rPr>
                <w:rFonts w:cstheme="minorHAnsi"/>
                <w:sz w:val="18"/>
                <w:szCs w:val="18"/>
              </w:rPr>
              <w:t>7c</w:t>
            </w:r>
          </w:p>
        </w:tc>
        <w:tc>
          <w:tcPr>
            <w:tcW w:w="564" w:type="dxa"/>
          </w:tcPr>
          <w:p w14:paraId="4E3A54D4" w14:textId="77777777" w:rsidR="00DB2FAA" w:rsidRPr="0094476B" w:rsidRDefault="00DB2FAA" w:rsidP="005F5B47">
            <w:pPr>
              <w:rPr>
                <w:rFonts w:cstheme="minorHAnsi"/>
                <w:sz w:val="18"/>
                <w:szCs w:val="18"/>
              </w:rPr>
            </w:pPr>
            <w:r w:rsidRPr="0094476B">
              <w:rPr>
                <w:rFonts w:cstheme="minorHAnsi"/>
                <w:sz w:val="18"/>
                <w:szCs w:val="18"/>
              </w:rPr>
              <w:t>7d</w:t>
            </w:r>
          </w:p>
        </w:tc>
        <w:tc>
          <w:tcPr>
            <w:tcW w:w="563" w:type="dxa"/>
          </w:tcPr>
          <w:p w14:paraId="2ED51A8A" w14:textId="77777777" w:rsidR="00DB2FAA" w:rsidRPr="0094476B" w:rsidRDefault="00DB2FAA" w:rsidP="005F5B47">
            <w:pPr>
              <w:rPr>
                <w:rFonts w:cstheme="minorHAnsi"/>
                <w:sz w:val="18"/>
                <w:szCs w:val="18"/>
              </w:rPr>
            </w:pPr>
            <w:r w:rsidRPr="0094476B">
              <w:rPr>
                <w:rFonts w:cstheme="minorHAnsi"/>
                <w:sz w:val="18"/>
                <w:szCs w:val="18"/>
              </w:rPr>
              <w:t>7e</w:t>
            </w:r>
          </w:p>
        </w:tc>
        <w:tc>
          <w:tcPr>
            <w:tcW w:w="558" w:type="dxa"/>
          </w:tcPr>
          <w:p w14:paraId="4067EB96" w14:textId="77777777" w:rsidR="00DB2FAA" w:rsidRPr="0094476B" w:rsidRDefault="00DB2FAA" w:rsidP="005F5B47">
            <w:pPr>
              <w:rPr>
                <w:rFonts w:cstheme="minorHAnsi"/>
                <w:sz w:val="18"/>
                <w:szCs w:val="18"/>
              </w:rPr>
            </w:pPr>
            <w:r w:rsidRPr="0094476B">
              <w:rPr>
                <w:rFonts w:cstheme="minorHAnsi"/>
                <w:sz w:val="18"/>
                <w:szCs w:val="18"/>
              </w:rPr>
              <w:t>7f</w:t>
            </w:r>
          </w:p>
        </w:tc>
        <w:tc>
          <w:tcPr>
            <w:tcW w:w="563" w:type="dxa"/>
          </w:tcPr>
          <w:p w14:paraId="6DC5AFF5" w14:textId="77777777" w:rsidR="00DB2FAA" w:rsidRPr="0094476B" w:rsidRDefault="00DB2FAA" w:rsidP="005F5B47">
            <w:pPr>
              <w:rPr>
                <w:rFonts w:cstheme="minorHAnsi"/>
                <w:sz w:val="18"/>
                <w:szCs w:val="18"/>
              </w:rPr>
            </w:pPr>
            <w:r w:rsidRPr="0094476B">
              <w:rPr>
                <w:rFonts w:cstheme="minorHAnsi"/>
                <w:sz w:val="18"/>
                <w:szCs w:val="18"/>
              </w:rPr>
              <w:t>7g</w:t>
            </w:r>
          </w:p>
        </w:tc>
        <w:tc>
          <w:tcPr>
            <w:tcW w:w="762" w:type="dxa"/>
          </w:tcPr>
          <w:p w14:paraId="53FC3B5F" w14:textId="77777777" w:rsidR="00DB2FAA" w:rsidRPr="0094476B" w:rsidRDefault="00DB2FAA" w:rsidP="005F5B47">
            <w:pPr>
              <w:rPr>
                <w:rFonts w:cstheme="minorHAnsi"/>
                <w:sz w:val="18"/>
                <w:szCs w:val="18"/>
              </w:rPr>
            </w:pPr>
            <w:r w:rsidRPr="0094476B">
              <w:rPr>
                <w:rFonts w:cstheme="minorHAnsi"/>
                <w:sz w:val="18"/>
                <w:szCs w:val="18"/>
              </w:rPr>
              <w:t>7h</w:t>
            </w:r>
          </w:p>
        </w:tc>
      </w:tr>
      <w:tr w:rsidR="00DB2FAA" w:rsidRPr="0094476B" w14:paraId="1B037861" w14:textId="77777777" w:rsidTr="005F5B47">
        <w:tc>
          <w:tcPr>
            <w:tcW w:w="15877" w:type="dxa"/>
            <w:gridSpan w:val="24"/>
          </w:tcPr>
          <w:p w14:paraId="25CBEB02" w14:textId="77777777" w:rsidR="00DB2FAA" w:rsidRPr="0094476B" w:rsidRDefault="00DB2FAA" w:rsidP="005F5B47">
            <w:pPr>
              <w:rPr>
                <w:rFonts w:cstheme="minorHAnsi"/>
                <w:b/>
                <w:bCs/>
                <w:sz w:val="18"/>
                <w:szCs w:val="18"/>
              </w:rPr>
            </w:pPr>
            <w:r w:rsidRPr="0094476B">
              <w:rPr>
                <w:rFonts w:cstheme="minorHAnsi"/>
                <w:b/>
                <w:bCs/>
                <w:sz w:val="18"/>
                <w:szCs w:val="18"/>
              </w:rPr>
              <w:t>Functional Stability</w:t>
            </w:r>
          </w:p>
        </w:tc>
      </w:tr>
      <w:tr w:rsidR="00DB2FAA" w:rsidRPr="0094476B" w14:paraId="11323B74" w14:textId="77777777" w:rsidTr="005F5B47">
        <w:tc>
          <w:tcPr>
            <w:tcW w:w="1020" w:type="dxa"/>
          </w:tcPr>
          <w:p w14:paraId="6F2DF41B" w14:textId="77777777" w:rsidR="00DB2FAA" w:rsidRPr="0094476B" w:rsidRDefault="00DB2FAA" w:rsidP="005F5B47">
            <w:pPr>
              <w:rPr>
                <w:rFonts w:cstheme="minorHAnsi"/>
                <w:sz w:val="18"/>
                <w:szCs w:val="18"/>
              </w:rPr>
            </w:pPr>
            <w:r w:rsidRPr="0094476B">
              <w:rPr>
                <w:rFonts w:cstheme="minorHAnsi"/>
                <w:sz w:val="18"/>
                <w:szCs w:val="18"/>
              </w:rPr>
              <w:t>Bakker (1997)</w:t>
            </w:r>
            <w:r w:rsidRPr="0094476B">
              <w:rPr>
                <w:rFonts w:cstheme="minorHAnsi"/>
                <w:sz w:val="18"/>
                <w:szCs w:val="18"/>
              </w:rPr>
              <w:fldChar w:fldCharType="begin" w:fldLock="1"/>
            </w:r>
            <w:r w:rsidRPr="0094476B">
              <w:rPr>
                <w:rFonts w:cstheme="minorHAnsi"/>
                <w:sz w:val="18"/>
                <w:szCs w:val="18"/>
              </w:rPr>
              <w:instrText>ADDIN CSL_CITATION {"citationItems":[{"id":"ITEM-1","itemData":{"DOI":"10.3109/09638289709166545","ISBN":"0963-8288","PMID":"9279487","abstract":"In the Netherlands ankle-foot orthoses (AFO), standing frames (SF), knee-ankle-foot orthoses (KAFO) and orthopaedic footwear are frequently prescribed for patients with Duchenne muscular dystrophy. Little is known, however, about the prescription pattern and the experience of patients. A questionnaire was sent to 25 rehabilitation physicians treating 53 patients with Duchenne muscular dystrophy. The use of orthoses and the patients' experience was measured during 1 year of follow-up. Our results show prescription of AFO 91%, of SF 61% and of KAFO 22%. Indications were limited passive dorsiflexion and Vignos classification 6. Patient-related factors were reasons to discontinue or to refrain from using orthoses. The prescribed duration for KAFO varied greatly. Patients' experience scores for SF and KAFO were high. The time that the orthoses were worn differed greatly from the recommended time. Ready-made shoes were prescribed for equinovarus during ambulation. Similarly, ready-made shoes or custom-made shoes were advised for wheelchair-dependent patients. This study shows no uniform prescription pattern for AFO, SF. KAFO and orthopaedic footwear. The prescription pattern was influenced by patient-related factors and actual use greatly differed from the recommended time.;","author":[{"dropping-particle":"","family":"Bakker","given":"J P J","non-dropping-particle":"","parse-names":false,"suffix":""},{"dropping-particle":"","family":"Groot","given":"I J M","non-dropping-particle":"De","parse-names":false,"suffix":""},{"dropping-particle":"","family":"Jong","given":"B A","non-dropping-particle":"De","parse-names":false,"suffix":""},{"dropping-particle":"","family":"Tol-De Jager","given":"M A","non-dropping-particle":"Van","parse-names":false,"suffix":""},{"dropping-particle":"","family":"Lankhorst","given":"G J","non-dropping-particle":"","parse-names":false,"suffix":""}],"container-title":"Disability and Rehabilitation","id":"ITEM-1","issue":"8","issued":{"date-parts":[["1997"]]},"language":"English","note":"Criteria (Query)\nParticipants Yes Children (Muscular Dystrophy\n\nIntervention Yes (Orthopaedic shoes Shoes)\n\nCompartors Yes (Orthotics,)\n\nType of Study Yes ( Survey)\n\nPrimary Outcomes No\n\nSecondary Outcomes Yes (patient satisfaction)\n\nFrom Duplicate 1 (Prescription pattern for orthoses in The Netherlands: Use and experience in the ambulatory phase of Duchenne muscular dystrophy - Bakker, J P J; De Groot, I J M; De Jong, B A; Van Tol-De Jager, M A; Lankhorst, G J)\n\nCited By :17\nExport Date: 29 January 2018\nCODEN: DREHE\nCorrespondence Address: De Groot, I.J.M.; Academic Medical Center, University of Amsterdam, Department of Rehabilitation, Meibergdreef 9, 1105 AZ Amsterdam, Netherlands\nFunding details: UvA, Universiteit van Amsterdam\nFunding details: AMC, Academisch Medisch Centrum\nFunding details: Prinses Beatrix Spierfonds\nReferences: Vignos, P.J., Spencer, G.E., Archibald, K.C., Management of progressive muscular dystrophy of childhood (1963) Journal of the American Medical Association, 184, pp. 89-96; Fowler, W.M., Goodgold, J., Rehabilitation management of neuromuscular diseases (1988) Rehabilitation Medicine, pp. 298-316. , Goodgold J (ed.) St Louis: C. V. Mosby; Siegel, I.M., The management of muscular dystrophy: A clinical review (1978) Muscle and Nerve, 1, pp. 453-460; Emery, A.E.H., Management (1987) Duchenne Muscular Dystrophy, pp. 221-252. , Emery AEH (ed.) Oxford: Oxford University Press; Vignos, P.J., Physical models of rehabilitation in neuromuscular disease (1983) Muscle and Nerve, 6, pp. 323-338; De Groot, I.J.M., Van Tol-de Jager, M.J., Management of Duchenne muscular dystrophy in the Netherlands (1992) Workshop on the Effects of Physiotherapy in DMD and Other Neuromuscular Disorders, , Mainz (Amsterdam). [Abstract] Workshop; Jennekens, F.G.I., Ten Kate, L.P., De Visser, M., Wintzen, A.R., Workshop report. Diagnostic criteria for Duchenne and Becker muscular dystrophy and myotonic dystrophy (1991) Neuromuscular Disorders, 1, pp. 389-391; Converse, J.M., Presser, S., (1986) Survey Questions: Handcrafting the Standardized Questionnaire, , Series: quantitative applications in the social sciences. Sage Publications; Fowler F.J., Jr., Survey Research Methods (revised edition) (1990) Applied Social Research Methods Series, 1. , Sage Publications; Siegel, I.M., Miller, J.E., Ray, R.D., Subcutaneous lower limb tenotomy in the treatment of pseudohypertrophic muscular dystrophy. Description of technique and presentation of twenty-one cases (1968) Journal of Bone and Joint Surgery, 50 A, pp. 1437-1443; Scott, O.M., Hyde, S.A., Goddard, C., Dubowitz, V., Prevention of deformity in Duchenne muscular dystrophy (1981) Physiotherapy, 67, pp. 177-180; Seeger, B.R., Caudry, D.J., Little, J.D., Progression of equinus deformity in Duchenne muscular dystrophy (1985) Archives of Physical Medicine and Rehabilitation, 66, pp. 286-288; Brooke, M.H., Fenichel, G.M., Griggs, R.C., Duchenne muscular dystrophy: Patterns of clinical progression and effects of supportive therapy (1989) Neurology, 39, pp. 475-481; Harris, S.E., Cherry, B.S., Childhood progressive muscular dystrophy and the role of physical therapy (1974) Physical Therapy, 54, pp. 4-12; Bowker, J.H., Halpin, P.J., Factors determining success in reambulation of the child with progressive muscular dystrophy (1978) Orthopedic Clinics of North America, 9, pp. 431-436; Hyde, S.A., Scott, O.M., Goddard, C.M., Dubowitz, V., Prolongation of ambulation in Duchenne muscular dystrophy by appropriate orthoses (1982) Physiotherapy, 68, pp. 105-108; Smith, S.E., Green, N.E., Cole, R.J., Robison, J.D., Fenichel, G.M., Prolongation of ambulation in children with Duchenne muscular dystrophy by subcutaneous lower limb tenotomy (1993) Journal of Pediatrics and Orthopedics, 13, pp. 336-340; Heckmatt, J.Z., Dubowitz, V., Hyde, S.A., Florence, J., Gabain, A.C., Thompson, N., Prolongation of walking in Duchenne muscular dystrophy with lightweight orthoses: Review of 57 cases (1985) Developmental Medicine and Child Neurology, 27, pp. 149-154; Spencer, G.E., Vignos, P.J., Bracing for ambulation in childhood progressive muscular dystrophy (1962) Journal of Bone and Joint Surgery, 44 A, pp. 234-242; Ziter, F.A., Allsop, K.G., The value of orthoses for patients with Duchenne muscular dystrophy (1979) Physical Therapy, 59, pp. 1361-1365; Schaars, A.H., Postema, K., Conservative treatment of foot deformities in Duchenne muscular dystrophy (1993) Journal of Rehabilitation Sciences, 2, pp. 49-52; (1965) Joint Motion: Method of Measuring and Recording, , Edinburgh: Churchill Livingstone\n\nFrom Duplicate 2 (Prescription pattern for orthoses in The Netherlands: use and experience in the ambulatory phase of Duchenne muscular dystrophy - Bakker, J P J; De Groot, I J M; De Jong, B A; Van Tol-De Jager, M A; Lankhorst, G J)\n\nquestionnaire/scale; research; tables/charts. Journal Subset: Allied Health; Europe; Peer Reviewed; UK &amp;amp; Ireland. Grant Information: Prinses Beatrix Fonds, The Hague, The Netherlands. NLM UID: 9207179.\nPMID: 9279487.\n\nFrom Duplicate 3 (Prescription pattern for orthoses in The Netherlands: use and experience in the ambulatory phase of Duchenne muscular dystrophy - Bakker, J P; De Groot, I J; De Jong, B A; Van Tol-De Jager, M A; Lankhorst, G J)\n\nDate of Electronic Publication: 19970801. Current Imprints: Publication: 2015- : Abingdon, Oxford : Taylor &amp;amp; Francis; Original Imprints: Publication: London ; Washington, DC : Taylor &amp;amp; Francis, c1992-","page":"318-325","publisher":"Taylor &amp; Francis Ltd","publisher-place":"Philadelphia, Pennsylvania","title":"Prescription pattern for orthoses in The Netherlands: use and experience in the ambulatory phase of Duchenne muscular dystrophy","type":"article-journal","volume":"19"},"uris":["http://www.mendeley.com/documents/?uuid=300472f0-e581-4eab-b65c-6e652258a62e"]}],"mendeley":{"formattedCitation":"&lt;span style=\"baseline\"&gt;[45]&lt;/span&gt;","plainTextFormattedCitation":"[45]","previouslyFormattedCitation":"&lt;span style=\"baseline\"&gt;[45]&lt;/span&gt;"},"properties":{"noteIndex":0},"schema":"https://github.com/citation-style-language/schema/raw/master/csl-citation.json"}</w:instrText>
            </w:r>
            <w:r w:rsidRPr="0094476B">
              <w:rPr>
                <w:rFonts w:cstheme="minorHAnsi"/>
                <w:sz w:val="18"/>
                <w:szCs w:val="18"/>
              </w:rPr>
              <w:fldChar w:fldCharType="separate"/>
            </w:r>
            <w:r w:rsidRPr="0094476B">
              <w:rPr>
                <w:rFonts w:cstheme="minorHAnsi"/>
                <w:noProof/>
                <w:sz w:val="18"/>
                <w:szCs w:val="18"/>
              </w:rPr>
              <w:t>[45]</w:t>
            </w:r>
            <w:r w:rsidRPr="0094476B">
              <w:rPr>
                <w:rFonts w:cstheme="minorHAnsi"/>
                <w:sz w:val="18"/>
                <w:szCs w:val="18"/>
              </w:rPr>
              <w:fldChar w:fldCharType="end"/>
            </w:r>
          </w:p>
        </w:tc>
        <w:tc>
          <w:tcPr>
            <w:tcW w:w="885" w:type="dxa"/>
          </w:tcPr>
          <w:p w14:paraId="50FAABF7" w14:textId="77777777" w:rsidR="00DB2FAA" w:rsidRPr="0094476B" w:rsidRDefault="00DB2FAA" w:rsidP="005F5B47">
            <w:pPr>
              <w:rPr>
                <w:rFonts w:cstheme="minorHAnsi"/>
                <w:sz w:val="18"/>
                <w:szCs w:val="18"/>
              </w:rPr>
            </w:pPr>
            <w:r w:rsidRPr="0094476B">
              <w:rPr>
                <w:rFonts w:cstheme="minorHAnsi"/>
                <w:sz w:val="18"/>
                <w:szCs w:val="18"/>
              </w:rPr>
              <w:t xml:space="preserve">4 </w:t>
            </w:r>
          </w:p>
          <w:p w14:paraId="3BA3FBD2" w14:textId="77777777" w:rsidR="00DB2FAA" w:rsidRPr="0094476B" w:rsidRDefault="00DB2FAA" w:rsidP="005F5B47">
            <w:pPr>
              <w:rPr>
                <w:rFonts w:cstheme="minorHAnsi"/>
                <w:sz w:val="18"/>
                <w:szCs w:val="18"/>
              </w:rPr>
            </w:pPr>
            <w:r w:rsidRPr="0094476B">
              <w:rPr>
                <w:rFonts w:cstheme="minorHAnsi"/>
                <w:sz w:val="18"/>
                <w:szCs w:val="18"/>
              </w:rPr>
              <w:t>Survey</w:t>
            </w:r>
          </w:p>
        </w:tc>
        <w:tc>
          <w:tcPr>
            <w:tcW w:w="883" w:type="dxa"/>
          </w:tcPr>
          <w:p w14:paraId="1D008002" w14:textId="77777777" w:rsidR="00DB2FAA" w:rsidRPr="0094476B" w:rsidRDefault="00DB2FAA" w:rsidP="005F5B47">
            <w:pPr>
              <w:rPr>
                <w:rFonts w:cstheme="minorHAnsi"/>
                <w:sz w:val="18"/>
                <w:szCs w:val="18"/>
              </w:rPr>
            </w:pPr>
            <w:r w:rsidRPr="0094476B">
              <w:rPr>
                <w:rFonts w:cstheme="minorHAnsi"/>
                <w:sz w:val="18"/>
                <w:szCs w:val="18"/>
              </w:rPr>
              <w:t>Y</w:t>
            </w:r>
          </w:p>
        </w:tc>
        <w:tc>
          <w:tcPr>
            <w:tcW w:w="810" w:type="dxa"/>
          </w:tcPr>
          <w:p w14:paraId="373B829A" w14:textId="77777777" w:rsidR="00DB2FAA" w:rsidRPr="0094476B" w:rsidRDefault="00DB2FAA" w:rsidP="005F5B47">
            <w:pPr>
              <w:rPr>
                <w:rFonts w:cstheme="minorHAnsi"/>
                <w:sz w:val="18"/>
                <w:szCs w:val="18"/>
              </w:rPr>
            </w:pPr>
            <w:r w:rsidRPr="0094476B">
              <w:rPr>
                <w:rFonts w:cstheme="minorHAnsi"/>
                <w:sz w:val="18"/>
                <w:szCs w:val="18"/>
              </w:rPr>
              <w:t>Y</w:t>
            </w:r>
          </w:p>
        </w:tc>
        <w:tc>
          <w:tcPr>
            <w:tcW w:w="436" w:type="dxa"/>
          </w:tcPr>
          <w:p w14:paraId="010E186E" w14:textId="77777777" w:rsidR="00DB2FAA" w:rsidRPr="0094476B" w:rsidRDefault="00DB2FAA" w:rsidP="005F5B47">
            <w:pPr>
              <w:rPr>
                <w:rFonts w:cstheme="minorHAnsi"/>
                <w:sz w:val="18"/>
                <w:szCs w:val="18"/>
              </w:rPr>
            </w:pPr>
            <w:r w:rsidRPr="0094476B">
              <w:rPr>
                <w:rFonts w:cstheme="minorHAnsi"/>
                <w:sz w:val="18"/>
                <w:szCs w:val="18"/>
              </w:rPr>
              <w:t>Y</w:t>
            </w:r>
          </w:p>
        </w:tc>
        <w:tc>
          <w:tcPr>
            <w:tcW w:w="714" w:type="dxa"/>
          </w:tcPr>
          <w:p w14:paraId="14CBD635" w14:textId="77777777" w:rsidR="00DB2FAA" w:rsidRPr="0094476B" w:rsidRDefault="00DB2FAA" w:rsidP="005F5B47">
            <w:pPr>
              <w:rPr>
                <w:rFonts w:cstheme="minorHAnsi"/>
                <w:sz w:val="18"/>
                <w:szCs w:val="18"/>
              </w:rPr>
            </w:pPr>
            <w:r w:rsidRPr="0094476B">
              <w:rPr>
                <w:rFonts w:cstheme="minorHAnsi"/>
                <w:sz w:val="18"/>
                <w:szCs w:val="18"/>
              </w:rPr>
              <w:t>N</w:t>
            </w:r>
          </w:p>
        </w:tc>
        <w:tc>
          <w:tcPr>
            <w:tcW w:w="576" w:type="dxa"/>
          </w:tcPr>
          <w:p w14:paraId="6AE5631A" w14:textId="77777777" w:rsidR="00DB2FAA" w:rsidRPr="0094476B" w:rsidRDefault="00DB2FAA" w:rsidP="005F5B47">
            <w:pPr>
              <w:rPr>
                <w:rFonts w:cstheme="minorHAnsi"/>
                <w:sz w:val="18"/>
                <w:szCs w:val="18"/>
              </w:rPr>
            </w:pPr>
            <w:r w:rsidRPr="0094476B">
              <w:rPr>
                <w:rFonts w:cstheme="minorHAnsi"/>
                <w:sz w:val="18"/>
                <w:szCs w:val="18"/>
              </w:rPr>
              <w:t>Y</w:t>
            </w:r>
          </w:p>
        </w:tc>
        <w:tc>
          <w:tcPr>
            <w:tcW w:w="799" w:type="dxa"/>
          </w:tcPr>
          <w:p w14:paraId="7D17DC75" w14:textId="77777777" w:rsidR="00DB2FAA" w:rsidRPr="0094476B" w:rsidRDefault="00DB2FAA" w:rsidP="005F5B47">
            <w:pPr>
              <w:rPr>
                <w:rFonts w:cstheme="minorHAnsi"/>
                <w:sz w:val="18"/>
                <w:szCs w:val="18"/>
              </w:rPr>
            </w:pPr>
            <w:r w:rsidRPr="0094476B">
              <w:rPr>
                <w:rFonts w:cstheme="minorHAnsi"/>
                <w:sz w:val="18"/>
                <w:szCs w:val="18"/>
              </w:rPr>
              <w:t>N</w:t>
            </w:r>
          </w:p>
        </w:tc>
        <w:tc>
          <w:tcPr>
            <w:tcW w:w="840" w:type="dxa"/>
          </w:tcPr>
          <w:p w14:paraId="17716E6A" w14:textId="77777777" w:rsidR="00DB2FAA" w:rsidRPr="0094476B" w:rsidRDefault="00DB2FAA" w:rsidP="005F5B47">
            <w:pPr>
              <w:rPr>
                <w:rFonts w:cstheme="minorHAnsi"/>
                <w:sz w:val="18"/>
                <w:szCs w:val="18"/>
              </w:rPr>
            </w:pPr>
            <w:r w:rsidRPr="0094476B">
              <w:rPr>
                <w:rFonts w:cstheme="minorHAnsi"/>
                <w:sz w:val="18"/>
                <w:szCs w:val="18"/>
              </w:rPr>
              <w:t>N</w:t>
            </w:r>
          </w:p>
        </w:tc>
        <w:tc>
          <w:tcPr>
            <w:tcW w:w="968" w:type="dxa"/>
          </w:tcPr>
          <w:p w14:paraId="75A5A05C" w14:textId="77777777" w:rsidR="00DB2FAA" w:rsidRPr="0094476B" w:rsidRDefault="00DB2FAA" w:rsidP="005F5B47">
            <w:pPr>
              <w:rPr>
                <w:rFonts w:cstheme="minorHAnsi"/>
                <w:sz w:val="18"/>
                <w:szCs w:val="18"/>
              </w:rPr>
            </w:pPr>
            <w:r w:rsidRPr="0094476B">
              <w:rPr>
                <w:rFonts w:cstheme="minorHAnsi"/>
                <w:sz w:val="18"/>
                <w:szCs w:val="18"/>
              </w:rPr>
              <w:t>N</w:t>
            </w:r>
          </w:p>
        </w:tc>
        <w:tc>
          <w:tcPr>
            <w:tcW w:w="709" w:type="dxa"/>
          </w:tcPr>
          <w:p w14:paraId="6E05F10A" w14:textId="77777777" w:rsidR="00DB2FAA" w:rsidRPr="0094476B" w:rsidRDefault="00DB2FAA" w:rsidP="005F5B47">
            <w:pPr>
              <w:rPr>
                <w:rFonts w:cstheme="minorHAnsi"/>
                <w:sz w:val="18"/>
                <w:szCs w:val="18"/>
              </w:rPr>
            </w:pPr>
            <w:r w:rsidRPr="0094476B">
              <w:rPr>
                <w:rFonts w:cstheme="minorHAnsi"/>
                <w:sz w:val="18"/>
                <w:szCs w:val="18"/>
              </w:rPr>
              <w:t>Y</w:t>
            </w:r>
          </w:p>
        </w:tc>
        <w:tc>
          <w:tcPr>
            <w:tcW w:w="633" w:type="dxa"/>
          </w:tcPr>
          <w:p w14:paraId="74FD0424" w14:textId="77777777" w:rsidR="00DB2FAA" w:rsidRPr="0094476B" w:rsidRDefault="00DB2FAA" w:rsidP="005F5B47">
            <w:pPr>
              <w:rPr>
                <w:rFonts w:cstheme="minorHAnsi"/>
                <w:sz w:val="18"/>
                <w:szCs w:val="18"/>
              </w:rPr>
            </w:pPr>
            <w:r w:rsidRPr="0094476B">
              <w:rPr>
                <w:rFonts w:cstheme="minorHAnsi"/>
                <w:sz w:val="18"/>
                <w:szCs w:val="18"/>
              </w:rPr>
              <w:t>N</w:t>
            </w:r>
          </w:p>
        </w:tc>
        <w:tc>
          <w:tcPr>
            <w:tcW w:w="550" w:type="dxa"/>
          </w:tcPr>
          <w:p w14:paraId="2994CE7E" w14:textId="77777777" w:rsidR="00DB2FAA" w:rsidRPr="0094476B" w:rsidRDefault="00DB2FAA" w:rsidP="005F5B47">
            <w:pPr>
              <w:rPr>
                <w:rFonts w:cstheme="minorHAnsi"/>
                <w:sz w:val="18"/>
                <w:szCs w:val="18"/>
              </w:rPr>
            </w:pPr>
            <w:r w:rsidRPr="0094476B">
              <w:rPr>
                <w:rFonts w:cstheme="minorHAnsi"/>
                <w:sz w:val="18"/>
                <w:szCs w:val="18"/>
              </w:rPr>
              <w:t>Y</w:t>
            </w:r>
          </w:p>
        </w:tc>
        <w:tc>
          <w:tcPr>
            <w:tcW w:w="552" w:type="dxa"/>
          </w:tcPr>
          <w:p w14:paraId="4CC28387" w14:textId="77777777" w:rsidR="00DB2FAA" w:rsidRPr="0094476B" w:rsidRDefault="00DB2FAA" w:rsidP="005F5B47">
            <w:pPr>
              <w:rPr>
                <w:rFonts w:cstheme="minorHAnsi"/>
                <w:sz w:val="18"/>
                <w:szCs w:val="18"/>
              </w:rPr>
            </w:pPr>
            <w:r w:rsidRPr="0094476B">
              <w:rPr>
                <w:rFonts w:cstheme="minorHAnsi"/>
                <w:sz w:val="18"/>
                <w:szCs w:val="18"/>
              </w:rPr>
              <w:t>Y</w:t>
            </w:r>
          </w:p>
        </w:tc>
        <w:tc>
          <w:tcPr>
            <w:tcW w:w="530" w:type="dxa"/>
          </w:tcPr>
          <w:p w14:paraId="5D3C9E05" w14:textId="77777777" w:rsidR="00DB2FAA" w:rsidRPr="0094476B" w:rsidRDefault="00DB2FAA" w:rsidP="005F5B47">
            <w:pPr>
              <w:rPr>
                <w:rFonts w:cstheme="minorHAnsi"/>
                <w:sz w:val="18"/>
                <w:szCs w:val="18"/>
              </w:rPr>
            </w:pPr>
            <w:r w:rsidRPr="0094476B">
              <w:rPr>
                <w:rFonts w:cstheme="minorHAnsi"/>
                <w:sz w:val="18"/>
                <w:szCs w:val="18"/>
              </w:rPr>
              <w:t>UTD</w:t>
            </w:r>
          </w:p>
        </w:tc>
        <w:tc>
          <w:tcPr>
            <w:tcW w:w="443" w:type="dxa"/>
          </w:tcPr>
          <w:p w14:paraId="798706B2" w14:textId="77777777" w:rsidR="00DB2FAA" w:rsidRPr="0094476B" w:rsidRDefault="00DB2FAA" w:rsidP="005F5B47">
            <w:pPr>
              <w:rPr>
                <w:rFonts w:cstheme="minorHAnsi"/>
                <w:sz w:val="18"/>
                <w:szCs w:val="18"/>
              </w:rPr>
            </w:pPr>
            <w:r w:rsidRPr="0094476B">
              <w:rPr>
                <w:rFonts w:cstheme="minorHAnsi"/>
                <w:sz w:val="18"/>
                <w:szCs w:val="18"/>
              </w:rPr>
              <w:t>Y</w:t>
            </w:r>
          </w:p>
        </w:tc>
        <w:tc>
          <w:tcPr>
            <w:tcW w:w="394" w:type="dxa"/>
          </w:tcPr>
          <w:p w14:paraId="4C18D58C" w14:textId="77777777" w:rsidR="00DB2FAA" w:rsidRPr="0094476B" w:rsidRDefault="00DB2FAA" w:rsidP="005F5B47">
            <w:pPr>
              <w:rPr>
                <w:rFonts w:cstheme="minorHAnsi"/>
                <w:sz w:val="18"/>
                <w:szCs w:val="18"/>
              </w:rPr>
            </w:pPr>
            <w:r w:rsidRPr="0094476B">
              <w:rPr>
                <w:rFonts w:cstheme="minorHAnsi"/>
                <w:sz w:val="18"/>
                <w:szCs w:val="18"/>
              </w:rPr>
              <w:t>Y</w:t>
            </w:r>
          </w:p>
        </w:tc>
        <w:tc>
          <w:tcPr>
            <w:tcW w:w="564" w:type="dxa"/>
          </w:tcPr>
          <w:p w14:paraId="6FC53180" w14:textId="77777777" w:rsidR="00DB2FAA" w:rsidRPr="0094476B" w:rsidRDefault="00DB2FAA" w:rsidP="005F5B47">
            <w:pPr>
              <w:rPr>
                <w:rFonts w:cstheme="minorHAnsi"/>
                <w:sz w:val="18"/>
                <w:szCs w:val="18"/>
              </w:rPr>
            </w:pPr>
            <w:r w:rsidRPr="0094476B">
              <w:rPr>
                <w:rFonts w:cstheme="minorHAnsi"/>
                <w:sz w:val="18"/>
                <w:szCs w:val="18"/>
              </w:rPr>
              <w:t>N</w:t>
            </w:r>
          </w:p>
        </w:tc>
        <w:tc>
          <w:tcPr>
            <w:tcW w:w="561" w:type="dxa"/>
          </w:tcPr>
          <w:p w14:paraId="7B08ECF0" w14:textId="77777777" w:rsidR="00DB2FAA" w:rsidRPr="0094476B" w:rsidRDefault="00DB2FAA" w:rsidP="005F5B47">
            <w:pPr>
              <w:rPr>
                <w:rFonts w:cstheme="minorHAnsi"/>
                <w:sz w:val="18"/>
                <w:szCs w:val="18"/>
              </w:rPr>
            </w:pPr>
            <w:r w:rsidRPr="0094476B">
              <w:rPr>
                <w:rFonts w:cstheme="minorHAnsi"/>
                <w:sz w:val="18"/>
                <w:szCs w:val="18"/>
              </w:rPr>
              <w:t>N</w:t>
            </w:r>
          </w:p>
        </w:tc>
        <w:tc>
          <w:tcPr>
            <w:tcW w:w="564" w:type="dxa"/>
          </w:tcPr>
          <w:p w14:paraId="2076B3B1" w14:textId="77777777" w:rsidR="00DB2FAA" w:rsidRPr="0094476B" w:rsidRDefault="00DB2FAA" w:rsidP="005F5B47">
            <w:pPr>
              <w:rPr>
                <w:rFonts w:cstheme="minorHAnsi"/>
                <w:sz w:val="18"/>
                <w:szCs w:val="18"/>
              </w:rPr>
            </w:pPr>
            <w:r w:rsidRPr="0094476B">
              <w:rPr>
                <w:rFonts w:cstheme="minorHAnsi"/>
                <w:sz w:val="18"/>
                <w:szCs w:val="18"/>
              </w:rPr>
              <w:t>Y</w:t>
            </w:r>
          </w:p>
        </w:tc>
        <w:tc>
          <w:tcPr>
            <w:tcW w:w="563" w:type="dxa"/>
          </w:tcPr>
          <w:p w14:paraId="04D85490" w14:textId="77777777" w:rsidR="00DB2FAA" w:rsidRPr="0094476B" w:rsidRDefault="00DB2FAA" w:rsidP="005F5B47">
            <w:pPr>
              <w:rPr>
                <w:rFonts w:cstheme="minorHAnsi"/>
                <w:sz w:val="18"/>
                <w:szCs w:val="18"/>
              </w:rPr>
            </w:pPr>
            <w:r w:rsidRPr="0094476B">
              <w:rPr>
                <w:rFonts w:cstheme="minorHAnsi"/>
                <w:sz w:val="18"/>
                <w:szCs w:val="18"/>
              </w:rPr>
              <w:t>Y</w:t>
            </w:r>
          </w:p>
        </w:tc>
        <w:tc>
          <w:tcPr>
            <w:tcW w:w="558" w:type="dxa"/>
          </w:tcPr>
          <w:p w14:paraId="7A30C1D2" w14:textId="77777777" w:rsidR="00DB2FAA" w:rsidRPr="0094476B" w:rsidRDefault="00DB2FAA" w:rsidP="005F5B47">
            <w:pPr>
              <w:rPr>
                <w:rFonts w:cstheme="minorHAnsi"/>
                <w:sz w:val="18"/>
                <w:szCs w:val="18"/>
              </w:rPr>
            </w:pPr>
            <w:r w:rsidRPr="0094476B">
              <w:rPr>
                <w:rFonts w:cstheme="minorHAnsi"/>
                <w:sz w:val="18"/>
                <w:szCs w:val="18"/>
              </w:rPr>
              <w:t>Y</w:t>
            </w:r>
          </w:p>
        </w:tc>
        <w:tc>
          <w:tcPr>
            <w:tcW w:w="563" w:type="dxa"/>
          </w:tcPr>
          <w:p w14:paraId="3B888741" w14:textId="77777777" w:rsidR="00DB2FAA" w:rsidRPr="0094476B" w:rsidRDefault="00DB2FAA" w:rsidP="005F5B47">
            <w:pPr>
              <w:rPr>
                <w:rFonts w:cstheme="minorHAnsi"/>
                <w:sz w:val="18"/>
                <w:szCs w:val="18"/>
              </w:rPr>
            </w:pPr>
            <w:r w:rsidRPr="0094476B">
              <w:rPr>
                <w:rFonts w:cstheme="minorHAnsi"/>
                <w:sz w:val="18"/>
                <w:szCs w:val="18"/>
              </w:rPr>
              <w:t>Y</w:t>
            </w:r>
          </w:p>
        </w:tc>
        <w:tc>
          <w:tcPr>
            <w:tcW w:w="762" w:type="dxa"/>
          </w:tcPr>
          <w:p w14:paraId="7FB9AD17" w14:textId="77777777" w:rsidR="00DB2FAA" w:rsidRPr="0094476B" w:rsidRDefault="00DB2FAA" w:rsidP="005F5B47">
            <w:pPr>
              <w:rPr>
                <w:rFonts w:cstheme="minorHAnsi"/>
                <w:sz w:val="18"/>
                <w:szCs w:val="18"/>
              </w:rPr>
            </w:pPr>
            <w:r w:rsidRPr="0094476B">
              <w:rPr>
                <w:rFonts w:cstheme="minorHAnsi"/>
                <w:sz w:val="18"/>
                <w:szCs w:val="18"/>
              </w:rPr>
              <w:t>Y</w:t>
            </w:r>
          </w:p>
        </w:tc>
      </w:tr>
    </w:tbl>
    <w:p w14:paraId="4F1F7A6D" w14:textId="77777777" w:rsidR="00DB2FAA" w:rsidRDefault="00DB2FAA" w:rsidP="00DB2FAA"/>
    <w:p w14:paraId="3C6E5B73" w14:textId="5C50318A" w:rsidR="005408EB" w:rsidRPr="0094476B" w:rsidRDefault="00DB2FAA">
      <w:pPr>
        <w:rPr>
          <w:sz w:val="20"/>
          <w:szCs w:val="20"/>
        </w:rPr>
      </w:pPr>
      <w:r w:rsidRPr="0094476B">
        <w:rPr>
          <w:sz w:val="20"/>
          <w:szCs w:val="20"/>
        </w:rPr>
        <w:t>Y =</w:t>
      </w:r>
      <w:r w:rsidR="00434F0B">
        <w:rPr>
          <w:sz w:val="20"/>
          <w:szCs w:val="20"/>
        </w:rPr>
        <w:t>Y</w:t>
      </w:r>
      <w:r w:rsidRPr="0094476B">
        <w:rPr>
          <w:sz w:val="20"/>
          <w:szCs w:val="20"/>
        </w:rPr>
        <w:t>es, N =No</w:t>
      </w:r>
    </w:p>
    <w:sectPr w:rsidR="005408EB" w:rsidRPr="0094476B" w:rsidSect="008B3E5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AA"/>
    <w:rsid w:val="000C71FA"/>
    <w:rsid w:val="00383010"/>
    <w:rsid w:val="003E6E56"/>
    <w:rsid w:val="00434F0B"/>
    <w:rsid w:val="005408EB"/>
    <w:rsid w:val="0070542A"/>
    <w:rsid w:val="008D32B3"/>
    <w:rsid w:val="0094476B"/>
    <w:rsid w:val="00CD3E40"/>
    <w:rsid w:val="00DB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6993"/>
  <w15:chartTrackingRefBased/>
  <w15:docId w15:val="{EE6FE3B6-A9B3-DE47-8F79-4E05126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F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Matthew</dc:creator>
  <cp:keywords/>
  <dc:description/>
  <cp:lastModifiedBy>HILL Matthew</cp:lastModifiedBy>
  <cp:revision>6</cp:revision>
  <dcterms:created xsi:type="dcterms:W3CDTF">2019-12-18T13:57:00Z</dcterms:created>
  <dcterms:modified xsi:type="dcterms:W3CDTF">2020-03-09T19:01:00Z</dcterms:modified>
</cp:coreProperties>
</file>