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47" w:rsidRDefault="00544947" w:rsidP="00544947">
      <w:pPr>
        <w:pBdr>
          <w:bottom w:val="single" w:sz="6" w:space="0" w:color="F1F1F5"/>
        </w:pBdr>
        <w:shd w:val="clear" w:color="auto" w:fill="FFFFFF"/>
        <w:bidi w:val="0"/>
        <w:spacing w:beforeAutospacing="1" w:after="100" w:afterAutospacing="1" w:line="24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Supplementary Table 1:</w:t>
      </w:r>
    </w:p>
    <w:p w:rsidR="00544947" w:rsidRDefault="00544947" w:rsidP="00544947">
      <w:pPr>
        <w:pBdr>
          <w:bottom w:val="single" w:sz="6" w:space="0" w:color="F1F1F5"/>
        </w:pBdr>
        <w:shd w:val="clear" w:color="auto" w:fill="FFFFFF"/>
        <w:bidi w:val="0"/>
        <w:spacing w:beforeAutospacing="1" w:after="100" w:afterAutospacing="1" w:line="240" w:lineRule="auto"/>
        <w:rPr>
          <w:rFonts w:asciiTheme="majorBidi" w:hAnsiTheme="majorBidi"/>
          <w:sz w:val="24"/>
          <w:szCs w:val="24"/>
        </w:rPr>
      </w:pPr>
    </w:p>
    <w:p w:rsidR="00544947" w:rsidRPr="008055C5" w:rsidRDefault="00544947" w:rsidP="00544947">
      <w:pPr>
        <w:pBdr>
          <w:bottom w:val="single" w:sz="6" w:space="0" w:color="F1F1F5"/>
        </w:pBdr>
        <w:shd w:val="clear" w:color="auto" w:fill="FFFFFF"/>
        <w:bidi w:val="0"/>
        <w:spacing w:beforeAutospacing="1" w:after="100" w:afterAutospacing="1" w:line="240" w:lineRule="auto"/>
        <w:rPr>
          <w:rFonts w:asciiTheme="majorBidi" w:hAnsiTheme="majorBid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0"/>
        <w:gridCol w:w="1189"/>
        <w:gridCol w:w="3038"/>
        <w:gridCol w:w="1943"/>
        <w:gridCol w:w="1203"/>
      </w:tblGrid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Number</w:t>
            </w:r>
          </w:p>
        </w:tc>
        <w:tc>
          <w:tcPr>
            <w:tcW w:w="1189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First Author</w:t>
            </w:r>
          </w:p>
        </w:tc>
        <w:tc>
          <w:tcPr>
            <w:tcW w:w="3038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Title</w:t>
            </w:r>
          </w:p>
        </w:tc>
        <w:tc>
          <w:tcPr>
            <w:tcW w:w="194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Journal and Year</w:t>
            </w:r>
          </w:p>
        </w:tc>
        <w:tc>
          <w:tcPr>
            <w:tcW w:w="112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Grading*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Mehregan FF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Periodic Fever, Aphthous Stomatitis, Pharyngitis and Cervical Adenitis (PFAPA) Syndrome in Iranian Children First Report of Iranian Periodic Fever and Autoinflammatory Registry (IPFAIR)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Iran J Pediatr. 2014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4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Burton MJ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Tonsillectomy for periodic fever, aphthous stomatitis, pharyngitis and cervical adenitis syndrome (PFAPA).</w:t>
            </w:r>
          </w:p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Cochrane Database Syst Rev. 2014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1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Stagi S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Vitamin D levels and effects of vitamin D replacement in children with periodic fever, aphthous stomatitis, pharyngitis, and cervical adenitis (PFAPA) syndrome.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Int J Pediatr Otorhinolaryngol. 2014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4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Vigo G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Tonsillectomy efficacy in children with PFAPA syndrome is comparable to the standard medical treatment: a long-term observational study.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Clin Exp Rheumatol. 2014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4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Król P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PFAPA syndrome: clinical characteristics and treatment outcomes in a large single-centre cohort.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Clin Exp Rheumatol. 2013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3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6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Licameli G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Long-term surgical outcomes of adenotonsillectomy for PFAPA syndrome.</w:t>
            </w:r>
          </w:p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Arch Otolaryngol Head Neck Surg. 2012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t>3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Yazgan H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 xml:space="preserve">Comparison of conventional and low dose steroid in the treatment of PFAPA syndrome: preliminary </w:t>
            </w: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lastRenderedPageBreak/>
              <w:t>study.</w:t>
            </w:r>
          </w:p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lastRenderedPageBreak/>
              <w:t>Int J Pediatr Otorhinolaryngol. 2012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t>2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lastRenderedPageBreak/>
              <w:t>8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Stojanov S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Periodic fever, aphthous stomatitis, pharyngitis, and adenitis (PFAPA) is a disorder of innate immunity and Th1 activation responsive to IL-1 blockade.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Proc Natl Acad Sci U S A. 2011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4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9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sz w:val="24"/>
                <w:szCs w:val="24"/>
              </w:rPr>
              <w:t>Wurster VM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sz w:val="24"/>
                <w:szCs w:val="24"/>
              </w:rPr>
              <w:t xml:space="preserve">Long-term follow-up of children with periodic fever, aphthous                  </w:t>
            </w:r>
            <w:r w:rsidRPr="008055C5">
              <w:rPr>
                <w:rFonts w:asciiTheme="majorBidi" w:hAnsiTheme="majorBidi"/>
                <w:sz w:val="24"/>
                <w:szCs w:val="24"/>
              </w:rPr>
              <w:tab/>
              <w:t xml:space="preserve"> stomatitis, pharyngitis, and cervical adenitis syndrome.  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J Pediatr. 2011</w:t>
            </w:r>
          </w:p>
          <w:p w:rsidR="00544947" w:rsidRPr="008055C5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color w:val="1D2228"/>
                <w:sz w:val="24"/>
                <w:szCs w:val="24"/>
              </w:rPr>
            </w:pP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t>4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Peridis S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PFAPA syndrome in children: A meta-analysis on surgical versus medical treatment.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Int J Pediatr Otorhinolaryngol. 2010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t>1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Feder HM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A clinical review of 105 patients with PFAPA (a periodic fever syndrome).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Acta Paediatr. 2010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t>4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12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Pignataro L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Outcome of tonsillectomy in selected patients with PFAPA syndrome.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Arch Otolaryngol Head Neck Surg. 2009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t>3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Wong KK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Role of Tonsillectomy in PFAPA Syndrome.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Arch Otolaryngol Head Neck Surg. 2008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t>4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14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Licameli G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Effect of adenotonsillectomy in PFAPA syndrome.</w:t>
            </w:r>
          </w:p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Arch Otolaryngol Head Neck Surg. 2008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t>3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15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Tasher D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Colchicine prophylaxis for frequent periodic fever, aphthous stomatitis, pharyngitis and adenitis episodes.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Acta Paediatr. 2008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t>4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16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Renko M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A randomized, controlled trial of tonsillectomy in periodic fever, aphthous stomatitis, pharyngitis, and adenitis syndrome.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J Pediatr. 2007</w:t>
            </w:r>
          </w:p>
          <w:p w:rsidR="00544947" w:rsidRPr="008055C5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color w:val="1D2228"/>
                <w:sz w:val="24"/>
                <w:szCs w:val="24"/>
              </w:rPr>
            </w:pP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t>2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Tasher D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PFAPA syndrome: new clinical aspects disclosed.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Arch Dis Child. 2006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t>4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18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Parikh SR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Utility of tonsillectomy in 2 patients with the syndrome of periodic fever, aphthous stomatitis, pharyngitis, and cervical adenitis.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Arch Otolaryngol Head Neck Surg. 2003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t>4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19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 xml:space="preserve">Berlucchi </w:t>
            </w: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lastRenderedPageBreak/>
              <w:t>M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lastRenderedPageBreak/>
              <w:t xml:space="preserve">Update on treatment of </w:t>
            </w: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lastRenderedPageBreak/>
              <w:t>Marshall's syndrome (PFAPA syndrome): report of five cases with review of the literature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lastRenderedPageBreak/>
              <w:t xml:space="preserve">Ann Otol Rhinol </w:t>
            </w: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lastRenderedPageBreak/>
              <w:t>Laryngol. 2003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lastRenderedPageBreak/>
              <w:t>4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Galanakis E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PFAPA syndrome in children evaluated for tonsillectomy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Arch Dis Child. 2002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t>4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21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Dahn KA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Periodic fever and pharyngitis in young children: a new disease for the otolaryngologist?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Arch Otolaryngol Head Neck Surg. 2000 Sep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t>4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22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sz w:val="24"/>
                <w:szCs w:val="24"/>
              </w:rPr>
              <w:t>Padeh S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sz w:val="24"/>
                <w:szCs w:val="24"/>
              </w:rPr>
              <w:t>Periodic fever, aphthous stomatitis, pharyngitis, and adenopathy syndrome: Clinical characteristics and outcome.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sz w:val="24"/>
                <w:szCs w:val="24"/>
              </w:rPr>
              <w:t>J Pediatr 1999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t>4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23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sz w:val="24"/>
                <w:szCs w:val="24"/>
              </w:rPr>
              <w:t>Thomas KT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sz w:val="24"/>
                <w:szCs w:val="24"/>
              </w:rPr>
              <w:t>Periodic fever syndrome in children</w:t>
            </w:r>
            <w:r w:rsidRPr="008055C5">
              <w:rPr>
                <w:rFonts w:asciiTheme="majorBidi" w:hAnsiTheme="majorBidi"/>
                <w:color w:val="1D2228"/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sz w:val="24"/>
                <w:szCs w:val="24"/>
              </w:rPr>
              <w:t>J. Pediatr 1999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t>4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24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sz w:val="24"/>
                <w:szCs w:val="24"/>
              </w:rPr>
            </w:pPr>
            <w:r w:rsidRPr="008055C5">
              <w:rPr>
                <w:rFonts w:asciiTheme="majorBidi" w:hAnsiTheme="majorBidi"/>
                <w:sz w:val="24"/>
                <w:szCs w:val="24"/>
              </w:rPr>
              <w:t>Feder HM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sz w:val="24"/>
                <w:szCs w:val="24"/>
              </w:rPr>
            </w:pPr>
            <w:r w:rsidRPr="008055C5">
              <w:rPr>
                <w:rFonts w:asciiTheme="majorBidi" w:hAnsiTheme="majorBidi"/>
                <w:sz w:val="24"/>
                <w:szCs w:val="24"/>
              </w:rPr>
              <w:t>Cimetidine treatment for periodic fever associated with aphthous stomatitis, pharyngitis and cervical adenitis.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sz w:val="24"/>
                <w:szCs w:val="24"/>
              </w:rPr>
            </w:pPr>
            <w:r w:rsidRPr="008055C5">
              <w:rPr>
                <w:rFonts w:asciiTheme="majorBidi" w:hAnsiTheme="majorBidi"/>
                <w:sz w:val="24"/>
                <w:szCs w:val="24"/>
              </w:rPr>
              <w:t>Pediatr Infect Dis J. 1992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t>4</w:t>
            </w:r>
          </w:p>
        </w:tc>
      </w:tr>
      <w:tr w:rsidR="00544947" w:rsidRPr="008055C5" w:rsidTr="00461B3F">
        <w:tc>
          <w:tcPr>
            <w:tcW w:w="1003" w:type="dxa"/>
          </w:tcPr>
          <w:p w:rsidR="00544947" w:rsidRPr="006E228F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</w:pPr>
            <w:r w:rsidRPr="006E228F">
              <w:rPr>
                <w:rFonts w:asciiTheme="majorBidi" w:hAnsiTheme="majorBidi"/>
                <w:b/>
                <w:bCs/>
                <w:color w:val="1D2228"/>
                <w:sz w:val="24"/>
                <w:szCs w:val="24"/>
              </w:rPr>
              <w:t>25</w:t>
            </w:r>
          </w:p>
        </w:tc>
        <w:tc>
          <w:tcPr>
            <w:tcW w:w="1189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sz w:val="24"/>
                <w:szCs w:val="24"/>
              </w:rPr>
              <w:t>Marshall GS</w:t>
            </w:r>
          </w:p>
        </w:tc>
        <w:tc>
          <w:tcPr>
            <w:tcW w:w="3038" w:type="dxa"/>
          </w:tcPr>
          <w:p w:rsidR="00544947" w:rsidRPr="008055C5" w:rsidRDefault="00544947" w:rsidP="00461B3F">
            <w:pPr>
              <w:pBdr>
                <w:bottom w:val="single" w:sz="6" w:space="0" w:color="F1F1F5"/>
              </w:pBd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sz w:val="24"/>
                <w:szCs w:val="24"/>
              </w:rPr>
              <w:t>Syndrome of periodic fever, pharyngitis, and aphthous stomatitis</w:t>
            </w:r>
          </w:p>
        </w:tc>
        <w:tc>
          <w:tcPr>
            <w:tcW w:w="194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jc w:val="center"/>
              <w:rPr>
                <w:rFonts w:asciiTheme="majorBidi" w:hAnsiTheme="majorBidi"/>
                <w:color w:val="1D2228"/>
                <w:sz w:val="24"/>
                <w:szCs w:val="24"/>
              </w:rPr>
            </w:pPr>
            <w:r w:rsidRPr="008055C5">
              <w:rPr>
                <w:rFonts w:asciiTheme="majorBidi" w:hAnsiTheme="majorBidi"/>
                <w:sz w:val="24"/>
                <w:szCs w:val="24"/>
              </w:rPr>
              <w:t>J Pediatr 1987</w:t>
            </w:r>
          </w:p>
        </w:tc>
        <w:tc>
          <w:tcPr>
            <w:tcW w:w="1123" w:type="dxa"/>
          </w:tcPr>
          <w:p w:rsidR="00544947" w:rsidRPr="008055C5" w:rsidRDefault="00544947" w:rsidP="00461B3F">
            <w:pPr>
              <w:bidi w:val="0"/>
              <w:spacing w:beforeAutospacing="1" w:after="100" w:afterAutospacing="1"/>
              <w:rPr>
                <w:rFonts w:asciiTheme="majorBidi" w:hAnsiTheme="majorBidi"/>
                <w:color w:val="1D2228"/>
                <w:sz w:val="24"/>
                <w:szCs w:val="24"/>
              </w:rPr>
            </w:pPr>
            <w:r>
              <w:rPr>
                <w:rFonts w:asciiTheme="majorBidi" w:hAnsiTheme="majorBidi"/>
                <w:color w:val="1D2228"/>
                <w:sz w:val="24"/>
                <w:szCs w:val="24"/>
              </w:rPr>
              <w:t>4</w:t>
            </w:r>
          </w:p>
        </w:tc>
      </w:tr>
    </w:tbl>
    <w:p w:rsidR="00544947" w:rsidRDefault="00544947" w:rsidP="00544947">
      <w:pPr>
        <w:bidi w:val="0"/>
        <w:rPr>
          <w:rFonts w:asciiTheme="majorBidi" w:hAnsiTheme="majorBidi"/>
          <w:sz w:val="24"/>
          <w:szCs w:val="24"/>
        </w:rPr>
      </w:pPr>
    </w:p>
    <w:p w:rsidR="00544947" w:rsidRPr="006E228F" w:rsidRDefault="00544947" w:rsidP="00544947">
      <w:pPr>
        <w:bidi w:val="0"/>
        <w:rPr>
          <w:rFonts w:asciiTheme="majorBidi" w:hAnsiTheme="majorBidi"/>
          <w:sz w:val="24"/>
          <w:szCs w:val="24"/>
        </w:rPr>
      </w:pPr>
      <w:r w:rsidRPr="006E228F">
        <w:rPr>
          <w:rFonts w:asciiTheme="majorBidi" w:hAnsiTheme="majorBidi"/>
          <w:sz w:val="24"/>
          <w:szCs w:val="24"/>
        </w:rPr>
        <w:t>*</w:t>
      </w:r>
      <w:r>
        <w:rPr>
          <w:rFonts w:asciiTheme="majorBidi" w:hAnsiTheme="majorBidi"/>
          <w:sz w:val="24"/>
          <w:szCs w:val="24"/>
        </w:rPr>
        <w:t xml:space="preserve"> Grading was performed according to the </w:t>
      </w:r>
      <w:r w:rsidRPr="006E228F">
        <w:rPr>
          <w:rFonts w:asciiTheme="majorBidi" w:hAnsiTheme="majorBidi"/>
          <w:sz w:val="24"/>
          <w:szCs w:val="24"/>
        </w:rPr>
        <w:t xml:space="preserve">OCEBM Levels of Evidence Working Group. </w:t>
      </w:r>
      <w:proofErr w:type="gramStart"/>
      <w:r w:rsidRPr="006E228F">
        <w:rPr>
          <w:rFonts w:asciiTheme="majorBidi" w:hAnsiTheme="majorBidi"/>
          <w:sz w:val="24"/>
          <w:szCs w:val="24"/>
        </w:rPr>
        <w:t>“The Oxford Levels of Evidence 2</w:t>
      </w:r>
      <w:r w:rsidRPr="006E228F">
        <w:rPr>
          <w:rFonts w:asciiTheme="majorBidi" w:hAnsiTheme="majorBidi"/>
          <w:sz w:val="24"/>
          <w:szCs w:val="24"/>
          <w:rtl/>
        </w:rPr>
        <w:t>”.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gramStart"/>
      <w:r w:rsidRPr="006E228F">
        <w:rPr>
          <w:rFonts w:asciiTheme="majorBidi" w:hAnsiTheme="majorBidi"/>
          <w:sz w:val="24"/>
          <w:szCs w:val="24"/>
        </w:rPr>
        <w:t>Oxford Centre for Evidence-Based Medicine.</w:t>
      </w:r>
      <w:proofErr w:type="gramEnd"/>
      <w:r w:rsidRPr="006E228F">
        <w:rPr>
          <w:rFonts w:asciiTheme="majorBidi" w:hAnsiTheme="majorBidi"/>
          <w:sz w:val="24"/>
          <w:szCs w:val="24"/>
        </w:rPr>
        <w:t xml:space="preserve"> </w:t>
      </w:r>
      <w:r>
        <w:rPr>
          <w:rFonts w:ascii="Helvetica" w:hAnsi="Helvetica" w:cs="Helvetica"/>
          <w:color w:val="444444"/>
          <w:sz w:val="27"/>
          <w:szCs w:val="27"/>
          <w:shd w:val="clear" w:color="auto" w:fill="F3F3F3"/>
        </w:rPr>
        <w:t> </w:t>
      </w:r>
      <w:hyperlink r:id="rId5" w:history="1">
        <w:r>
          <w:rPr>
            <w:rStyle w:val="Hyperlink"/>
            <w:rFonts w:ascii="Helvetica" w:hAnsi="Helvetica" w:cs="Helvetica"/>
            <w:color w:val="164781"/>
            <w:sz w:val="27"/>
            <w:szCs w:val="27"/>
            <w:bdr w:val="none" w:sz="0" w:space="0" w:color="auto" w:frame="1"/>
            <w:shd w:val="clear" w:color="auto" w:fill="F3F3F3"/>
          </w:rPr>
          <w:t>https://www.cebm.net/index.aspx?o=5653</w:t>
        </w:r>
      </w:hyperlink>
      <w:r>
        <w:rPr>
          <w:rFonts w:asciiTheme="majorBidi" w:hAnsiTheme="majorBidi"/>
          <w:sz w:val="24"/>
          <w:szCs w:val="24"/>
        </w:rPr>
        <w:t>.</w:t>
      </w:r>
    </w:p>
    <w:p w:rsidR="00544947" w:rsidRPr="0074151F" w:rsidRDefault="00544947" w:rsidP="00544947">
      <w:pPr>
        <w:autoSpaceDE w:val="0"/>
        <w:autoSpaceDN w:val="0"/>
        <w:bidi w:val="0"/>
        <w:adjustRightInd w:val="0"/>
        <w:spacing w:after="0" w:line="480" w:lineRule="auto"/>
        <w:ind w:left="1418" w:hanging="1418"/>
        <w:rPr>
          <w:rFonts w:asciiTheme="majorBidi" w:eastAsia="Times New Roman" w:hAnsiTheme="majorBidi" w:cstheme="majorBidi"/>
          <w:iCs/>
          <w:snapToGrid w:val="0"/>
          <w:sz w:val="24"/>
          <w:szCs w:val="24"/>
          <w:lang w:eastAsia="he-IL"/>
        </w:rPr>
      </w:pPr>
    </w:p>
    <w:p w:rsidR="00F374EE" w:rsidRDefault="00F374EE">
      <w:pPr>
        <w:rPr>
          <w:rFonts w:hint="cs"/>
          <w:rtl/>
          <w:lang w:bidi="he-IL"/>
        </w:rPr>
      </w:pPr>
      <w:bookmarkStart w:id="0" w:name="_GoBack"/>
      <w:bookmarkEnd w:id="0"/>
    </w:p>
    <w:sectPr w:rsidR="00F374EE" w:rsidSect="008E3CFD">
      <w:headerReference w:type="firs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51" w:rsidRDefault="005449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47"/>
    <w:rsid w:val="00544947"/>
    <w:rsid w:val="005D18FB"/>
    <w:rsid w:val="00F3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47"/>
    <w:pPr>
      <w:bidi/>
    </w:pPr>
    <w:rPr>
      <w:rFonts w:ascii="Times New Roman" w:eastAsia="Calibri" w:hAnsi="Times New Roman" w:cs="Times New Roman"/>
      <w:sz w:val="20"/>
      <w:szCs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4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44947"/>
    <w:rPr>
      <w:rFonts w:ascii="Times New Roman" w:eastAsia="Calibri" w:hAnsi="Times New Roman" w:cs="Times New Roman"/>
      <w:sz w:val="20"/>
      <w:szCs w:val="16"/>
      <w:lang w:bidi="ar-SA"/>
    </w:rPr>
  </w:style>
  <w:style w:type="table" w:styleId="a5">
    <w:name w:val="Table Grid"/>
    <w:basedOn w:val="a1"/>
    <w:uiPriority w:val="39"/>
    <w:rsid w:val="00544947"/>
    <w:pPr>
      <w:spacing w:after="0" w:line="240" w:lineRule="auto"/>
    </w:pPr>
    <w:rPr>
      <w:rFonts w:ascii="Times New Roman" w:eastAsia="Calibri" w:hAnsi="Times New Roman" w:cs="Times New Roman"/>
      <w:sz w:val="20"/>
      <w:szCs w:val="16"/>
      <w:lang w:val="da-DK" w:eastAsia="da-DK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449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47"/>
    <w:pPr>
      <w:bidi/>
    </w:pPr>
    <w:rPr>
      <w:rFonts w:ascii="Times New Roman" w:eastAsia="Calibri" w:hAnsi="Times New Roman" w:cs="Times New Roman"/>
      <w:sz w:val="20"/>
      <w:szCs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4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44947"/>
    <w:rPr>
      <w:rFonts w:ascii="Times New Roman" w:eastAsia="Calibri" w:hAnsi="Times New Roman" w:cs="Times New Roman"/>
      <w:sz w:val="20"/>
      <w:szCs w:val="16"/>
      <w:lang w:bidi="ar-SA"/>
    </w:rPr>
  </w:style>
  <w:style w:type="table" w:styleId="a5">
    <w:name w:val="Table Grid"/>
    <w:basedOn w:val="a1"/>
    <w:uiPriority w:val="39"/>
    <w:rsid w:val="00544947"/>
    <w:pPr>
      <w:spacing w:after="0" w:line="240" w:lineRule="auto"/>
    </w:pPr>
    <w:rPr>
      <w:rFonts w:ascii="Times New Roman" w:eastAsia="Calibri" w:hAnsi="Times New Roman" w:cs="Times New Roman"/>
      <w:sz w:val="20"/>
      <w:szCs w:val="16"/>
      <w:lang w:val="da-DK" w:eastAsia="da-DK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449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cebm.net/index.aspx?o=5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2019-12-15T06:28:00Z</dcterms:created>
  <dcterms:modified xsi:type="dcterms:W3CDTF">2019-12-15T06:29:00Z</dcterms:modified>
</cp:coreProperties>
</file>