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42" w:rsidRDefault="000E3042" w:rsidP="000E3042">
      <w:pPr>
        <w:jc w:val="center"/>
      </w:pPr>
      <w:r>
        <w:rPr>
          <w:noProof/>
        </w:rPr>
        <w:drawing>
          <wp:inline distT="0" distB="0" distL="0" distR="0" wp14:anchorId="3BF99517" wp14:editId="70D963FA">
            <wp:extent cx="5274310" cy="44507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42" w:rsidRDefault="000E3042" w:rsidP="008E074C">
      <w:pPr>
        <w:spacing w:beforeLines="50" w:before="156" w:line="360" w:lineRule="auto"/>
        <w:rPr>
          <w:rFonts w:ascii="Times New Roman" w:hAnsi="Times New Roman" w:cs="Times New Roman"/>
          <w:kern w:val="0"/>
          <w:szCs w:val="21"/>
        </w:rPr>
      </w:pPr>
      <w:r w:rsidRPr="006D6FC4">
        <w:rPr>
          <w:rFonts w:ascii="Times New Roman" w:hAnsi="Times New Roman" w:cs="Times New Roman"/>
          <w:b/>
          <w:bCs/>
          <w:kern w:val="0"/>
          <w:szCs w:val="21"/>
        </w:rPr>
        <w:t xml:space="preserve">Fig.S1 </w:t>
      </w:r>
      <w:r w:rsidRPr="000E3042">
        <w:rPr>
          <w:rFonts w:ascii="Times New Roman" w:hAnsi="Times New Roman" w:cs="Times New Roman"/>
          <w:szCs w:val="21"/>
          <w:lang w:val="en-GB"/>
        </w:rPr>
        <w:t>Descriptive model of</w:t>
      </w:r>
      <w:r w:rsidRPr="000E3042">
        <w:rPr>
          <w:rFonts w:ascii="Times New Roman" w:hAnsi="Times New Roman" w:cs="Times New Roman"/>
          <w:lang w:val="en-GB"/>
        </w:rPr>
        <w:t xml:space="preserve"> relationships between GSH accumulation, heat shock protein and energy homeostasis in plants under cold stress.</w:t>
      </w:r>
      <w:r w:rsidRPr="00E91CAB">
        <w:rPr>
          <w:rFonts w:ascii="Times New Roman" w:hAnsi="Times New Roman" w:cs="Times New Roman" w:hint="eastAsia"/>
          <w:lang w:val="en-GB"/>
        </w:rPr>
        <w:t xml:space="preserve"> The GSH play</w:t>
      </w:r>
      <w:r w:rsidRPr="00E91CAB">
        <w:rPr>
          <w:rFonts w:ascii="Times New Roman" w:hAnsi="Times New Roman" w:cs="Times New Roman"/>
          <w:lang w:val="en-GB"/>
        </w:rPr>
        <w:t>s</w:t>
      </w:r>
      <w:r w:rsidRPr="00E91CAB">
        <w:rPr>
          <w:rFonts w:ascii="Times New Roman" w:hAnsi="Times New Roman" w:cs="Times New Roman" w:hint="eastAsia"/>
          <w:lang w:val="en-GB"/>
        </w:rPr>
        <w:t xml:space="preserve"> a key role in reducing ROS by regulating the APX activity in plants, which could alleviate cold damage. </w:t>
      </w:r>
      <w:r w:rsidRPr="00E91CAB">
        <w:rPr>
          <w:rFonts w:ascii="Times New Roman" w:hAnsi="Times New Roman" w:cs="Times New Roman"/>
          <w:lang w:val="en-GB"/>
        </w:rPr>
        <w:t>During</w:t>
      </w:r>
      <w:r w:rsidRPr="00E91CAB">
        <w:rPr>
          <w:rFonts w:ascii="Times New Roman" w:hAnsi="Times New Roman" w:cs="Times New Roman" w:hint="eastAsia"/>
          <w:lang w:val="en-GB"/>
        </w:rPr>
        <w:t xml:space="preserve"> this process, t</w:t>
      </w:r>
      <w:r w:rsidRPr="00E91CAB">
        <w:rPr>
          <w:rFonts w:ascii="Times New Roman" w:hAnsi="Times New Roman" w:cs="Times New Roman"/>
          <w:lang w:val="en-GB"/>
        </w:rPr>
        <w:t>he</w:t>
      </w:r>
      <w:r w:rsidRPr="00E91CAB">
        <w:rPr>
          <w:rFonts w:ascii="Times New Roman" w:hAnsi="Times New Roman" w:cs="Times New Roman" w:hint="eastAsia"/>
          <w:lang w:val="en-GB"/>
        </w:rPr>
        <w:t xml:space="preserve"> </w:t>
      </w:r>
      <w:r w:rsidRPr="00E91CAB">
        <w:rPr>
          <w:rFonts w:ascii="Times New Roman" w:hAnsi="Times New Roman" w:cs="Times New Roman"/>
          <w:lang w:val="en-GB"/>
        </w:rPr>
        <w:t>accumulation</w:t>
      </w:r>
      <w:r w:rsidRPr="00E91CAB">
        <w:rPr>
          <w:rFonts w:ascii="Times New Roman" w:hAnsi="Times New Roman" w:cs="Times New Roman" w:hint="eastAsia"/>
          <w:lang w:val="en-GB"/>
        </w:rPr>
        <w:t xml:space="preserve"> </w:t>
      </w:r>
      <w:r w:rsidRPr="00E91CAB">
        <w:rPr>
          <w:rFonts w:ascii="Times New Roman" w:hAnsi="Times New Roman" w:cs="Times New Roman"/>
          <w:lang w:val="en-GB"/>
        </w:rPr>
        <w:t xml:space="preserve">of </w:t>
      </w:r>
      <w:r w:rsidRPr="00E91CAB">
        <w:rPr>
          <w:rFonts w:ascii="Times New Roman" w:hAnsi="Times New Roman" w:cs="Times New Roman" w:hint="eastAsia"/>
          <w:lang w:val="en-GB"/>
        </w:rPr>
        <w:t xml:space="preserve">GSH is </w:t>
      </w:r>
      <w:r w:rsidRPr="00E91CAB">
        <w:rPr>
          <w:rFonts w:ascii="Times New Roman" w:hAnsi="Times New Roman" w:cs="Times New Roman"/>
          <w:lang w:val="en-GB"/>
        </w:rPr>
        <w:t>determined</w:t>
      </w:r>
      <w:r w:rsidRPr="00E91CAB">
        <w:rPr>
          <w:rFonts w:ascii="Times New Roman" w:hAnsi="Times New Roman" w:cs="Times New Roman" w:hint="eastAsia"/>
          <w:lang w:val="en-GB"/>
        </w:rPr>
        <w:t xml:space="preserve"> by GSH-S and GR, the former </w:t>
      </w:r>
      <w:r w:rsidRPr="00E91CAB">
        <w:rPr>
          <w:rFonts w:ascii="Times New Roman" w:hAnsi="Times New Roman" w:cs="Times New Roman"/>
          <w:lang w:val="en-GB"/>
        </w:rPr>
        <w:t>consume</w:t>
      </w:r>
      <w:r w:rsidRPr="00E91CAB">
        <w:rPr>
          <w:rFonts w:ascii="Times New Roman" w:hAnsi="Times New Roman" w:cs="Times New Roman" w:hint="eastAsia"/>
          <w:lang w:val="en-GB"/>
        </w:rPr>
        <w:t>s ATP</w:t>
      </w:r>
      <w:r w:rsidRPr="00E91CAB">
        <w:rPr>
          <w:rFonts w:ascii="Times New Roman" w:hAnsi="Times New Roman" w:cs="Times New Roman"/>
          <w:lang w:val="en-GB"/>
        </w:rPr>
        <w:t>,</w:t>
      </w:r>
      <w:r w:rsidRPr="00E91CAB">
        <w:rPr>
          <w:rFonts w:ascii="Times New Roman" w:hAnsi="Times New Roman" w:cs="Times New Roman" w:hint="eastAsia"/>
          <w:lang w:val="en-GB"/>
        </w:rPr>
        <w:t xml:space="preserve"> while the latter consumes NADPH. The heat shock protein could be induced by ROS, which in turn could reduce </w:t>
      </w:r>
      <w:r w:rsidRPr="00E91CAB">
        <w:rPr>
          <w:rFonts w:ascii="Times New Roman" w:hAnsi="Times New Roman" w:cs="Times New Roman"/>
          <w:lang w:val="en-GB"/>
        </w:rPr>
        <w:t>excess</w:t>
      </w:r>
      <w:r w:rsidRPr="00E91CAB">
        <w:rPr>
          <w:rFonts w:ascii="Times New Roman" w:hAnsi="Times New Roman" w:cs="Times New Roman" w:hint="eastAsia"/>
          <w:lang w:val="en-GB"/>
        </w:rPr>
        <w:t xml:space="preserve"> ROS in plants. </w:t>
      </w:r>
      <w:r w:rsidRPr="00E91CAB">
        <w:rPr>
          <w:rFonts w:ascii="Times New Roman" w:hAnsi="Times New Roman" w:cs="Times New Roman"/>
          <w:lang w:val="en-GB"/>
        </w:rPr>
        <w:t>I</w:t>
      </w:r>
      <w:r w:rsidRPr="00E91CAB">
        <w:rPr>
          <w:rFonts w:ascii="Times New Roman" w:hAnsi="Times New Roman" w:cs="Times New Roman" w:hint="eastAsia"/>
          <w:lang w:val="en-GB"/>
        </w:rPr>
        <w:t xml:space="preserve">ndeed, the </w:t>
      </w:r>
      <w:r w:rsidRPr="00E91CAB">
        <w:rPr>
          <w:rFonts w:ascii="Times New Roman" w:hAnsi="Times New Roman" w:cs="Times New Roman"/>
          <w:lang w:val="en-GB"/>
        </w:rPr>
        <w:t>accumulation of heat shock protein is a process of high energy consumption</w:t>
      </w:r>
      <w:r w:rsidRPr="00E91CAB">
        <w:rPr>
          <w:rFonts w:ascii="Times New Roman" w:hAnsi="Times New Roman" w:cs="Times New Roman" w:hint="eastAsia"/>
          <w:lang w:val="en-GB"/>
        </w:rPr>
        <w:t xml:space="preserve"> via consuming ATP. Thus, PARP </w:t>
      </w:r>
      <w:r w:rsidRPr="00E91CAB">
        <w:rPr>
          <w:rFonts w:ascii="Times New Roman" w:hAnsi="Times New Roman" w:cs="Times New Roman"/>
          <w:lang w:val="en-GB"/>
        </w:rPr>
        <w:t>can be activated</w:t>
      </w:r>
      <w:r w:rsidRPr="00E91CAB">
        <w:rPr>
          <w:rFonts w:ascii="Times New Roman" w:hAnsi="Times New Roman" w:cs="Times New Roman" w:hint="eastAsia"/>
          <w:lang w:val="en-GB"/>
        </w:rPr>
        <w:t xml:space="preserve"> by ROS </w:t>
      </w:r>
      <w:r w:rsidRPr="00E91CAB">
        <w:rPr>
          <w:rFonts w:ascii="Times New Roman" w:hAnsi="Times New Roman" w:cs="Times New Roman"/>
          <w:lang w:val="en-GB"/>
        </w:rPr>
        <w:t xml:space="preserve">which could </w:t>
      </w:r>
      <w:r w:rsidRPr="00E91CAB">
        <w:rPr>
          <w:rFonts w:ascii="Times New Roman" w:hAnsi="Times New Roman" w:cs="Times New Roman" w:hint="eastAsia"/>
          <w:lang w:val="en-GB"/>
        </w:rPr>
        <w:t xml:space="preserve">inhibit the </w:t>
      </w:r>
      <w:r w:rsidRPr="00E91CAB">
        <w:rPr>
          <w:rFonts w:ascii="Times New Roman" w:hAnsi="Times New Roman" w:cs="Times New Roman"/>
          <w:lang w:val="en-GB"/>
        </w:rPr>
        <w:t>accumulation</w:t>
      </w:r>
      <w:r w:rsidRPr="00E91CAB">
        <w:rPr>
          <w:rFonts w:ascii="Times New Roman" w:hAnsi="Times New Roman" w:cs="Times New Roman" w:hint="eastAsia"/>
          <w:lang w:val="en-GB"/>
        </w:rPr>
        <w:t xml:space="preserve"> of heat shock protein</w:t>
      </w:r>
      <w:r w:rsidRPr="00E91CAB">
        <w:rPr>
          <w:rFonts w:ascii="Times New Roman" w:hAnsi="Times New Roman" w:cs="Times New Roman"/>
          <w:lang w:val="en-GB"/>
        </w:rPr>
        <w:t>s because</w:t>
      </w:r>
      <w:r w:rsidRPr="00E91CAB">
        <w:rPr>
          <w:rFonts w:ascii="Times New Roman" w:hAnsi="Times New Roman" w:cs="Times New Roman" w:hint="eastAsia"/>
          <w:lang w:val="en-GB"/>
        </w:rPr>
        <w:t xml:space="preserve"> it </w:t>
      </w:r>
      <w:r w:rsidRPr="00E91CAB">
        <w:rPr>
          <w:rFonts w:ascii="Times New Roman" w:hAnsi="Times New Roman" w:cs="Times New Roman"/>
          <w:lang w:val="en-GB"/>
        </w:rPr>
        <w:t>can</w:t>
      </w:r>
      <w:r w:rsidRPr="00E91CAB">
        <w:rPr>
          <w:rFonts w:ascii="Times New Roman" w:hAnsi="Times New Roman" w:cs="Times New Roman" w:hint="eastAsia"/>
          <w:lang w:val="en-GB"/>
        </w:rPr>
        <w:t xml:space="preserve"> consume NAD</w:t>
      </w:r>
      <w:r w:rsidRPr="00E91CAB">
        <w:rPr>
          <w:rFonts w:ascii="Times New Roman" w:hAnsi="Times New Roman" w:cs="Times New Roman" w:hint="eastAsia"/>
          <w:vertAlign w:val="superscript"/>
          <w:lang w:val="en-GB"/>
        </w:rPr>
        <w:t>+</w:t>
      </w:r>
      <w:r w:rsidRPr="00E91CAB">
        <w:rPr>
          <w:rFonts w:ascii="Times New Roman" w:hAnsi="Times New Roman" w:cs="Times New Roman" w:hint="eastAsia"/>
          <w:lang w:val="en-GB"/>
        </w:rPr>
        <w:t xml:space="preserve"> </w:t>
      </w:r>
      <w:r w:rsidRPr="00E91CAB">
        <w:rPr>
          <w:rFonts w:ascii="Times New Roman" w:hAnsi="Times New Roman" w:cs="Times New Roman"/>
          <w:lang w:val="en-GB"/>
        </w:rPr>
        <w:t>and thereby reduce</w:t>
      </w:r>
      <w:r w:rsidRPr="00E91CAB">
        <w:rPr>
          <w:rFonts w:ascii="Times New Roman" w:hAnsi="Times New Roman" w:cs="Times New Roman" w:hint="eastAsia"/>
          <w:lang w:val="en-GB"/>
        </w:rPr>
        <w:t xml:space="preserve"> ATP under cold stress. </w:t>
      </w:r>
      <w:r w:rsidRPr="00E91CAB">
        <w:rPr>
          <w:rFonts w:ascii="Symbol" w:hAnsi="Symbol" w:cs="Times New Roman"/>
          <w:bCs/>
          <w:szCs w:val="21"/>
        </w:rPr>
        <w:t></w:t>
      </w:r>
      <w:r w:rsidRPr="00E91CAB">
        <w:rPr>
          <w:rFonts w:ascii="Times New Roman" w:hAnsi="Times New Roman" w:cs="Times New Roman"/>
          <w:bCs/>
          <w:szCs w:val="21"/>
        </w:rPr>
        <w:t xml:space="preserve">-EC, </w:t>
      </w:r>
      <w:r w:rsidRPr="00E91CAB">
        <w:rPr>
          <w:rFonts w:ascii="Symbol" w:eastAsia="SymbolBS-I" w:hAnsi="Symbol" w:cs="Times New Roman"/>
          <w:kern w:val="0"/>
          <w:szCs w:val="21"/>
        </w:rPr>
        <w:t></w:t>
      </w:r>
      <w:r w:rsidRPr="00E91CAB">
        <w:rPr>
          <w:rFonts w:ascii="Times New Roman" w:eastAsia="SymbolBS-I" w:hAnsi="Times New Roman" w:cs="Times New Roman"/>
          <w:kern w:val="0"/>
          <w:szCs w:val="21"/>
        </w:rPr>
        <w:t xml:space="preserve">-glutamylcysteine; </w:t>
      </w:r>
      <w:r w:rsidRPr="00E91CAB">
        <w:rPr>
          <w:rFonts w:ascii="Times New Roman" w:hAnsi="Times New Roman" w:cs="Times New Roman"/>
          <w:bCs/>
          <w:szCs w:val="21"/>
        </w:rPr>
        <w:t xml:space="preserve">Gly, </w:t>
      </w:r>
      <w:r w:rsidRPr="00E91CAB">
        <w:rPr>
          <w:rFonts w:ascii="Times New Roman" w:hAnsi="Times New Roman" w:cs="Times New Roman"/>
          <w:szCs w:val="21"/>
          <w:shd w:val="clear" w:color="auto" w:fill="FFFFFF"/>
        </w:rPr>
        <w:t>Glycine</w:t>
      </w:r>
      <w:r w:rsidRPr="00E91CAB">
        <w:rPr>
          <w:rFonts w:ascii="Times New Roman" w:hAnsi="Times New Roman" w:cs="Times New Roman" w:hint="eastAsia"/>
          <w:szCs w:val="21"/>
          <w:shd w:val="clear" w:color="auto" w:fill="FFFFFF"/>
        </w:rPr>
        <w:t xml:space="preserve">; </w:t>
      </w:r>
      <w:r w:rsidRPr="00E91CAB">
        <w:rPr>
          <w:rFonts w:ascii="Times New Roman" w:hAnsi="Times New Roman" w:cs="Times New Roman" w:hint="eastAsia"/>
          <w:kern w:val="0"/>
          <w:szCs w:val="21"/>
        </w:rPr>
        <w:t>GSH, G</w:t>
      </w:r>
      <w:r w:rsidRPr="00E91CAB">
        <w:rPr>
          <w:rFonts w:ascii="Times New Roman" w:hAnsi="Times New Roman" w:cs="Times New Roman"/>
          <w:kern w:val="0"/>
          <w:szCs w:val="21"/>
        </w:rPr>
        <w:t>lutathione</w:t>
      </w:r>
      <w:r w:rsidRPr="00E91CAB">
        <w:rPr>
          <w:rFonts w:ascii="Times New Roman" w:hAnsi="Times New Roman" w:cs="Times New Roman" w:hint="eastAsia"/>
          <w:kern w:val="0"/>
          <w:szCs w:val="21"/>
        </w:rPr>
        <w:t xml:space="preserve">; 3-ab, </w:t>
      </w:r>
      <w:r w:rsidRPr="00E91CAB">
        <w:rPr>
          <w:rFonts w:ascii="Times New Roman" w:hAnsi="Times New Roman" w:cs="Times New Roman"/>
          <w:szCs w:val="21"/>
          <w:shd w:val="clear" w:color="auto" w:fill="FFFFFF"/>
          <w:lang w:val="en-GB"/>
        </w:rPr>
        <w:t>3</w:t>
      </w:r>
      <w:r w:rsidRPr="00E91CAB">
        <w:rPr>
          <w:rFonts w:ascii="Times New Roman" w:eastAsia="宋体" w:hAnsi="Times New Roman" w:cs="Times New Roman"/>
          <w:szCs w:val="21"/>
          <w:shd w:val="clear" w:color="auto" w:fill="FFFFFF"/>
          <w:lang w:val="en-GB"/>
        </w:rPr>
        <w:t>-</w:t>
      </w:r>
      <w:r w:rsidRPr="00E91CAB">
        <w:rPr>
          <w:rFonts w:ascii="Times New Roman" w:hAnsi="Times New Roman" w:cs="Times New Roman"/>
          <w:szCs w:val="21"/>
          <w:shd w:val="clear" w:color="auto" w:fill="FFFFFF"/>
          <w:lang w:val="en-GB"/>
        </w:rPr>
        <w:t>aminobenzamide</w:t>
      </w:r>
      <w:r w:rsidRPr="00E91CAB">
        <w:rPr>
          <w:rFonts w:ascii="Times New Roman" w:hAnsi="Times New Roman" w:cs="Times New Roman" w:hint="eastAsia"/>
          <w:szCs w:val="21"/>
          <w:shd w:val="clear" w:color="auto" w:fill="FFFFFF"/>
        </w:rPr>
        <w:t xml:space="preserve">; GSH, </w:t>
      </w:r>
      <w:r w:rsidRPr="00E91CAB">
        <w:rPr>
          <w:rFonts w:ascii="Times New Roman" w:hAnsi="Times New Roman" w:cs="Times New Roman"/>
          <w:kern w:val="0"/>
          <w:szCs w:val="21"/>
        </w:rPr>
        <w:t>Glutathione</w:t>
      </w:r>
      <w:r w:rsidRPr="00E91CAB">
        <w:rPr>
          <w:rFonts w:ascii="Times New Roman" w:hAnsi="Times New Roman" w:cs="Times New Roman" w:hint="eastAsia"/>
          <w:szCs w:val="21"/>
          <w:shd w:val="clear" w:color="auto" w:fill="FFFFFF"/>
        </w:rPr>
        <w:t xml:space="preserve">; </w:t>
      </w:r>
      <w:r w:rsidRPr="00E91CAB">
        <w:rPr>
          <w:rFonts w:ascii="Times New Roman" w:hAnsi="Times New Roman" w:cs="Times New Roman" w:hint="eastAsia"/>
          <w:kern w:val="0"/>
          <w:szCs w:val="21"/>
        </w:rPr>
        <w:t>PARP, P</w:t>
      </w:r>
      <w:r w:rsidRPr="00E91CAB">
        <w:rPr>
          <w:rFonts w:ascii="Times New Roman" w:hAnsi="Times New Roman" w:cs="Times New Roman"/>
          <w:kern w:val="0"/>
          <w:szCs w:val="21"/>
        </w:rPr>
        <w:t>oly(ADP-ribose) polymerase</w:t>
      </w:r>
      <w:r>
        <w:rPr>
          <w:rFonts w:ascii="Times New Roman" w:hAnsi="Times New Roman" w:cs="Times New Roman" w:hint="eastAsia"/>
          <w:kern w:val="0"/>
          <w:szCs w:val="21"/>
        </w:rPr>
        <w:t>.</w:t>
      </w:r>
    </w:p>
    <w:p w:rsidR="000E3042" w:rsidRDefault="000E3042" w:rsidP="000E3042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:rsidR="000E3042" w:rsidRDefault="000E3042" w:rsidP="000E3042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:rsidR="000E3042" w:rsidRDefault="000E3042" w:rsidP="000E3042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:rsidR="000E3042" w:rsidRDefault="000E3042" w:rsidP="000E3042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:rsidR="000E3042" w:rsidRDefault="000E3042" w:rsidP="000E304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EDD58BE" wp14:editId="6CA252A7">
            <wp:extent cx="5274310" cy="69005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42" w:rsidRDefault="008E074C" w:rsidP="008E074C">
      <w:pPr>
        <w:spacing w:beforeLines="50" w:before="156" w:line="360" w:lineRule="auto"/>
      </w:pPr>
      <w:r w:rsidRPr="009E6D21">
        <w:rPr>
          <w:rFonts w:ascii="Times New Roman" w:hAnsi="Times New Roman" w:cs="Times New Roman" w:hint="eastAsia"/>
          <w:b/>
          <w:bCs/>
          <w:kern w:val="0"/>
          <w:szCs w:val="21"/>
          <w:lang w:val="en-GB"/>
        </w:rPr>
        <w:t>Fig.</w:t>
      </w:r>
      <w:r>
        <w:rPr>
          <w:rFonts w:ascii="Times New Roman" w:hAnsi="Times New Roman" w:cs="Times New Roman"/>
          <w:b/>
          <w:bCs/>
          <w:kern w:val="0"/>
          <w:szCs w:val="21"/>
          <w:lang w:val="en-GB"/>
        </w:rPr>
        <w:t xml:space="preserve"> </w:t>
      </w:r>
      <w:r w:rsidRPr="009E6D21">
        <w:rPr>
          <w:rFonts w:ascii="Times New Roman" w:hAnsi="Times New Roman" w:cs="Times New Roman" w:hint="eastAsia"/>
          <w:b/>
          <w:bCs/>
          <w:kern w:val="0"/>
          <w:szCs w:val="21"/>
          <w:lang w:val="en-GB"/>
        </w:rPr>
        <w:t>S2</w:t>
      </w:r>
      <w:r>
        <w:rPr>
          <w:rFonts w:ascii="Times New Roman" w:hAnsi="Times New Roman" w:cs="Times New Roman" w:hint="eastAsia"/>
          <w:kern w:val="0"/>
          <w:szCs w:val="21"/>
          <w:lang w:val="en-GB"/>
        </w:rPr>
        <w:t xml:space="preserve"> The morphology of the second and old leaves in RIL82 plants under cold stress. SL, </w:t>
      </w:r>
      <w:r w:rsidR="004F0DA5">
        <w:rPr>
          <w:rFonts w:ascii="Times New Roman" w:hAnsi="Times New Roman" w:cs="Times New Roman"/>
          <w:kern w:val="0"/>
          <w:szCs w:val="21"/>
          <w:lang w:val="en-GB"/>
        </w:rPr>
        <w:t>S</w:t>
      </w:r>
      <w:r>
        <w:rPr>
          <w:rFonts w:ascii="Times New Roman" w:hAnsi="Times New Roman" w:cs="Times New Roman"/>
          <w:kern w:val="0"/>
          <w:szCs w:val="21"/>
          <w:lang w:val="en-GB"/>
        </w:rPr>
        <w:t>econd</w:t>
      </w:r>
      <w:r>
        <w:rPr>
          <w:rFonts w:ascii="Times New Roman" w:hAnsi="Times New Roman" w:cs="Times New Roman" w:hint="eastAsia"/>
          <w:kern w:val="0"/>
          <w:szCs w:val="21"/>
          <w:lang w:val="en-GB"/>
        </w:rPr>
        <w:t xml:space="preserve"> leaf; OL, </w:t>
      </w:r>
      <w:r w:rsidR="004F0DA5">
        <w:rPr>
          <w:rFonts w:ascii="Times New Roman" w:hAnsi="Times New Roman" w:cs="Times New Roman"/>
          <w:kern w:val="0"/>
          <w:szCs w:val="21"/>
          <w:lang w:val="en-GB"/>
        </w:rPr>
        <w:t>O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21"/>
          <w:lang w:val="en-GB"/>
        </w:rPr>
        <w:t>ld leaf.</w:t>
      </w:r>
    </w:p>
    <w:p w:rsidR="000E3042" w:rsidRDefault="000E3042" w:rsidP="000E3042">
      <w:pPr>
        <w:spacing w:line="360" w:lineRule="auto"/>
      </w:pPr>
    </w:p>
    <w:p w:rsidR="000E3042" w:rsidRDefault="000E3042" w:rsidP="000E3042">
      <w:pPr>
        <w:spacing w:line="360" w:lineRule="auto"/>
      </w:pPr>
    </w:p>
    <w:p w:rsidR="000E3042" w:rsidRDefault="000E3042" w:rsidP="000E3042">
      <w:pPr>
        <w:spacing w:line="360" w:lineRule="auto"/>
      </w:pPr>
    </w:p>
    <w:p w:rsidR="000E3042" w:rsidRDefault="000E3042" w:rsidP="000E3042">
      <w:pPr>
        <w:spacing w:line="360" w:lineRule="auto"/>
      </w:pPr>
    </w:p>
    <w:p w:rsidR="000E3042" w:rsidRPr="009E6FEF" w:rsidRDefault="000E3042" w:rsidP="000E3042">
      <w:pPr>
        <w:spacing w:afterLines="50" w:after="156" w:line="360" w:lineRule="exact"/>
        <w:rPr>
          <w:rFonts w:ascii="Times New Roman" w:eastAsia="宋体" w:hAnsi="Times New Roman" w:cs="Times New Roman"/>
          <w:b/>
          <w:color w:val="000000"/>
          <w:szCs w:val="21"/>
        </w:rPr>
      </w:pPr>
      <w:r w:rsidRPr="009E6FEF">
        <w:rPr>
          <w:rFonts w:ascii="Times New Roman" w:eastAsia="宋体" w:hAnsi="Times New Roman" w:cs="Times New Roman"/>
          <w:b/>
          <w:color w:val="000000"/>
          <w:szCs w:val="21"/>
        </w:rPr>
        <w:lastRenderedPageBreak/>
        <w:t xml:space="preserve">Table </w:t>
      </w:r>
      <w:r w:rsidRPr="009E6FEF">
        <w:rPr>
          <w:rFonts w:ascii="Times New Roman" w:eastAsia="宋体" w:hAnsi="Times New Roman" w:cs="Times New Roman" w:hint="eastAsia"/>
          <w:b/>
          <w:color w:val="000000"/>
          <w:szCs w:val="21"/>
        </w:rPr>
        <w:t>S</w:t>
      </w:r>
      <w:r w:rsidRPr="009E6FEF">
        <w:rPr>
          <w:rFonts w:ascii="Times New Roman" w:eastAsia="宋体" w:hAnsi="Times New Roman" w:cs="Times New Roman"/>
          <w:b/>
          <w:color w:val="000000"/>
          <w:szCs w:val="21"/>
        </w:rPr>
        <w:t xml:space="preserve">1. </w:t>
      </w:r>
      <w:r w:rsidRPr="000E3042">
        <w:rPr>
          <w:rFonts w:ascii="Times New Roman" w:eastAsia="宋体" w:hAnsi="Times New Roman" w:cs="Times New Roman"/>
          <w:bCs/>
          <w:color w:val="000000"/>
          <w:szCs w:val="21"/>
        </w:rPr>
        <w:t>Primer sequences used in quantitative Real-Time reverse transcription PCR.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3100"/>
        <w:gridCol w:w="3099"/>
      </w:tblGrid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Locus ID, gene name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Forward</w:t>
            </w:r>
            <w:r w:rsidRPr="009E6F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6FEF">
                <w:rPr>
                  <w:rFonts w:ascii="Times New Roman" w:eastAsia="宋体" w:hAnsi="Times New Roman" w:cs="Times New Roman"/>
                  <w:color w:val="000000"/>
                  <w:sz w:val="18"/>
                  <w:szCs w:val="18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6FEF">
                <w:rPr>
                  <w:rFonts w:ascii="Times New Roman" w:eastAsia="宋体" w:hAnsi="Times New Roman" w:cs="Times New Roman"/>
                  <w:color w:val="000000"/>
                  <w:sz w:val="18"/>
                  <w:szCs w:val="18"/>
                </w:rPr>
                <w:t>-3’</w:t>
              </w:r>
            </w:smartTag>
            <w:r w:rsidRPr="009E6F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 xml:space="preserve">Reverse </w:t>
            </w:r>
            <w:r w:rsidRPr="009E6F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6FEF">
                <w:rPr>
                  <w:rFonts w:ascii="Times New Roman" w:eastAsia="宋体" w:hAnsi="Times New Roman" w:cs="Times New Roman"/>
                  <w:color w:val="000000"/>
                  <w:sz w:val="18"/>
                  <w:szCs w:val="18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6FEF">
                <w:rPr>
                  <w:rFonts w:ascii="Times New Roman" w:eastAsia="宋体" w:hAnsi="Times New Roman" w:cs="Times New Roman"/>
                  <w:color w:val="000000"/>
                  <w:sz w:val="18"/>
                  <w:szCs w:val="18"/>
                </w:rPr>
                <w:t>-3’</w:t>
              </w:r>
            </w:smartTag>
            <w:r w:rsidRPr="009E6FE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9E6FEF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05g</w:t>
              </w:r>
            </w:smartTag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45420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,</w:t>
            </w:r>
            <w:r w:rsidRPr="009E6FE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 xml:space="preserve"> SnRK1A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ACAACCAGTGGCTACCTTGG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CGATGATCAGTGGCTGAGTT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9E6FEF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07g</w:t>
              </w:r>
            </w:smartTag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09610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,</w:t>
            </w: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E6FE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SnRK1B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ATATCAGGCGCCGAATACTG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TGTGCCTGAAGAACTTGCTG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LOC_Os05g14550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Pr="009E6FEF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GCTGAACGCTGCAATGACTA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ACCGAACAAGTACTGGAGCA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LOC_Os03g16860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Pr="009E6FEF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HSP71.1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CTACGAGGGCATCGACTTCT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CGGTGCTCTTGTCCATCTTG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LOC_Os02g52150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Pr="009E6FEF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HSP24.1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TGAGCCTCATGGACGACCT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CCCTTGATCACGAGGCTGTT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LOC_Os07g27790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Pr="009E6FEF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GSH</w:t>
            </w:r>
            <w:r w:rsidRPr="009E6FEF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TCCTGAGGTCAGGCTGAAG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GGCAAAGCACACAATCTCC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LOC_Os05g03820,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9E6FE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GSH2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</w:t>
            </w: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GAGATTGTGTGCTTTGCCA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</w:t>
            </w: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GAAGGGTGTCTTCAAACCG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NC_001320.1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Pr="009E6FE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ATPase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</w:t>
            </w: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CGGTGGAGCTACTCTTGGA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</w:t>
            </w: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GGGCGCGGATCTATGAATA</w:t>
            </w:r>
          </w:p>
        </w:tc>
      </w:tr>
      <w:tr w:rsidR="000E3042" w:rsidRPr="009E6FEF" w:rsidTr="00573EBD">
        <w:trPr>
          <w:trHeight w:val="340"/>
          <w:jc w:val="center"/>
        </w:trPr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9E6FEF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01g</w:t>
              </w:r>
            </w:smartTag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22490 </w:t>
            </w:r>
            <w:r w:rsidRPr="009E6FE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,</w:t>
            </w:r>
            <w:r w:rsidRPr="009E6FE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UBQ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GACTACAACATCCAGAAGGAGTC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042" w:rsidRPr="009E6FEF" w:rsidRDefault="000E3042" w:rsidP="00573EB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E6FE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TCATCTAATAACCAGTTCGATTTC</w:t>
            </w:r>
          </w:p>
        </w:tc>
      </w:tr>
    </w:tbl>
    <w:p w:rsidR="000E3042" w:rsidRPr="009E6FEF" w:rsidRDefault="000E3042" w:rsidP="000E3042">
      <w:pPr>
        <w:rPr>
          <w:rFonts w:ascii="Times New Roman" w:eastAsia="宋体" w:hAnsi="Times New Roman" w:cs="Times New Roman"/>
          <w:szCs w:val="24"/>
        </w:rPr>
      </w:pPr>
      <w:r w:rsidRPr="009E6FEF">
        <w:rPr>
          <w:rFonts w:ascii="Times New Roman" w:eastAsia="宋体" w:hAnsi="Times New Roman" w:cs="Times New Roman"/>
          <w:szCs w:val="24"/>
        </w:rPr>
        <w:tab/>
      </w:r>
    </w:p>
    <w:p w:rsidR="000E3042" w:rsidRPr="009E6FEF" w:rsidRDefault="000E3042" w:rsidP="000E3042">
      <w:pPr>
        <w:rPr>
          <w:rFonts w:ascii="Times New Roman" w:eastAsia="宋体" w:hAnsi="Times New Roman" w:cs="Times New Roman"/>
          <w:szCs w:val="24"/>
        </w:rPr>
      </w:pPr>
    </w:p>
    <w:p w:rsidR="000E3042" w:rsidRPr="009E6FEF" w:rsidRDefault="000E3042" w:rsidP="000E3042">
      <w:pPr>
        <w:spacing w:line="360" w:lineRule="auto"/>
      </w:pPr>
    </w:p>
    <w:p w:rsidR="00A22221" w:rsidRDefault="00A22221"/>
    <w:sectPr w:rsidR="00A2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CD" w:rsidRDefault="00177DCD" w:rsidP="008E074C">
      <w:r>
        <w:separator/>
      </w:r>
    </w:p>
  </w:endnote>
  <w:endnote w:type="continuationSeparator" w:id="0">
    <w:p w:rsidR="00177DCD" w:rsidRDefault="00177DCD" w:rsidP="008E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BS-I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CD" w:rsidRDefault="00177DCD" w:rsidP="008E074C">
      <w:r>
        <w:separator/>
      </w:r>
    </w:p>
  </w:footnote>
  <w:footnote w:type="continuationSeparator" w:id="0">
    <w:p w:rsidR="00177DCD" w:rsidRDefault="00177DCD" w:rsidP="008E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42"/>
    <w:rsid w:val="000E3042"/>
    <w:rsid w:val="00177DCD"/>
    <w:rsid w:val="004F0DA5"/>
    <w:rsid w:val="008E074C"/>
    <w:rsid w:val="00A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26167AA4"/>
  <w15:chartTrackingRefBased/>
  <w15:docId w15:val="{AD1BEBAD-69DB-4D5F-96D1-289D80F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2020-01-02T07:40:00Z</dcterms:created>
  <dcterms:modified xsi:type="dcterms:W3CDTF">2020-03-07T04:39:00Z</dcterms:modified>
</cp:coreProperties>
</file>