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AB" w:rsidRPr="00D238FA" w:rsidRDefault="00D845AB" w:rsidP="00454EC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8FA">
        <w:rPr>
          <w:rFonts w:ascii="Times New Roman" w:hAnsi="Times New Roman" w:cs="Times New Roman"/>
          <w:b/>
          <w:color w:val="000000"/>
          <w:sz w:val="24"/>
          <w:szCs w:val="24"/>
        </w:rPr>
        <w:t>Supplementary Table 1.</w:t>
      </w:r>
      <w:r w:rsidR="00454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Original List</w:t>
      </w:r>
      <w:r w:rsidRPr="00D2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Risk and Protective Factor Categories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16"/>
      </w:tblGrid>
      <w:tr w:rsidR="00D845AB" w:rsidRPr="00D238FA" w:rsidTr="00F43F35">
        <w:trPr>
          <w:trHeight w:val="312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Individual-Level Risk and Protective Factors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Individual (Personal) Attributes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SES, age, sex, gender, education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Personality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Spirituality, religion, culture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Relationships &amp; Connectedness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Relationship quality, loneliness, isolation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Connections to family, role models, elders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Connection to culture, sense of belonging, community engagement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Stressful Events &amp; Circumstances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Major life transitions, losses, grief, trauma, (pre)migratory trauma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Security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e.g.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food, personal security)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Exposure to violence, suicide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Loss, grief, loss of meaning/hope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Experience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tress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Resilience &amp; Coping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Positive mental health, resilience, coping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Help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seeking behaviour, mental health literacy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Health &amp; Illness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Health status, chronic pain, illness, sensory impairment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Sleep disturbances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Mental illness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Substance Use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Problematic substance use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Screen time and media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Screen time, social media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use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</w:rPr>
              <w:t>Interactions with legal system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hAnsi="Times New Roman" w:cs="Times New Roman"/>
                <w:sz w:val="24"/>
                <w:szCs w:val="24"/>
              </w:rPr>
              <w:t>Interactions with legal system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Access to suicide means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Individual a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ccess to suicide means</w:t>
            </w:r>
          </w:p>
        </w:tc>
      </w:tr>
      <w:tr w:rsidR="00D845AB" w:rsidRPr="00D238FA" w:rsidTr="00F43F35">
        <w:trPr>
          <w:trHeight w:val="312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Family-Level Risk and Protective Factors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Family Relationships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Family relationship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attachment/parenting style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Family History of Illness, Substance Use, Suicide, Trauma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Family history of mental illness, problematic substance use, suicide-related behaviour, trauma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Family Violence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Family violence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Child protection involvement</w:t>
            </w:r>
          </w:p>
        </w:tc>
      </w:tr>
      <w:tr w:rsidR="00D845AB" w:rsidRPr="00D238FA" w:rsidTr="00F43F35">
        <w:trPr>
          <w:trHeight w:val="312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Community-Level Risk and Protective Factors</w:t>
            </w:r>
          </w:p>
        </w:tc>
      </w:tr>
      <w:tr w:rsidR="00D845AB" w:rsidRPr="001B45B2" w:rsidTr="00F43F35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Social Support &amp; Community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C7455D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Social support  and social cohesion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Environment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Del="001B45B2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School or work environment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Violence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Violence, b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ullying, cyber bullying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Community-Level Trauma &amp; Suicide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Trauma, loss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Suicide contagion/clusters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Mental Health Services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Accessible mental health services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e.g.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language, knowledge/skills of practitioners)</w:t>
            </w:r>
          </w:p>
        </w:tc>
      </w:tr>
      <w:tr w:rsidR="00D845AB" w:rsidRPr="00D238FA" w:rsidTr="00F43F35">
        <w:trPr>
          <w:trHeight w:val="312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Societal Risk and Protective Factors 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Stigma, Discrimination &amp; Oppression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Stigma generally and related to suicide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Racism, homophobia, biphobia, transphobia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Systemic racism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Discrimination, oppression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Mental Health Infrastructure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Mental health service access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Mental health literacy 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Structural Factors (general)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Structural factors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e.g.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policy, laws, governance) generally and related to suicide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Suicide media reporting guidelines (and adherence)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Laws related to means and means restriction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e.g.</w:t>
            </w:r>
            <w:r w:rsidRPr="00D2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firearm regulations, poison control)</w:t>
            </w:r>
          </w:p>
        </w:tc>
      </w:tr>
    </w:tbl>
    <w:p w:rsidR="00D845AB" w:rsidRDefault="00D845AB" w:rsidP="00D845AB">
      <w:pPr>
        <w:rPr>
          <w:rFonts w:ascii="Times New Roman" w:hAnsi="Times New Roman" w:cs="Times New Roman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Default="00D845AB" w:rsidP="00D845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5AB" w:rsidRPr="00D238FA" w:rsidRDefault="00D845AB" w:rsidP="00454EC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Supplementary Table 2</w:t>
      </w:r>
      <w:r w:rsidRPr="00D2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Original List</w:t>
      </w:r>
      <w:r w:rsidRPr="00D2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Prevention Lever Categories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3227"/>
        <w:gridCol w:w="6349"/>
      </w:tblGrid>
      <w:tr w:rsidR="00D845AB" w:rsidRPr="00D238FA" w:rsidTr="00F43F35">
        <w:trPr>
          <w:trHeight w:val="31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Early/Primary Prevention (Before Suicide Risk)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Mental Health Promotion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Positive mental health promotion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Mental health literacy promotion for children and youth; older adults; caregivers/families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Supportive environments for children and youth; older adults; caregivers/families with pathways to help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e.g.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guidance counsellors)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Health, Social &amp; Community Programs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Community champions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Actions to reduce the problematic use of substances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Social policies and programs that address poverty, employment/EI, safety nets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Actions that decrease stigma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Prevention of violence and abuse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Address upstream determinants of health – interventions for vulnerable groups – social cohesion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e.g.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Elders and different parts of the community brought together to develop response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Structural Change &amp; Justice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Community design, policy, events, built environment, car-centricity, security, safety 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State-inflicted violence – policy levers – to identify policies/structures/behaviours that systematically disadvantage specific groups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Restorative or alternative justice practices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Guidelines &amp; Evidence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Guidelines – health practitioners, media,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etc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Generate and provide evidence to policy makers; health in all policies approach (WHO) where health sector is not a leader but a steward: labour, economic policies, etc, bring in mental health protective factors </w:t>
            </w:r>
          </w:p>
        </w:tc>
      </w:tr>
      <w:tr w:rsidR="00D845AB" w:rsidRPr="00D238FA" w:rsidTr="00F43F35">
        <w:trPr>
          <w:trHeight w:val="312"/>
        </w:trPr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Intervention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Health, Social &amp; Community Programs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Gate-keeper training – so practitioners, etc can better understand what people really go through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Help-line, crisis-line, proactive check-in services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e.g.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Telecheck</w:t>
            </w:r>
            <w:proofErr w:type="spellEnd"/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to check in 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Facilitate long-term disability options for depression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Health Care Structure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Comprehensive, broad approach and complex issues, </w:t>
            </w:r>
            <w:proofErr w:type="spellStart"/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eg</w:t>
            </w:r>
            <w:proofErr w:type="spellEnd"/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for trauma recovery it would be multi-dimensional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Health promotion in context of primary care; bridge atomized approaches to mental health promotion services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;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bridge fed/PT roles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Decentralization of care – referrals; follow-up following interaction with the healthcare system – augment referral system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Health care practitioner supply to match the population – 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culture, ethnicity, language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Guidelines &amp; Evidence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Who are priority populations when we talk about suicide; how is this information recorded; where are the needs</w:t>
            </w:r>
          </w:p>
        </w:tc>
      </w:tr>
      <w:tr w:rsidR="00D845AB" w:rsidRPr="00D238FA" w:rsidTr="00F43F35">
        <w:trPr>
          <w:trHeight w:val="312"/>
        </w:trPr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Support for Survivors (Postvention)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5AB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Mental Health Services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Community-driven f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ollow-up care 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Population-specific guides which can reach those who need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e.g.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outreach to funeral homes? Who is in the best position to reach? Best approach to distribution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Guidelines &amp; Evidence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Medical assistance in dying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 xml:space="preserve"> – clarification of issue – later life perspectives – when to intervene, preconceptions, training practitioners</w:t>
            </w:r>
          </w:p>
        </w:tc>
      </w:tr>
      <w:tr w:rsidR="00D845AB" w:rsidRPr="00D238FA" w:rsidTr="00F43F35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B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5AB" w:rsidRPr="00D238FA" w:rsidRDefault="00D845AB" w:rsidP="00F43F3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Canadian standard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s for messaging and reporting</w:t>
            </w:r>
            <w:r w:rsidRPr="00D238F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, cross-sectoral</w:t>
            </w:r>
          </w:p>
        </w:tc>
      </w:tr>
    </w:tbl>
    <w:p w:rsidR="00D845AB" w:rsidRPr="00D238FA" w:rsidRDefault="00D845AB" w:rsidP="00D845AB">
      <w:pPr>
        <w:rPr>
          <w:rFonts w:ascii="Times New Roman" w:hAnsi="Times New Roman" w:cs="Times New Roman"/>
          <w:sz w:val="24"/>
          <w:szCs w:val="24"/>
        </w:rPr>
      </w:pPr>
    </w:p>
    <w:p w:rsidR="00D845AB" w:rsidRPr="00D238FA" w:rsidRDefault="00D845AB" w:rsidP="00D845AB">
      <w:pPr>
        <w:rPr>
          <w:rFonts w:ascii="Times New Roman" w:hAnsi="Times New Roman" w:cs="Times New Roman"/>
          <w:sz w:val="24"/>
          <w:szCs w:val="24"/>
        </w:rPr>
      </w:pPr>
    </w:p>
    <w:p w:rsidR="00083F12" w:rsidRPr="00D845AB" w:rsidRDefault="00083F12" w:rsidP="00D845AB"/>
    <w:sectPr w:rsidR="00083F12" w:rsidRPr="00D845AB" w:rsidSect="00D20E6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8A" w:rsidRDefault="0030698A" w:rsidP="00E27DB6">
      <w:pPr>
        <w:spacing w:after="0" w:line="240" w:lineRule="auto"/>
      </w:pPr>
      <w:r>
        <w:separator/>
      </w:r>
    </w:p>
  </w:endnote>
  <w:endnote w:type="continuationSeparator" w:id="0">
    <w:p w:rsidR="0030698A" w:rsidRDefault="0030698A" w:rsidP="00E2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C8" w:rsidRDefault="0030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8A" w:rsidRDefault="0030698A" w:rsidP="00E27DB6">
      <w:pPr>
        <w:spacing w:after="0" w:line="240" w:lineRule="auto"/>
      </w:pPr>
      <w:r>
        <w:separator/>
      </w:r>
    </w:p>
  </w:footnote>
  <w:footnote w:type="continuationSeparator" w:id="0">
    <w:p w:rsidR="0030698A" w:rsidRDefault="0030698A" w:rsidP="00E2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C87"/>
    <w:rsid w:val="00083F12"/>
    <w:rsid w:val="000847CF"/>
    <w:rsid w:val="000E152A"/>
    <w:rsid w:val="0030698A"/>
    <w:rsid w:val="00403093"/>
    <w:rsid w:val="00454EC1"/>
    <w:rsid w:val="005814B7"/>
    <w:rsid w:val="00645CA5"/>
    <w:rsid w:val="00662038"/>
    <w:rsid w:val="00765F4E"/>
    <w:rsid w:val="007B34F7"/>
    <w:rsid w:val="00CC5C87"/>
    <w:rsid w:val="00D748AD"/>
    <w:rsid w:val="00D845AB"/>
    <w:rsid w:val="00E27DB6"/>
    <w:rsid w:val="00E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5AA7"/>
  <w15:docId w15:val="{1A635473-2BAB-426D-BE66-0477E8E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A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F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12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D845AB"/>
    <w:pPr>
      <w:spacing w:after="0" w:line="240" w:lineRule="auto"/>
    </w:pPr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A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Company>University of Manitoba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Thom pson</cp:lastModifiedBy>
  <cp:revision>4</cp:revision>
  <dcterms:created xsi:type="dcterms:W3CDTF">2019-03-20T15:23:00Z</dcterms:created>
  <dcterms:modified xsi:type="dcterms:W3CDTF">2019-09-27T19:51:00Z</dcterms:modified>
</cp:coreProperties>
</file>