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A3AB6" w14:textId="77777777" w:rsidR="00683C9F" w:rsidRDefault="00683C9F" w:rsidP="00683C9F">
      <w:pPr>
        <w:rPr>
          <w:rStyle w:val="fontstyle01"/>
          <w:rFonts w:ascii="Times New Roman" w:hAnsi="Times New Roman" w:cs="Times New Roman"/>
          <w:sz w:val="36"/>
          <w:szCs w:val="36"/>
        </w:rPr>
      </w:pPr>
      <w:bookmarkStart w:id="0" w:name="OLE_LINK71"/>
      <w:bookmarkStart w:id="1" w:name="OLE_LINK72"/>
      <w:bookmarkStart w:id="2" w:name="OLE_LINK69"/>
      <w:bookmarkStart w:id="3" w:name="OLE_LINK58"/>
      <w:bookmarkStart w:id="4" w:name="OLE_LINK57"/>
      <w:bookmarkStart w:id="5" w:name="OLE_LINK55"/>
      <w:bookmarkStart w:id="6" w:name="OLE_LINK56"/>
      <w:bookmarkStart w:id="7" w:name="OLE_LINK39"/>
      <w:bookmarkStart w:id="8" w:name="OLE_LINK40"/>
      <w:r>
        <w:rPr>
          <w:rFonts w:ascii="Times New Roman" w:hAnsi="Times New Roman" w:cs="Times New Roman"/>
          <w:color w:val="000000"/>
          <w:sz w:val="36"/>
          <w:szCs w:val="36"/>
        </w:rPr>
        <w:t>Designing Aptamer-</w:t>
      </w:r>
      <w:bookmarkStart w:id="9" w:name="_Hlk22563662"/>
      <w:r>
        <w:rPr>
          <w:rFonts w:ascii="Times New Roman" w:hAnsi="Times New Roman" w:cs="Times New Roman"/>
          <w:color w:val="000000"/>
          <w:sz w:val="36"/>
          <w:szCs w:val="36"/>
        </w:rPr>
        <w:t>Gold Nanoparticle</w:t>
      </w:r>
      <w:bookmarkEnd w:id="9"/>
      <w:r>
        <w:rPr>
          <w:rFonts w:ascii="Times New Roman" w:hAnsi="Times New Roman" w:cs="Times New Roman"/>
          <w:color w:val="000000"/>
          <w:sz w:val="36"/>
          <w:szCs w:val="36"/>
        </w:rPr>
        <w:t xml:space="preserve"> Loaded pH-Sensitive Liposomes Encapsulate Morin for Treat Cancer</w:t>
      </w:r>
    </w:p>
    <w:bookmarkEnd w:id="0"/>
    <w:bookmarkEnd w:id="1"/>
    <w:bookmarkEnd w:id="2"/>
    <w:p w14:paraId="351B43F1" w14:textId="1CA838C3" w:rsidR="00683C9F" w:rsidRDefault="00683C9F" w:rsidP="00683C9F">
      <w:pPr>
        <w:suppressAutoHyphens/>
        <w:ind w:left="86" w:hangingChars="43" w:hanging="86"/>
        <w:jc w:val="left"/>
        <w:rPr>
          <w:color w:val="000000" w:themeColor="text1"/>
          <w:sz w:val="20"/>
          <w:szCs w:val="20"/>
          <w:vertAlign w:val="superscript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Xiaoyuan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Ding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1*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Chenyang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Yin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1*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Weiwei Zhang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Yu Sun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Zhenzhen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Zhang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="005E722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Endong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Yang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Dongdong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Sun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1*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Weiyun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 Wang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1*</w:t>
      </w:r>
    </w:p>
    <w:p w14:paraId="720A36B6" w14:textId="77777777" w:rsidR="00683C9F" w:rsidRDefault="00683C9F" w:rsidP="00683C9F">
      <w:pPr>
        <w:suppressAutoHyphens/>
        <w:ind w:left="77" w:hangingChars="43" w:hanging="77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School of Life Sciences, Anhui Agricultural University, Hefei, 230036, China</w:t>
      </w:r>
    </w:p>
    <w:p w14:paraId="0CE1CCDF" w14:textId="77777777" w:rsidR="00683C9F" w:rsidRDefault="00683C9F" w:rsidP="00683C9F">
      <w:pPr>
        <w:suppressAutoHyphens/>
        <w:ind w:left="77" w:hangingChars="43" w:hanging="77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School of Biochemical Engineering, Anhui Polytechnic University, 8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Zheshan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Road, Wuhu, Anhui 241000, China</w:t>
      </w:r>
    </w:p>
    <w:p w14:paraId="4D7D3817" w14:textId="77777777" w:rsidR="00683C9F" w:rsidRDefault="00683C9F" w:rsidP="00683C9F">
      <w:pPr>
        <w:suppressAutoHyphens/>
        <w:ind w:left="77" w:hangingChars="43" w:hanging="77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Corresponding author. Tel.:086 551 65786703; fax: 086 551 65786703</w:t>
      </w:r>
    </w:p>
    <w:p w14:paraId="57DDA338" w14:textId="38718D78" w:rsidR="00683C9F" w:rsidRDefault="00683C9F" w:rsidP="00683C9F">
      <w:pPr>
        <w:suppressAutoHyphens/>
        <w:ind w:left="77" w:hangingChars="43" w:hanging="77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E-mail addresses:</w:t>
      </w:r>
      <w:bookmarkStart w:id="10" w:name="OLE_LINK1"/>
      <w:bookmarkStart w:id="11" w:name="OLE_LINK20"/>
      <w:bookmarkStart w:id="12" w:name="OLE_LINK19"/>
      <w:r w:rsidR="004544A5" w:rsidRPr="004544A5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proofErr w:type="spellStart"/>
      <w:r w:rsidR="004544A5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Dongdong</w:t>
      </w:r>
      <w:proofErr w:type="spellEnd"/>
      <w:r w:rsidR="004544A5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Sun: </w:t>
      </w:r>
      <w:r w:rsidR="004544A5">
        <w:rPr>
          <w:rFonts w:ascii="Times New Roman" w:hAnsi="Times New Roman" w:cs="Times New Roman"/>
          <w:kern w:val="0"/>
          <w:sz w:val="18"/>
          <w:szCs w:val="18"/>
        </w:rPr>
        <w:t>sunddwj@126.com</w:t>
      </w:r>
      <w:bookmarkEnd w:id="10"/>
      <w:bookmarkEnd w:id="11"/>
      <w:bookmarkEnd w:id="12"/>
      <w:r w:rsidR="004544A5">
        <w:rPr>
          <w:rFonts w:ascii="Times New Roman" w:hAnsi="Times New Roman" w:cs="Times New Roman"/>
          <w:kern w:val="0"/>
          <w:sz w:val="18"/>
          <w:szCs w:val="18"/>
        </w:rPr>
        <w:t xml:space="preserve"> , </w:t>
      </w:r>
      <w:bookmarkStart w:id="13" w:name="OLE_LINK74"/>
      <w:bookmarkStart w:id="14" w:name="OLE_LINK73"/>
      <w:proofErr w:type="spellStart"/>
      <w:r w:rsidR="004544A5">
        <w:rPr>
          <w:rFonts w:ascii="Times New Roman" w:hAnsi="Times New Roman" w:cs="Times New Roman"/>
          <w:kern w:val="0"/>
          <w:sz w:val="18"/>
          <w:szCs w:val="18"/>
        </w:rPr>
        <w:t>Weiyun</w:t>
      </w:r>
      <w:proofErr w:type="spellEnd"/>
      <w:r w:rsidR="004544A5">
        <w:rPr>
          <w:rFonts w:ascii="Times New Roman" w:hAnsi="Times New Roman" w:cs="Times New Roman"/>
          <w:kern w:val="0"/>
          <w:sz w:val="18"/>
          <w:szCs w:val="18"/>
        </w:rPr>
        <w:t xml:space="preserve"> Wang: weiywswzy@163.com</w:t>
      </w:r>
      <w:bookmarkEnd w:id="13"/>
      <w:bookmarkEnd w:id="14"/>
    </w:p>
    <w:p w14:paraId="6CCB8584" w14:textId="77777777" w:rsidR="00683C9F" w:rsidRDefault="00683C9F" w:rsidP="00683C9F">
      <w:pPr>
        <w:suppressAutoHyphens/>
        <w:ind w:left="90" w:hanging="9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Both authors contribute equally to this work.</w:t>
      </w:r>
      <w:bookmarkEnd w:id="3"/>
      <w:bookmarkEnd w:id="4"/>
    </w:p>
    <w:p w14:paraId="75964DAC" w14:textId="77777777" w:rsidR="005247E0" w:rsidRPr="004544A5" w:rsidRDefault="005247E0" w:rsidP="00E75F32">
      <w:pPr>
        <w:rPr>
          <w:rFonts w:ascii="Times New Roman" w:hAnsi="Times New Roman" w:cs="Times New Roman"/>
        </w:rPr>
      </w:pPr>
    </w:p>
    <w:p w14:paraId="222EC0AA" w14:textId="74F09CF8" w:rsidR="00E75F32" w:rsidRPr="00B4046C" w:rsidRDefault="00E75F32" w:rsidP="00E75F3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4046C">
        <w:rPr>
          <w:rFonts w:ascii="Times New Roman" w:hAnsi="Times New Roman" w:cs="Times New Roman"/>
          <w:color w:val="000000"/>
          <w:sz w:val="20"/>
          <w:szCs w:val="20"/>
        </w:rPr>
        <w:t>Entrapment efficiency</w:t>
      </w:r>
      <w:r w:rsidR="009E16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15" w:name="_GoBack"/>
      <w:bookmarkEnd w:id="15"/>
      <w:r w:rsidR="009E1674">
        <w:rPr>
          <w:rFonts w:ascii="Times New Roman" w:hAnsi="Times New Roman" w:cs="Times New Roman" w:hint="eastAsia"/>
          <w:color w:val="000000"/>
          <w:sz w:val="20"/>
          <w:szCs w:val="20"/>
        </w:rPr>
        <w:t>rate</w:t>
      </w:r>
      <w:r w:rsidRPr="00B4046C">
        <w:rPr>
          <w:rFonts w:ascii="Times New Roman" w:hAnsi="Times New Roman" w:cs="Times New Roman"/>
          <w:color w:val="000000"/>
          <w:sz w:val="20"/>
          <w:szCs w:val="20"/>
        </w:rPr>
        <w:t xml:space="preserve"> (EE%) was determined using UV-Vis spectra with the principle of pene</w:t>
      </w:r>
      <w:r w:rsidR="00773B4E" w:rsidRPr="00B4046C">
        <w:rPr>
          <w:rFonts w:ascii="Times New Roman" w:hAnsi="Times New Roman" w:cs="Times New Roman"/>
          <w:color w:val="000000"/>
          <w:sz w:val="20"/>
          <w:szCs w:val="20"/>
        </w:rPr>
        <w:t>tration. The standard curve of m</w:t>
      </w:r>
      <w:r w:rsidRPr="00B4046C">
        <w:rPr>
          <w:rFonts w:ascii="Times New Roman" w:hAnsi="Times New Roman" w:cs="Times New Roman"/>
          <w:color w:val="000000"/>
          <w:sz w:val="20"/>
          <w:szCs w:val="20"/>
        </w:rPr>
        <w:t>orin was made by respectively testing the absorbance of various concentrations (80,</w:t>
      </w:r>
      <w:r w:rsidR="008A2E96" w:rsidRPr="00B404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046C">
        <w:rPr>
          <w:rFonts w:ascii="Times New Roman" w:hAnsi="Times New Roman" w:cs="Times New Roman"/>
          <w:color w:val="000000"/>
          <w:sz w:val="20"/>
          <w:szCs w:val="20"/>
        </w:rPr>
        <w:t>70,</w:t>
      </w:r>
      <w:r w:rsidR="008A2E96" w:rsidRPr="00B404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046C">
        <w:rPr>
          <w:rFonts w:ascii="Times New Roman" w:hAnsi="Times New Roman" w:cs="Times New Roman"/>
          <w:color w:val="000000"/>
          <w:sz w:val="20"/>
          <w:szCs w:val="20"/>
        </w:rPr>
        <w:t>60,</w:t>
      </w:r>
      <w:r w:rsidR="008A2E96" w:rsidRPr="00B404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046C">
        <w:rPr>
          <w:rFonts w:ascii="Times New Roman" w:hAnsi="Times New Roman" w:cs="Times New Roman"/>
          <w:color w:val="000000"/>
          <w:sz w:val="20"/>
          <w:szCs w:val="20"/>
        </w:rPr>
        <w:t>50,</w:t>
      </w:r>
      <w:r w:rsidR="008A2E96" w:rsidRPr="00B404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046C">
        <w:rPr>
          <w:rFonts w:ascii="Times New Roman" w:hAnsi="Times New Roman" w:cs="Times New Roman"/>
          <w:color w:val="000000"/>
          <w:sz w:val="20"/>
          <w:szCs w:val="20"/>
        </w:rPr>
        <w:t>40,</w:t>
      </w:r>
      <w:r w:rsidR="008A2E96" w:rsidRPr="00B404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046C">
        <w:rPr>
          <w:rFonts w:ascii="Times New Roman" w:hAnsi="Times New Roman" w:cs="Times New Roman"/>
          <w:color w:val="000000"/>
          <w:sz w:val="20"/>
          <w:szCs w:val="20"/>
        </w:rPr>
        <w:t xml:space="preserve">30 </w:t>
      </w:r>
      <w:proofErr w:type="spellStart"/>
      <w:r w:rsidRPr="00B4046C">
        <w:rPr>
          <w:rFonts w:ascii="Times New Roman" w:hAnsi="Times New Roman" w:cs="Times New Roman"/>
          <w:color w:val="000000"/>
          <w:sz w:val="20"/>
          <w:szCs w:val="20"/>
        </w:rPr>
        <w:t>μg</w:t>
      </w:r>
      <w:proofErr w:type="spellEnd"/>
      <w:r w:rsidRPr="00B4046C">
        <w:rPr>
          <w:rFonts w:ascii="Times New Roman" w:hAnsi="Times New Roman" w:cs="Times New Roman"/>
          <w:color w:val="000000"/>
          <w:sz w:val="20"/>
          <w:szCs w:val="20"/>
        </w:rPr>
        <w:t>/mL) and mapping analysis</w:t>
      </w:r>
      <w:r w:rsidR="00773B4E" w:rsidRPr="00B4046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B4046C">
        <w:rPr>
          <w:rFonts w:ascii="Times New Roman" w:hAnsi="Times New Roman" w:cs="Times New Roman"/>
          <w:color w:val="000000"/>
          <w:sz w:val="20"/>
          <w:szCs w:val="20"/>
        </w:rPr>
        <w:t xml:space="preserve">Briefly, </w:t>
      </w:r>
      <w:r w:rsidR="00773B4E" w:rsidRPr="00B4046C">
        <w:rPr>
          <w:rFonts w:ascii="Times New Roman" w:hAnsi="Times New Roman" w:cs="Times New Roman"/>
          <w:color w:val="000000"/>
          <w:sz w:val="20"/>
          <w:szCs w:val="20"/>
        </w:rPr>
        <w:t>morin-l</w:t>
      </w:r>
      <w:r w:rsidR="00170345" w:rsidRPr="00B4046C">
        <w:rPr>
          <w:rFonts w:ascii="Times New Roman" w:hAnsi="Times New Roman" w:cs="Times New Roman"/>
          <w:color w:val="000000"/>
          <w:sz w:val="20"/>
          <w:szCs w:val="20"/>
        </w:rPr>
        <w:t>ip</w:t>
      </w:r>
      <w:r w:rsidR="00480FF1" w:rsidRPr="00B4046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773B4E" w:rsidRPr="00B4046C">
        <w:rPr>
          <w:rFonts w:ascii="Times New Roman" w:hAnsi="Times New Roman" w:cs="Times New Roman"/>
          <w:color w:val="000000"/>
          <w:sz w:val="20"/>
          <w:szCs w:val="20"/>
        </w:rPr>
        <w:t>somes</w:t>
      </w:r>
      <w:r w:rsidR="00170345" w:rsidRPr="00B4046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2E96" w:rsidRPr="00B404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046C">
        <w:rPr>
          <w:rFonts w:ascii="Times New Roman" w:hAnsi="Times New Roman" w:cs="Times New Roman"/>
          <w:color w:val="000000"/>
          <w:sz w:val="20"/>
          <w:szCs w:val="20"/>
        </w:rPr>
        <w:t>Apt-Au@MSL(100μg/mL,1.5mL) was eluted with PBS (pH 7.4) through a centrifugal (7000 rpm, 5min)  to separate free drug and the supernatant  was detected with scanning wavelength. The entrapped drug was determined by disrupting the vesicles with Triton X-100 and measuring absorbance at 385</w:t>
      </w:r>
      <w:r w:rsidR="00773B4E" w:rsidRPr="00B404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046C">
        <w:rPr>
          <w:rFonts w:ascii="Times New Roman" w:hAnsi="Times New Roman" w:cs="Times New Roman"/>
          <w:color w:val="000000"/>
          <w:sz w:val="20"/>
          <w:szCs w:val="20"/>
        </w:rPr>
        <w:t xml:space="preserve">nm by UV-spectrophotometer (UV–Vis, S-3100 Photodiode Array, </w:t>
      </w:r>
      <w:proofErr w:type="spellStart"/>
      <w:r w:rsidRPr="00B4046C">
        <w:rPr>
          <w:rFonts w:ascii="Times New Roman" w:hAnsi="Times New Roman" w:cs="Times New Roman"/>
          <w:color w:val="000000"/>
          <w:sz w:val="20"/>
          <w:szCs w:val="20"/>
        </w:rPr>
        <w:t>Scinco</w:t>
      </w:r>
      <w:proofErr w:type="spellEnd"/>
      <w:r w:rsidRPr="00B4046C">
        <w:rPr>
          <w:rFonts w:ascii="Times New Roman" w:hAnsi="Times New Roman" w:cs="Times New Roman"/>
          <w:color w:val="000000"/>
          <w:sz w:val="20"/>
          <w:szCs w:val="20"/>
        </w:rPr>
        <w:t xml:space="preserve"> Co., Ltd., Korea). Entrapment efficiency was determined by the ratio of the actual amount of encapsulated drug over the total amount of drug used for the preparation of liposomes.</w:t>
      </w:r>
    </w:p>
    <w:bookmarkEnd w:id="5"/>
    <w:bookmarkEnd w:id="6"/>
    <w:p w14:paraId="76A1F2ED" w14:textId="77777777" w:rsidR="00280D1E" w:rsidRPr="00B4046C" w:rsidRDefault="00280D1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DF15EA4" w14:textId="77777777" w:rsidR="00A42F36" w:rsidRPr="00B4046C" w:rsidRDefault="00A42F3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404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bookmarkEnd w:id="7"/>
    <w:bookmarkEnd w:id="8"/>
    <w:p w14:paraId="6FC88CD2" w14:textId="77777777" w:rsidR="00E349E8" w:rsidRPr="00B4046C" w:rsidRDefault="00E349E8" w:rsidP="00E349E8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B4046C">
        <w:rPr>
          <w:rFonts w:ascii="Times New Roman" w:hAnsi="Times New Roman" w:cs="Times New Roman"/>
          <w:color w:val="000000"/>
          <w:sz w:val="20"/>
          <w:szCs w:val="20"/>
        </w:rPr>
        <w:t>Table S1</w:t>
      </w:r>
      <w:r w:rsidR="00E017A2" w:rsidRPr="00B4046C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3469BD" w:rsidRPr="00B4046C">
        <w:rPr>
          <w:rFonts w:ascii="Times New Roman" w:hAnsi="Times New Roman" w:cs="Times New Roman"/>
          <w:color w:val="000000"/>
          <w:sz w:val="20"/>
          <w:szCs w:val="20"/>
        </w:rPr>
        <w:t xml:space="preserve"> The encapsulation rate of morin-liposome and Apt–</w:t>
      </w:r>
      <w:proofErr w:type="spellStart"/>
      <w:r w:rsidR="003469BD" w:rsidRPr="00B4046C">
        <w:rPr>
          <w:rFonts w:ascii="Times New Roman" w:hAnsi="Times New Roman" w:cs="Times New Roman"/>
          <w:color w:val="000000"/>
          <w:sz w:val="20"/>
          <w:szCs w:val="20"/>
        </w:rPr>
        <w:t>Au@MSL</w:t>
      </w:r>
      <w:proofErr w:type="spellEnd"/>
      <w:r w:rsidR="003469BD" w:rsidRPr="00B4046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703"/>
        <w:gridCol w:w="3025"/>
        <w:gridCol w:w="1208"/>
      </w:tblGrid>
      <w:tr w:rsidR="00E349E8" w:rsidRPr="00B4046C" w14:paraId="15C10D98" w14:textId="77777777" w:rsidTr="00A14BE9">
        <w:trPr>
          <w:jc w:val="center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F4CEC" w14:textId="77777777" w:rsidR="00E349E8" w:rsidRPr="00B4046C" w:rsidRDefault="00170345" w:rsidP="00A14B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formulation code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6E4A8" w14:textId="77777777" w:rsidR="00E349E8" w:rsidRPr="00B4046C" w:rsidRDefault="00E349E8" w:rsidP="00A14B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6" w:name="OLE_LINK21"/>
            <w:bookmarkStart w:id="17" w:name="OLE_LINK22"/>
            <w:r w:rsidRPr="00B40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Absorbance</w:t>
            </w:r>
            <w:bookmarkEnd w:id="16"/>
            <w:bookmarkEnd w:id="17"/>
          </w:p>
        </w:tc>
        <w:tc>
          <w:tcPr>
            <w:tcW w:w="1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EE2AA" w14:textId="77777777" w:rsidR="00E349E8" w:rsidRPr="00B4046C" w:rsidRDefault="00E349E8" w:rsidP="00A14B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Concentration (</w:t>
            </w:r>
            <w:proofErr w:type="spellStart"/>
            <w:r w:rsidRPr="00B40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μg</w:t>
            </w:r>
            <w:proofErr w:type="spellEnd"/>
            <w:r w:rsidRPr="00B40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A613C" w14:textId="77777777" w:rsidR="00E349E8" w:rsidRPr="00B4046C" w:rsidRDefault="00E349E8" w:rsidP="00A14B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 (%)</w:t>
            </w:r>
          </w:p>
        </w:tc>
      </w:tr>
      <w:tr w:rsidR="00E349E8" w:rsidRPr="00B4046C" w14:paraId="208132B4" w14:textId="77777777" w:rsidTr="00A14BE9">
        <w:trPr>
          <w:jc w:val="center"/>
        </w:trPr>
        <w:tc>
          <w:tcPr>
            <w:tcW w:w="1427" w:type="pct"/>
            <w:tcBorders>
              <w:top w:val="single" w:sz="4" w:space="0" w:color="auto"/>
            </w:tcBorders>
            <w:shd w:val="clear" w:color="auto" w:fill="auto"/>
          </w:tcPr>
          <w:p w14:paraId="2A334F0C" w14:textId="77777777" w:rsidR="00E349E8" w:rsidRPr="00B4046C" w:rsidRDefault="00170345" w:rsidP="00A14B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Morin-Lip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shd w:val="clear" w:color="auto" w:fill="auto"/>
          </w:tcPr>
          <w:p w14:paraId="0D6C3623" w14:textId="77777777" w:rsidR="00E349E8" w:rsidRPr="00B4046C" w:rsidRDefault="00C25748" w:rsidP="00DF0C0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DF0C02" w:rsidRPr="00B40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821" w:type="pct"/>
            <w:tcBorders>
              <w:top w:val="single" w:sz="4" w:space="0" w:color="auto"/>
            </w:tcBorders>
            <w:shd w:val="clear" w:color="auto" w:fill="auto"/>
          </w:tcPr>
          <w:p w14:paraId="0B6587BA" w14:textId="77777777" w:rsidR="00E349E8" w:rsidRPr="00B4046C" w:rsidRDefault="00DF0C02" w:rsidP="00A14B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24.52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</w:tcPr>
          <w:p w14:paraId="5114A816" w14:textId="77777777" w:rsidR="00E349E8" w:rsidRPr="00B4046C" w:rsidRDefault="00DF0C02" w:rsidP="00A14B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</w:t>
            </w:r>
            <w:r w:rsidR="00C25748" w:rsidRPr="00B40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349E8" w:rsidRPr="00B4046C" w14:paraId="7058CC1D" w14:textId="77777777" w:rsidTr="00A14BE9">
        <w:trPr>
          <w:jc w:val="center"/>
        </w:trPr>
        <w:tc>
          <w:tcPr>
            <w:tcW w:w="1427" w:type="pct"/>
            <w:shd w:val="clear" w:color="auto" w:fill="auto"/>
          </w:tcPr>
          <w:p w14:paraId="1782EDA6" w14:textId="77777777" w:rsidR="00E349E8" w:rsidRPr="00B4046C" w:rsidRDefault="00170345" w:rsidP="00A14B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Apt-Au@MSL</w:t>
            </w:r>
          </w:p>
        </w:tc>
        <w:tc>
          <w:tcPr>
            <w:tcW w:w="1025" w:type="pct"/>
            <w:shd w:val="clear" w:color="auto" w:fill="auto"/>
          </w:tcPr>
          <w:p w14:paraId="14E3AD02" w14:textId="77777777" w:rsidR="00E349E8" w:rsidRPr="00B4046C" w:rsidRDefault="00C25748" w:rsidP="00C730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821" w:type="pct"/>
            <w:shd w:val="clear" w:color="auto" w:fill="auto"/>
          </w:tcPr>
          <w:p w14:paraId="7D70E5F0" w14:textId="77777777" w:rsidR="00E349E8" w:rsidRPr="00B4046C" w:rsidRDefault="00C25748" w:rsidP="00A14B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727" w:type="pct"/>
            <w:shd w:val="clear" w:color="auto" w:fill="auto"/>
          </w:tcPr>
          <w:p w14:paraId="6F321B93" w14:textId="77777777" w:rsidR="00E349E8" w:rsidRPr="00B4046C" w:rsidRDefault="00C25748" w:rsidP="00A14B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89.6%</w:t>
            </w:r>
          </w:p>
        </w:tc>
      </w:tr>
    </w:tbl>
    <w:p w14:paraId="199B5C2A" w14:textId="77777777" w:rsidR="00E349E8" w:rsidRPr="00B4046C" w:rsidRDefault="00E349E8" w:rsidP="00E349E8">
      <w:pPr>
        <w:suppressAutoHyphens/>
        <w:ind w:leftChars="23" w:left="94" w:hangingChars="23" w:hanging="46"/>
        <w:rPr>
          <w:rFonts w:ascii="Times New Roman" w:hAnsi="Times New Roman" w:cs="Times New Roman"/>
          <w:color w:val="000000"/>
          <w:sz w:val="20"/>
          <w:szCs w:val="20"/>
        </w:rPr>
      </w:pPr>
      <w:bookmarkStart w:id="18" w:name="OLE_LINK41"/>
      <w:bookmarkStart w:id="19" w:name="OLE_LINK42"/>
      <w:r w:rsidRPr="00B4046C">
        <w:rPr>
          <w:rFonts w:ascii="Times New Roman" w:hAnsi="Times New Roman" w:cs="Times New Roman"/>
          <w:color w:val="000000"/>
          <w:sz w:val="20"/>
          <w:szCs w:val="20"/>
        </w:rPr>
        <w:t>Data are average values of at least three replicates.</w:t>
      </w:r>
    </w:p>
    <w:p w14:paraId="782B72D3" w14:textId="77777777" w:rsidR="00280D1E" w:rsidRPr="00B4046C" w:rsidRDefault="00280D1E" w:rsidP="00E349E8">
      <w:pPr>
        <w:suppressAutoHyphens/>
        <w:ind w:leftChars="23" w:left="94" w:hangingChars="23" w:hanging="46"/>
        <w:rPr>
          <w:rFonts w:ascii="Times New Roman" w:hAnsi="Times New Roman" w:cs="Times New Roman"/>
          <w:color w:val="000000"/>
          <w:sz w:val="20"/>
          <w:szCs w:val="20"/>
        </w:rPr>
      </w:pPr>
    </w:p>
    <w:p w14:paraId="35E0F201" w14:textId="77777777" w:rsidR="00280D1E" w:rsidRPr="00B4046C" w:rsidRDefault="00280D1E" w:rsidP="00E349E8">
      <w:pPr>
        <w:suppressAutoHyphens/>
        <w:ind w:leftChars="23" w:left="94" w:hangingChars="23" w:hanging="46"/>
        <w:rPr>
          <w:rFonts w:ascii="Times New Roman" w:hAnsi="Times New Roman" w:cs="Times New Roman"/>
          <w:color w:val="000000"/>
          <w:sz w:val="20"/>
          <w:szCs w:val="20"/>
        </w:rPr>
      </w:pPr>
    </w:p>
    <w:bookmarkEnd w:id="18"/>
    <w:bookmarkEnd w:id="19"/>
    <w:p w14:paraId="11B0D2D4" w14:textId="77777777" w:rsidR="009927A3" w:rsidRPr="00B4046C" w:rsidRDefault="00280D1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4046C"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 wp14:anchorId="6C77F406" wp14:editId="50D96C56">
            <wp:extent cx="5372100" cy="3851536"/>
            <wp:effectExtent l="0" t="0" r="0" b="0"/>
            <wp:docPr id="4" name="图片 3" descr="标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标曲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85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4C6E9" w14:textId="3E539547" w:rsidR="00280D1E" w:rsidRPr="00B4046C" w:rsidRDefault="00F5474D" w:rsidP="00280D1E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bookmarkStart w:id="20" w:name="OLE_LINK190"/>
      <w:bookmarkStart w:id="21" w:name="OLE_LINK191"/>
      <w:r w:rsidRPr="00B4046C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="00D30079" w:rsidRPr="00B4046C">
        <w:rPr>
          <w:rFonts w:ascii="Times New Roman" w:hAnsi="Times New Roman" w:cs="Times New Roman"/>
          <w:color w:val="000000"/>
          <w:sz w:val="20"/>
          <w:szCs w:val="20"/>
        </w:rPr>
        <w:t>ig</w:t>
      </w:r>
      <w:r w:rsidRPr="00B4046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80D1E" w:rsidRPr="00B4046C">
        <w:rPr>
          <w:rFonts w:ascii="Times New Roman" w:hAnsi="Times New Roman" w:cs="Times New Roman"/>
          <w:color w:val="000000"/>
          <w:sz w:val="20"/>
          <w:szCs w:val="20"/>
        </w:rPr>
        <w:t xml:space="preserve"> S1</w:t>
      </w:r>
      <w:bookmarkEnd w:id="20"/>
      <w:bookmarkEnd w:id="21"/>
      <w:r w:rsidRPr="00B4046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D30079" w:rsidRPr="00B404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0D1E" w:rsidRPr="00B4046C">
        <w:rPr>
          <w:rFonts w:ascii="Times New Roman" w:hAnsi="Times New Roman" w:cs="Times New Roman"/>
          <w:color w:val="000000"/>
          <w:sz w:val="20"/>
          <w:szCs w:val="20"/>
        </w:rPr>
        <w:t>Standard curve of Morin through UV-Vis absorbance.</w:t>
      </w:r>
    </w:p>
    <w:p w14:paraId="319FC5D1" w14:textId="77777777" w:rsidR="00280D1E" w:rsidRPr="00B4046C" w:rsidRDefault="00280D1E" w:rsidP="00280D1E">
      <w:pPr>
        <w:autoSpaceDE w:val="0"/>
        <w:autoSpaceDN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974AF5A" w14:textId="66F6D31F" w:rsidR="00280D1E" w:rsidRDefault="00AF1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1B708FB" wp14:editId="3756CF77">
            <wp:extent cx="5943600" cy="26147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稳定性分析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910" cy="261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E346A" w14:textId="2E1473C2" w:rsidR="00AF15AC" w:rsidRPr="00AF15AC" w:rsidRDefault="00AF15AC" w:rsidP="007E1F06">
      <w:pPr>
        <w:rPr>
          <w:rFonts w:ascii="Times New Roman" w:hAnsi="Times New Roman" w:cs="Times New Roman"/>
          <w:color w:val="000000"/>
        </w:rPr>
      </w:pPr>
      <w:r w:rsidRPr="00B4046C">
        <w:rPr>
          <w:rFonts w:ascii="Times New Roman" w:hAnsi="Times New Roman" w:cs="Times New Roman"/>
          <w:color w:val="000000"/>
          <w:sz w:val="20"/>
          <w:szCs w:val="20"/>
        </w:rPr>
        <w:t>Fig. 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</w:rPr>
        <w:t>T</w:t>
      </w:r>
      <w:r w:rsidRPr="00AF15AC">
        <w:rPr>
          <w:rFonts w:ascii="Times New Roman" w:hAnsi="Times New Roman" w:cs="Times New Roman"/>
          <w:color w:val="000000"/>
        </w:rPr>
        <w:t>he stability analysis of the</w:t>
      </w:r>
      <w:bookmarkStart w:id="22" w:name="OLE_LINK178"/>
      <w:bookmarkStart w:id="23" w:name="OLE_LINK179"/>
      <w:r w:rsidRPr="00AF15AC">
        <w:rPr>
          <w:rFonts w:ascii="Times New Roman" w:hAnsi="Times New Roman" w:cs="Times New Roman"/>
          <w:color w:val="000000"/>
        </w:rPr>
        <w:t xml:space="preserve"> </w:t>
      </w:r>
      <w:bookmarkStart w:id="24" w:name="OLE_LINK192"/>
      <w:bookmarkStart w:id="25" w:name="OLE_LINK193"/>
      <w:r w:rsidRPr="00AF15AC">
        <w:rPr>
          <w:rFonts w:ascii="Times New Roman" w:hAnsi="Times New Roman" w:cs="Times New Roman"/>
          <w:color w:val="000000"/>
        </w:rPr>
        <w:t>Apt-Au@MSL</w:t>
      </w:r>
      <w:bookmarkEnd w:id="22"/>
      <w:bookmarkEnd w:id="23"/>
      <w:bookmarkEnd w:id="24"/>
      <w:bookmarkEnd w:id="25"/>
      <w:r w:rsidRPr="00AF15AC">
        <w:rPr>
          <w:rFonts w:ascii="Times New Roman" w:hAnsi="Times New Roman" w:cs="Times New Roman"/>
          <w:color w:val="000000"/>
        </w:rPr>
        <w:t xml:space="preserve"> at </w:t>
      </w:r>
      <w:bookmarkStart w:id="26" w:name="OLE_LINK140"/>
      <w:bookmarkStart w:id="27" w:name="OLE_LINK141"/>
      <w:r w:rsidRPr="00AF15AC">
        <w:rPr>
          <w:rFonts w:ascii="Times New Roman" w:hAnsi="Times New Roman" w:cs="Times New Roman"/>
          <w:color w:val="000000"/>
        </w:rPr>
        <w:t>different biological conditions</w:t>
      </w:r>
      <w:bookmarkEnd w:id="26"/>
      <w:bookmarkEnd w:id="27"/>
      <w:r>
        <w:rPr>
          <w:rFonts w:ascii="Times New Roman" w:hAnsi="Times New Roman" w:cs="Times New Roman"/>
          <w:color w:val="000000"/>
        </w:rPr>
        <w:t>. (A)</w:t>
      </w:r>
      <w:r w:rsidRPr="00AF15AC">
        <w:t xml:space="preserve"> </w:t>
      </w:r>
      <w:r w:rsidRPr="00AF15AC">
        <w:rPr>
          <w:rFonts w:ascii="Times New Roman" w:hAnsi="Times New Roman" w:cs="Times New Roman"/>
          <w:color w:val="000000"/>
        </w:rPr>
        <w:t xml:space="preserve">Changes in the </w:t>
      </w:r>
      <w:r w:rsidR="007E1F06" w:rsidRPr="007E1F06">
        <w:rPr>
          <w:rFonts w:ascii="Times New Roman" w:hAnsi="Times New Roman" w:cs="Times New Roman"/>
          <w:color w:val="000000"/>
        </w:rPr>
        <w:t>Polymer dispersity index</w:t>
      </w:r>
      <w:r w:rsidRPr="00AF15AC">
        <w:rPr>
          <w:rFonts w:ascii="Times New Roman" w:hAnsi="Times New Roman" w:cs="Times New Roman"/>
          <w:color w:val="000000"/>
        </w:rPr>
        <w:t xml:space="preserve"> of Apt-Au@MSL in PBS (100 µM) and 10% FBS.</w:t>
      </w:r>
      <w:r w:rsidR="007E1F06">
        <w:rPr>
          <w:rFonts w:ascii="Times New Roman" w:hAnsi="Times New Roman" w:cs="Times New Roman"/>
          <w:color w:val="000000"/>
        </w:rPr>
        <w:t xml:space="preserve"> (B) </w:t>
      </w:r>
      <w:r w:rsidR="007E1F06" w:rsidRPr="007E1F06">
        <w:rPr>
          <w:rFonts w:ascii="Times New Roman" w:hAnsi="Times New Roman" w:cs="Times New Roman"/>
          <w:color w:val="000000"/>
        </w:rPr>
        <w:t>Changes in the hydrodynamic size of</w:t>
      </w:r>
      <w:r w:rsidR="007E1F06">
        <w:rPr>
          <w:rFonts w:ascii="Times New Roman" w:hAnsi="Times New Roman" w:cs="Times New Roman" w:hint="eastAsia"/>
          <w:color w:val="000000"/>
        </w:rPr>
        <w:t xml:space="preserve"> </w:t>
      </w:r>
      <w:r w:rsidR="007E1F06" w:rsidRPr="00AF15AC">
        <w:rPr>
          <w:rFonts w:ascii="Times New Roman" w:hAnsi="Times New Roman" w:cs="Times New Roman"/>
          <w:color w:val="000000"/>
        </w:rPr>
        <w:t>Apt-Au@MSL</w:t>
      </w:r>
      <w:r w:rsidR="007E1F06" w:rsidRPr="007E1F06">
        <w:rPr>
          <w:rFonts w:ascii="Times New Roman" w:hAnsi="Times New Roman" w:cs="Times New Roman"/>
          <w:color w:val="000000"/>
        </w:rPr>
        <w:t xml:space="preserve"> in PBS (100 µM), and 10% FBS.</w:t>
      </w:r>
    </w:p>
    <w:sectPr w:rsidR="00AF15AC" w:rsidRPr="00AF15AC" w:rsidSect="00992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7AA35" w14:textId="77777777" w:rsidR="008E68B4" w:rsidRDefault="008E68B4" w:rsidP="00D30079">
      <w:r>
        <w:separator/>
      </w:r>
    </w:p>
  </w:endnote>
  <w:endnote w:type="continuationSeparator" w:id="0">
    <w:p w14:paraId="4CE46FBC" w14:textId="77777777" w:rsidR="008E68B4" w:rsidRDefault="008E68B4" w:rsidP="00D3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lliverB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362B1" w14:textId="77777777" w:rsidR="008E68B4" w:rsidRDefault="008E68B4" w:rsidP="00D30079">
      <w:r>
        <w:separator/>
      </w:r>
    </w:p>
  </w:footnote>
  <w:footnote w:type="continuationSeparator" w:id="0">
    <w:p w14:paraId="20C8E883" w14:textId="77777777" w:rsidR="008E68B4" w:rsidRDefault="008E68B4" w:rsidP="00D30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22"/>
    <w:rsid w:val="000156C9"/>
    <w:rsid w:val="00077C96"/>
    <w:rsid w:val="001570C1"/>
    <w:rsid w:val="00170345"/>
    <w:rsid w:val="001D589E"/>
    <w:rsid w:val="00213520"/>
    <w:rsid w:val="00280D1E"/>
    <w:rsid w:val="003469BD"/>
    <w:rsid w:val="004317D9"/>
    <w:rsid w:val="00453622"/>
    <w:rsid w:val="004544A5"/>
    <w:rsid w:val="00480FF1"/>
    <w:rsid w:val="004D0FE6"/>
    <w:rsid w:val="004F6C9E"/>
    <w:rsid w:val="005247E0"/>
    <w:rsid w:val="005E7228"/>
    <w:rsid w:val="00650393"/>
    <w:rsid w:val="00683C9F"/>
    <w:rsid w:val="00773B4E"/>
    <w:rsid w:val="007E1F06"/>
    <w:rsid w:val="008A2E96"/>
    <w:rsid w:val="008E68B4"/>
    <w:rsid w:val="009927A3"/>
    <w:rsid w:val="009D6043"/>
    <w:rsid w:val="009E1674"/>
    <w:rsid w:val="00A128B2"/>
    <w:rsid w:val="00A417EE"/>
    <w:rsid w:val="00A42F36"/>
    <w:rsid w:val="00AF15AC"/>
    <w:rsid w:val="00B23380"/>
    <w:rsid w:val="00B4046C"/>
    <w:rsid w:val="00BB503D"/>
    <w:rsid w:val="00BD2C15"/>
    <w:rsid w:val="00C25748"/>
    <w:rsid w:val="00C30871"/>
    <w:rsid w:val="00C370D3"/>
    <w:rsid w:val="00C6139C"/>
    <w:rsid w:val="00C730A4"/>
    <w:rsid w:val="00D30079"/>
    <w:rsid w:val="00D82957"/>
    <w:rsid w:val="00D93209"/>
    <w:rsid w:val="00DF0C02"/>
    <w:rsid w:val="00E017A2"/>
    <w:rsid w:val="00E349E8"/>
    <w:rsid w:val="00E75F32"/>
    <w:rsid w:val="00F5474D"/>
    <w:rsid w:val="00FA7D7A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B4E36"/>
  <w15:docId w15:val="{E955756C-011D-4928-B426-C73D5EFF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0A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730A4"/>
    <w:rPr>
      <w:sz w:val="18"/>
      <w:szCs w:val="18"/>
    </w:rPr>
  </w:style>
  <w:style w:type="character" w:customStyle="1" w:styleId="fontstyle01">
    <w:name w:val="fontstyle01"/>
    <w:basedOn w:val="a0"/>
    <w:rsid w:val="005247E0"/>
    <w:rPr>
      <w:rFonts w:ascii="GulliverBL" w:hAnsi="GulliverBL" w:hint="default"/>
      <w:b/>
      <w:bCs/>
      <w:i w:val="0"/>
      <w:iCs w:val="0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247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0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3007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0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30079"/>
    <w:rPr>
      <w:sz w:val="18"/>
      <w:szCs w:val="18"/>
    </w:rPr>
  </w:style>
  <w:style w:type="character" w:customStyle="1" w:styleId="src">
    <w:name w:val="src"/>
    <w:basedOn w:val="a0"/>
    <w:rsid w:val="00AF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侯 雪婷</cp:lastModifiedBy>
  <cp:revision>2</cp:revision>
  <dcterms:created xsi:type="dcterms:W3CDTF">2020-02-26T09:10:00Z</dcterms:created>
  <dcterms:modified xsi:type="dcterms:W3CDTF">2020-02-26T09:10:00Z</dcterms:modified>
</cp:coreProperties>
</file>