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E1136" w14:textId="2429A999" w:rsidR="005A1693" w:rsidRPr="0084045A" w:rsidRDefault="00DC0AE0" w:rsidP="00F317B9">
      <w:pPr>
        <w:pStyle w:val="Ttulo1"/>
        <w:rPr>
          <w:noProof/>
          <w:lang w:val="en-GB"/>
        </w:rPr>
      </w:pPr>
      <w:bookmarkStart w:id="0" w:name="_Toc19634653"/>
      <w:bookmarkStart w:id="1" w:name="_GoBack"/>
      <w:bookmarkEnd w:id="1"/>
      <w:r w:rsidRPr="0084045A">
        <w:rPr>
          <w:noProof/>
          <w:lang w:val="en-GB"/>
        </w:rPr>
        <w:t>ADDITIONAL</w:t>
      </w:r>
      <w:r w:rsidR="00C14D4A" w:rsidRPr="0084045A">
        <w:rPr>
          <w:noProof/>
          <w:lang w:val="en-GB"/>
        </w:rPr>
        <w:t xml:space="preserve"> FILE </w:t>
      </w:r>
      <w:r w:rsidR="007219CE" w:rsidRPr="0084045A">
        <w:rPr>
          <w:noProof/>
          <w:lang w:val="en-GB"/>
        </w:rPr>
        <w:t>1</w:t>
      </w:r>
      <w:r w:rsidR="00C14D4A" w:rsidRPr="0084045A">
        <w:rPr>
          <w:noProof/>
          <w:lang w:val="en-GB"/>
        </w:rPr>
        <w:t xml:space="preserve"> </w:t>
      </w:r>
    </w:p>
    <w:p w14:paraId="252C7E16" w14:textId="77777777" w:rsidR="00DC0AE0" w:rsidRPr="0084045A" w:rsidRDefault="00DC0AE0">
      <w:pPr>
        <w:rPr>
          <w:noProof/>
          <w:lang w:val="en-GB"/>
        </w:rPr>
      </w:pPr>
    </w:p>
    <w:p w14:paraId="36EDC6D1" w14:textId="73DE1995" w:rsidR="00DC0AE0" w:rsidRPr="0084045A" w:rsidRDefault="00DC0AE0" w:rsidP="00DC0AE0">
      <w:pPr>
        <w:pStyle w:val="Ttulo1"/>
        <w:rPr>
          <w:noProof/>
          <w:sz w:val="24"/>
          <w:szCs w:val="36"/>
          <w:lang w:val="en-GB"/>
        </w:rPr>
      </w:pPr>
      <w:r w:rsidRPr="0084045A">
        <w:rPr>
          <w:noProof/>
          <w:sz w:val="24"/>
          <w:szCs w:val="36"/>
          <w:lang w:val="en-GB"/>
        </w:rPr>
        <w:t>Influenza in the school-aged population in Mexico: burden of disease and cost-effectiveness of vaccination in children</w:t>
      </w:r>
    </w:p>
    <w:p w14:paraId="2A8854E1" w14:textId="77777777" w:rsidR="00DC0AE0" w:rsidRPr="0084045A" w:rsidRDefault="00DC0AE0" w:rsidP="00512905">
      <w:pPr>
        <w:rPr>
          <w:noProof/>
          <w:lang w:val="en-GB"/>
        </w:rPr>
      </w:pPr>
    </w:p>
    <w:p w14:paraId="3C846CBF" w14:textId="77777777" w:rsidR="00DC0AE0" w:rsidRPr="00096BA7" w:rsidRDefault="00DC0AE0" w:rsidP="00DC0AE0">
      <w:pPr>
        <w:spacing w:after="0" w:line="480" w:lineRule="auto"/>
        <w:rPr>
          <w:rFonts w:ascii="Arial" w:hAnsi="Arial" w:cs="Arial"/>
          <w:noProof/>
          <w:sz w:val="24"/>
          <w:szCs w:val="24"/>
        </w:rPr>
      </w:pPr>
      <w:r w:rsidRPr="00096BA7">
        <w:rPr>
          <w:rFonts w:ascii="Arial" w:hAnsi="Arial" w:cs="Arial"/>
          <w:noProof/>
          <w:sz w:val="24"/>
          <w:szCs w:val="24"/>
        </w:rPr>
        <w:t>Jorge Abelardo Falcón-Lezama</w:t>
      </w:r>
      <w:r w:rsidRPr="00096BA7">
        <w:rPr>
          <w:rFonts w:ascii="Arial" w:hAnsi="Arial" w:cs="Arial"/>
          <w:noProof/>
          <w:sz w:val="24"/>
          <w:szCs w:val="24"/>
          <w:vertAlign w:val="superscript"/>
        </w:rPr>
        <w:t>1</w:t>
      </w:r>
      <w:r w:rsidRPr="00096BA7">
        <w:rPr>
          <w:rFonts w:ascii="Arial" w:hAnsi="Arial" w:cs="Arial"/>
          <w:noProof/>
          <w:sz w:val="24"/>
          <w:szCs w:val="24"/>
        </w:rPr>
        <w:t>, Rodrigo Saucedo-Martínez</w:t>
      </w:r>
      <w:r w:rsidRPr="00096BA7">
        <w:rPr>
          <w:rFonts w:ascii="Arial" w:hAnsi="Arial" w:cs="Arial"/>
          <w:noProof/>
          <w:sz w:val="24"/>
          <w:szCs w:val="24"/>
          <w:vertAlign w:val="superscript"/>
        </w:rPr>
        <w:t>1</w:t>
      </w:r>
      <w:r w:rsidRPr="00096BA7">
        <w:rPr>
          <w:rFonts w:ascii="Arial" w:hAnsi="Arial" w:cs="Arial"/>
          <w:noProof/>
          <w:sz w:val="24"/>
          <w:szCs w:val="24"/>
        </w:rPr>
        <w:t>, Miguel Betancourt-Cravioto</w:t>
      </w:r>
      <w:r w:rsidRPr="00096BA7">
        <w:rPr>
          <w:rFonts w:ascii="Arial" w:hAnsi="Arial" w:cs="Arial"/>
          <w:noProof/>
          <w:sz w:val="24"/>
          <w:szCs w:val="24"/>
          <w:vertAlign w:val="superscript"/>
        </w:rPr>
        <w:t>1</w:t>
      </w:r>
      <w:r w:rsidRPr="00096BA7">
        <w:rPr>
          <w:rFonts w:ascii="Arial" w:hAnsi="Arial" w:cs="Arial"/>
          <w:noProof/>
          <w:sz w:val="24"/>
          <w:szCs w:val="24"/>
        </w:rPr>
        <w:t>, Myrna María Alfaro-Cortes</w:t>
      </w:r>
      <w:r w:rsidRPr="00096BA7">
        <w:rPr>
          <w:rFonts w:ascii="Arial" w:hAnsi="Arial" w:cs="Arial"/>
          <w:noProof/>
          <w:sz w:val="24"/>
          <w:szCs w:val="24"/>
          <w:vertAlign w:val="superscript"/>
        </w:rPr>
        <w:t>1</w:t>
      </w:r>
      <w:r w:rsidRPr="00096BA7">
        <w:rPr>
          <w:rFonts w:ascii="Arial" w:hAnsi="Arial" w:cs="Arial"/>
          <w:noProof/>
          <w:sz w:val="24"/>
          <w:szCs w:val="24"/>
        </w:rPr>
        <w:t>, Roberto Isaac Bahena-González</w:t>
      </w:r>
      <w:r w:rsidRPr="00096BA7">
        <w:rPr>
          <w:rFonts w:ascii="Arial" w:hAnsi="Arial" w:cs="Arial"/>
          <w:noProof/>
          <w:sz w:val="24"/>
          <w:szCs w:val="24"/>
          <w:vertAlign w:val="superscript"/>
        </w:rPr>
        <w:t>1</w:t>
      </w:r>
      <w:r w:rsidRPr="00096BA7">
        <w:rPr>
          <w:rFonts w:ascii="Arial" w:hAnsi="Arial" w:cs="Arial"/>
          <w:noProof/>
          <w:sz w:val="24"/>
          <w:szCs w:val="24"/>
        </w:rPr>
        <w:t xml:space="preserve">, </w:t>
      </w:r>
      <w:bookmarkStart w:id="2" w:name="_Hlk20405414"/>
      <w:r w:rsidRPr="00096BA7">
        <w:rPr>
          <w:rFonts w:ascii="Arial" w:hAnsi="Arial" w:cs="Arial"/>
          <w:noProof/>
          <w:sz w:val="24"/>
          <w:szCs w:val="24"/>
        </w:rPr>
        <w:t>Roberto Tapia-Conyer</w:t>
      </w:r>
      <w:bookmarkEnd w:id="2"/>
      <w:r w:rsidRPr="00096BA7">
        <w:rPr>
          <w:rFonts w:ascii="Arial" w:hAnsi="Arial" w:cs="Arial"/>
          <w:noProof/>
          <w:sz w:val="24"/>
          <w:szCs w:val="24"/>
          <w:vertAlign w:val="superscript"/>
        </w:rPr>
        <w:t>1,2*</w:t>
      </w:r>
    </w:p>
    <w:p w14:paraId="3F4CA797" w14:textId="77777777" w:rsidR="00DC0AE0" w:rsidRPr="00096BA7" w:rsidRDefault="00DC0AE0" w:rsidP="00DC0AE0">
      <w:pPr>
        <w:spacing w:after="0" w:line="480" w:lineRule="auto"/>
        <w:rPr>
          <w:rFonts w:ascii="Arial" w:hAnsi="Arial" w:cs="Arial"/>
          <w:noProof/>
          <w:sz w:val="24"/>
          <w:szCs w:val="24"/>
        </w:rPr>
      </w:pPr>
    </w:p>
    <w:p w14:paraId="32B45410" w14:textId="066063D5" w:rsidR="00AA41B4" w:rsidRPr="00096BA7" w:rsidRDefault="00AA41B4" w:rsidP="00AA41B4">
      <w:pPr>
        <w:spacing w:after="0" w:line="480" w:lineRule="auto"/>
        <w:rPr>
          <w:rFonts w:ascii="Arial" w:hAnsi="Arial" w:cs="Arial"/>
          <w:noProof/>
          <w:sz w:val="20"/>
          <w:szCs w:val="20"/>
        </w:rPr>
      </w:pPr>
      <w:r w:rsidRPr="00096BA7">
        <w:rPr>
          <w:rFonts w:ascii="Arial" w:hAnsi="Arial" w:cs="Arial"/>
          <w:noProof/>
          <w:sz w:val="20"/>
          <w:szCs w:val="20"/>
          <w:vertAlign w:val="superscript"/>
        </w:rPr>
        <w:t>1</w:t>
      </w:r>
      <w:r w:rsidRPr="00096BA7">
        <w:rPr>
          <w:rFonts w:ascii="Arial" w:hAnsi="Arial" w:cs="Arial"/>
          <w:noProof/>
          <w:sz w:val="20"/>
          <w:szCs w:val="20"/>
        </w:rPr>
        <w:t xml:space="preserve">Sociedad Mexicana de Salud Pública, </w:t>
      </w:r>
      <w:bookmarkStart w:id="3" w:name="_Hlk20832185"/>
      <w:r w:rsidR="00935A29" w:rsidRPr="00096BA7">
        <w:rPr>
          <w:rFonts w:ascii="Arial" w:hAnsi="Arial" w:cs="Arial"/>
          <w:noProof/>
          <w:sz w:val="20"/>
          <w:szCs w:val="20"/>
        </w:rPr>
        <w:t>Herschel 109, Anzures,</w:t>
      </w:r>
      <w:r w:rsidR="00280B93" w:rsidRPr="00096BA7">
        <w:rPr>
          <w:rFonts w:ascii="Arial" w:hAnsi="Arial" w:cs="Arial"/>
          <w:noProof/>
          <w:sz w:val="20"/>
          <w:szCs w:val="20"/>
        </w:rPr>
        <w:t xml:space="preserve"> </w:t>
      </w:r>
      <w:r w:rsidR="00935A29" w:rsidRPr="00096BA7">
        <w:rPr>
          <w:rFonts w:ascii="Arial" w:hAnsi="Arial" w:cs="Arial"/>
          <w:noProof/>
          <w:sz w:val="20"/>
          <w:szCs w:val="20"/>
        </w:rPr>
        <w:t xml:space="preserve">Miguel Hidalgo, </w:t>
      </w:r>
      <w:r w:rsidR="00280B93" w:rsidRPr="00096BA7">
        <w:rPr>
          <w:rFonts w:ascii="Arial" w:hAnsi="Arial" w:cs="Arial"/>
          <w:noProof/>
          <w:sz w:val="20"/>
          <w:szCs w:val="20"/>
        </w:rPr>
        <w:t xml:space="preserve">11590 </w:t>
      </w:r>
      <w:bookmarkEnd w:id="3"/>
      <w:r w:rsidRPr="00096BA7">
        <w:rPr>
          <w:rFonts w:ascii="Arial" w:hAnsi="Arial" w:cs="Arial"/>
          <w:noProof/>
          <w:sz w:val="20"/>
          <w:szCs w:val="20"/>
        </w:rPr>
        <w:t xml:space="preserve">Mexico City, Mexico </w:t>
      </w:r>
    </w:p>
    <w:p w14:paraId="4D0618FB" w14:textId="20815EFA" w:rsidR="00AA41B4" w:rsidRPr="00096BA7" w:rsidRDefault="00AA41B4" w:rsidP="00AA41B4">
      <w:pPr>
        <w:spacing w:after="0" w:line="480" w:lineRule="auto"/>
        <w:rPr>
          <w:rFonts w:ascii="Arial" w:hAnsi="Arial" w:cs="Arial"/>
          <w:noProof/>
          <w:sz w:val="20"/>
          <w:szCs w:val="20"/>
        </w:rPr>
      </w:pPr>
      <w:r w:rsidRPr="00096BA7">
        <w:rPr>
          <w:rFonts w:ascii="Arial" w:hAnsi="Arial" w:cs="Arial"/>
          <w:noProof/>
          <w:sz w:val="20"/>
          <w:szCs w:val="20"/>
          <w:vertAlign w:val="superscript"/>
        </w:rPr>
        <w:t>2</w:t>
      </w:r>
      <w:r w:rsidRPr="00096BA7">
        <w:rPr>
          <w:rFonts w:ascii="Arial" w:hAnsi="Arial" w:cs="Arial"/>
          <w:noProof/>
          <w:sz w:val="20"/>
          <w:szCs w:val="20"/>
        </w:rPr>
        <w:t xml:space="preserve">Universidad Nacional Autónoma de México, </w:t>
      </w:r>
      <w:bookmarkStart w:id="4" w:name="_Hlk20832211"/>
      <w:r w:rsidR="00935A29" w:rsidRPr="00096BA7">
        <w:rPr>
          <w:rFonts w:ascii="Arial" w:hAnsi="Arial" w:cs="Arial"/>
          <w:noProof/>
          <w:sz w:val="20"/>
          <w:szCs w:val="20"/>
        </w:rPr>
        <w:t xml:space="preserve">Av Universidad 3000, Circuito Escolar CU, Edificio B 1er Piso, Coyoacan, </w:t>
      </w:r>
      <w:r w:rsidR="00280B93" w:rsidRPr="00096BA7">
        <w:rPr>
          <w:rFonts w:ascii="Arial" w:hAnsi="Arial" w:cs="Arial"/>
          <w:noProof/>
          <w:sz w:val="20"/>
          <w:szCs w:val="20"/>
        </w:rPr>
        <w:t xml:space="preserve">04510 </w:t>
      </w:r>
      <w:bookmarkEnd w:id="4"/>
      <w:r w:rsidRPr="00096BA7">
        <w:rPr>
          <w:rFonts w:ascii="Arial" w:hAnsi="Arial" w:cs="Arial"/>
          <w:noProof/>
          <w:sz w:val="20"/>
          <w:szCs w:val="20"/>
        </w:rPr>
        <w:t xml:space="preserve">Mexico City, Mexico </w:t>
      </w:r>
    </w:p>
    <w:p w14:paraId="3ECF10E8" w14:textId="77777777" w:rsidR="00DC0AE0" w:rsidRPr="00096BA7" w:rsidRDefault="00DC0AE0" w:rsidP="00DC0AE0">
      <w:pPr>
        <w:spacing w:after="0" w:line="480" w:lineRule="auto"/>
        <w:rPr>
          <w:rFonts w:ascii="Arial" w:hAnsi="Arial" w:cs="Arial"/>
          <w:noProof/>
          <w:sz w:val="24"/>
          <w:szCs w:val="24"/>
        </w:rPr>
      </w:pPr>
    </w:p>
    <w:p w14:paraId="28C85BC4" w14:textId="77777777" w:rsidR="00DC0AE0" w:rsidRPr="00096BA7" w:rsidRDefault="00DC0AE0" w:rsidP="00DC0AE0">
      <w:pPr>
        <w:spacing w:after="0" w:line="480" w:lineRule="auto"/>
        <w:rPr>
          <w:rFonts w:ascii="Arial" w:hAnsi="Arial" w:cs="Arial"/>
          <w:noProof/>
          <w:sz w:val="24"/>
          <w:szCs w:val="24"/>
        </w:rPr>
      </w:pPr>
      <w:bookmarkStart w:id="5" w:name="_Hlk20481110"/>
      <w:r w:rsidRPr="00096BA7">
        <w:rPr>
          <w:rFonts w:ascii="Arial" w:hAnsi="Arial" w:cs="Arial"/>
          <w:b/>
          <w:bCs/>
          <w:noProof/>
          <w:sz w:val="24"/>
          <w:szCs w:val="24"/>
          <w:vertAlign w:val="superscript"/>
        </w:rPr>
        <w:t>*</w:t>
      </w:r>
      <w:r w:rsidRPr="00096BA7">
        <w:rPr>
          <w:rFonts w:ascii="Arial" w:hAnsi="Arial" w:cs="Arial"/>
          <w:b/>
          <w:bCs/>
          <w:noProof/>
          <w:sz w:val="24"/>
          <w:szCs w:val="24"/>
        </w:rPr>
        <w:t>Corresponding author:</w:t>
      </w:r>
      <w:r w:rsidRPr="00096BA7">
        <w:rPr>
          <w:rFonts w:ascii="Arial" w:hAnsi="Arial" w:cs="Arial"/>
          <w:noProof/>
          <w:sz w:val="24"/>
          <w:szCs w:val="24"/>
        </w:rPr>
        <w:t xml:space="preserve"> </w:t>
      </w:r>
    </w:p>
    <w:p w14:paraId="0F3D8F01" w14:textId="3F54854F" w:rsidR="00DC0AE0" w:rsidRPr="00096BA7" w:rsidRDefault="00CD4AAB" w:rsidP="00DC0AE0">
      <w:pPr>
        <w:spacing w:after="0" w:line="480" w:lineRule="auto"/>
        <w:rPr>
          <w:rFonts w:ascii="Arial" w:hAnsi="Arial" w:cs="Arial"/>
          <w:noProof/>
          <w:sz w:val="24"/>
          <w:szCs w:val="24"/>
        </w:rPr>
      </w:pPr>
      <w:r w:rsidRPr="00096BA7">
        <w:rPr>
          <w:rFonts w:ascii="Arial" w:hAnsi="Arial" w:cs="Arial"/>
          <w:noProof/>
          <w:sz w:val="24"/>
          <w:szCs w:val="24"/>
        </w:rPr>
        <w:t>Roberto Tapia-Conyer</w:t>
      </w:r>
    </w:p>
    <w:bookmarkEnd w:id="5"/>
    <w:p w14:paraId="45523080" w14:textId="1BC838CE" w:rsidR="00AA41B4" w:rsidRPr="00096BA7" w:rsidRDefault="00AA41B4" w:rsidP="00AA41B4">
      <w:pPr>
        <w:spacing w:after="0" w:line="480" w:lineRule="auto"/>
        <w:rPr>
          <w:rFonts w:ascii="Arial" w:hAnsi="Arial" w:cs="Arial"/>
          <w:noProof/>
          <w:sz w:val="20"/>
          <w:szCs w:val="20"/>
        </w:rPr>
      </w:pPr>
      <w:r w:rsidRPr="00096BA7">
        <w:rPr>
          <w:rFonts w:ascii="Arial" w:hAnsi="Arial" w:cs="Arial"/>
          <w:noProof/>
          <w:sz w:val="20"/>
          <w:szCs w:val="20"/>
        </w:rPr>
        <w:t>Lago Zurich 245</w:t>
      </w:r>
      <w:r w:rsidR="00A51F3A" w:rsidRPr="00096BA7">
        <w:rPr>
          <w:rFonts w:ascii="Arial" w:hAnsi="Arial" w:cs="Arial"/>
          <w:noProof/>
          <w:sz w:val="20"/>
          <w:szCs w:val="20"/>
        </w:rPr>
        <w:t>,</w:t>
      </w:r>
      <w:r w:rsidRPr="00096BA7">
        <w:rPr>
          <w:rFonts w:ascii="Arial" w:hAnsi="Arial" w:cs="Arial"/>
          <w:noProof/>
          <w:sz w:val="20"/>
          <w:szCs w:val="20"/>
        </w:rPr>
        <w:t xml:space="preserve"> Presa Falcon Floor 20, Col. Ampliacion Granada</w:t>
      </w:r>
      <w:r w:rsidR="00A51F3A" w:rsidRPr="00096BA7">
        <w:rPr>
          <w:rFonts w:ascii="Arial" w:hAnsi="Arial" w:cs="Arial"/>
          <w:noProof/>
          <w:sz w:val="20"/>
          <w:szCs w:val="20"/>
        </w:rPr>
        <w:t>, Miguel Hidalgo,</w:t>
      </w:r>
      <w:r w:rsidRPr="00096BA7">
        <w:rPr>
          <w:rFonts w:ascii="Arial" w:hAnsi="Arial" w:cs="Arial"/>
          <w:noProof/>
          <w:sz w:val="20"/>
          <w:szCs w:val="20"/>
        </w:rPr>
        <w:t xml:space="preserve"> </w:t>
      </w:r>
      <w:r w:rsidR="00A51F3A" w:rsidRPr="00096BA7">
        <w:rPr>
          <w:rFonts w:ascii="Arial" w:hAnsi="Arial" w:cs="Arial"/>
          <w:noProof/>
          <w:sz w:val="20"/>
          <w:szCs w:val="20"/>
        </w:rPr>
        <w:t xml:space="preserve">11529 </w:t>
      </w:r>
      <w:r w:rsidRPr="00096BA7">
        <w:rPr>
          <w:rFonts w:ascii="Arial" w:hAnsi="Arial" w:cs="Arial"/>
          <w:noProof/>
          <w:sz w:val="20"/>
          <w:szCs w:val="20"/>
        </w:rPr>
        <w:t>Mexico City, Mexico</w:t>
      </w:r>
    </w:p>
    <w:p w14:paraId="7D1B6574" w14:textId="77777777" w:rsidR="00AA41B4" w:rsidRPr="0084045A" w:rsidRDefault="00AA41B4" w:rsidP="00AA41B4">
      <w:pPr>
        <w:spacing w:after="0" w:line="480" w:lineRule="auto"/>
        <w:rPr>
          <w:rFonts w:ascii="Arial" w:hAnsi="Arial" w:cs="Arial"/>
          <w:noProof/>
          <w:sz w:val="20"/>
          <w:szCs w:val="20"/>
          <w:lang w:val="en-GB"/>
        </w:rPr>
      </w:pPr>
      <w:r w:rsidRPr="0084045A">
        <w:rPr>
          <w:rFonts w:ascii="Arial" w:hAnsi="Arial" w:cs="Arial"/>
          <w:noProof/>
          <w:sz w:val="20"/>
          <w:szCs w:val="20"/>
          <w:lang w:val="en-GB"/>
        </w:rPr>
        <w:t>Tel: +52 (55) 5339 1796</w:t>
      </w:r>
    </w:p>
    <w:p w14:paraId="46D707E3" w14:textId="77777777" w:rsidR="00AA41B4" w:rsidRPr="0084045A" w:rsidRDefault="00AA41B4" w:rsidP="00AA41B4">
      <w:pPr>
        <w:spacing w:after="0" w:line="480" w:lineRule="auto"/>
        <w:rPr>
          <w:rFonts w:ascii="Arial" w:hAnsi="Arial" w:cs="Arial"/>
          <w:noProof/>
          <w:sz w:val="20"/>
          <w:szCs w:val="20"/>
          <w:lang w:val="en-GB"/>
        </w:rPr>
      </w:pPr>
      <w:r w:rsidRPr="0084045A">
        <w:rPr>
          <w:rFonts w:ascii="Arial" w:hAnsi="Arial" w:cs="Arial"/>
          <w:noProof/>
          <w:sz w:val="20"/>
          <w:szCs w:val="20"/>
          <w:lang w:val="en-GB"/>
        </w:rPr>
        <w:t>Email: tapiaconyer@yahoo.com.mx</w:t>
      </w:r>
    </w:p>
    <w:p w14:paraId="00084004" w14:textId="675E3BE4" w:rsidR="00DC0AE0" w:rsidRPr="0084045A" w:rsidRDefault="00DC0AE0">
      <w:pPr>
        <w:rPr>
          <w:rFonts w:ascii="Arial" w:eastAsiaTheme="majorEastAsia" w:hAnsi="Arial" w:cstheme="majorBidi"/>
          <w:b/>
          <w:noProof/>
          <w:szCs w:val="32"/>
          <w:lang w:val="en-GB"/>
        </w:rPr>
      </w:pPr>
      <w:r w:rsidRPr="0084045A">
        <w:rPr>
          <w:noProof/>
          <w:lang w:val="en-GB"/>
        </w:rPr>
        <w:br w:type="page"/>
      </w:r>
    </w:p>
    <w:p w14:paraId="1E848935" w14:textId="0D8890F3" w:rsidR="004A1075" w:rsidRPr="003B2744" w:rsidRDefault="00A02A83" w:rsidP="00906E5E">
      <w:pPr>
        <w:pStyle w:val="Ttulo1"/>
        <w:rPr>
          <w:noProof/>
          <w:sz w:val="26"/>
          <w:szCs w:val="26"/>
          <w:lang w:val="en-GB"/>
        </w:rPr>
      </w:pPr>
      <w:r w:rsidRPr="003B2744">
        <w:rPr>
          <w:noProof/>
          <w:sz w:val="26"/>
          <w:szCs w:val="26"/>
          <w:lang w:val="en-GB"/>
        </w:rPr>
        <w:lastRenderedPageBreak/>
        <w:t>Supplement 1</w:t>
      </w:r>
    </w:p>
    <w:p w14:paraId="1BD9C5DD" w14:textId="77777777" w:rsidR="00AA41B4" w:rsidRPr="0084045A" w:rsidRDefault="00AA41B4" w:rsidP="00AD1583">
      <w:pPr>
        <w:rPr>
          <w:noProof/>
          <w:lang w:val="en-GB"/>
        </w:rPr>
      </w:pPr>
    </w:p>
    <w:p w14:paraId="5B6422DC" w14:textId="2ACCC60D" w:rsidR="00364C3E" w:rsidRPr="0084045A" w:rsidRDefault="00C14D4A" w:rsidP="00512905">
      <w:pPr>
        <w:pStyle w:val="Ttulo2"/>
        <w:rPr>
          <w:noProof/>
          <w:lang w:val="en-GB"/>
        </w:rPr>
      </w:pPr>
      <w:r w:rsidRPr="0084045A">
        <w:rPr>
          <w:noProof/>
          <w:lang w:val="en-GB"/>
        </w:rPr>
        <w:t>T</w:t>
      </w:r>
      <w:r w:rsidR="00455ECF" w:rsidRPr="0084045A">
        <w:rPr>
          <w:noProof/>
          <w:lang w:val="en-GB"/>
        </w:rPr>
        <w:t>ext</w:t>
      </w:r>
      <w:r w:rsidR="00EE72A9" w:rsidRPr="0084045A">
        <w:rPr>
          <w:noProof/>
          <w:lang w:val="en-GB"/>
        </w:rPr>
        <w:t xml:space="preserve"> S1</w:t>
      </w:r>
      <w:r w:rsidR="003D3090" w:rsidRPr="0084045A">
        <w:rPr>
          <w:noProof/>
          <w:lang w:val="en-GB"/>
        </w:rPr>
        <w:t>.1</w:t>
      </w:r>
      <w:r w:rsidR="00455ECF" w:rsidRPr="0084045A">
        <w:rPr>
          <w:noProof/>
          <w:lang w:val="en-GB"/>
        </w:rPr>
        <w:t>.</w:t>
      </w:r>
      <w:r w:rsidR="007219CE" w:rsidRPr="0084045A">
        <w:rPr>
          <w:noProof/>
          <w:lang w:val="en-GB"/>
        </w:rPr>
        <w:t xml:space="preserve"> </w:t>
      </w:r>
      <w:r w:rsidR="00892226" w:rsidRPr="0084045A">
        <w:rPr>
          <w:noProof/>
          <w:lang w:val="en-GB"/>
        </w:rPr>
        <w:t>ICD-10 codes used for case selection</w:t>
      </w:r>
      <w:r w:rsidR="00C27568" w:rsidRPr="0084045A">
        <w:rPr>
          <w:noProof/>
          <w:lang w:val="en-GB"/>
        </w:rPr>
        <w:t xml:space="preserve"> </w:t>
      </w:r>
      <w:bookmarkEnd w:id="0"/>
    </w:p>
    <w:p w14:paraId="3987439F" w14:textId="42E923B6" w:rsidR="00892226" w:rsidRPr="0084045A" w:rsidRDefault="00892226" w:rsidP="00333403">
      <w:pPr>
        <w:spacing w:line="480" w:lineRule="auto"/>
        <w:rPr>
          <w:rFonts w:cs="Arial"/>
          <w:noProof/>
          <w:sz w:val="24"/>
          <w:szCs w:val="24"/>
          <w:lang w:val="en-GB"/>
        </w:rPr>
      </w:pPr>
      <w:r w:rsidRPr="0084045A">
        <w:rPr>
          <w:rFonts w:ascii="Arial" w:hAnsi="Arial" w:cs="Arial"/>
          <w:noProof/>
          <w:sz w:val="24"/>
          <w:szCs w:val="24"/>
          <w:lang w:val="en-GB"/>
        </w:rPr>
        <w:t>For</w:t>
      </w:r>
      <w:r w:rsidR="008D17B6" w:rsidRPr="0084045A">
        <w:rPr>
          <w:rFonts w:ascii="Arial" w:hAnsi="Arial" w:cs="Arial"/>
          <w:noProof/>
          <w:sz w:val="24"/>
          <w:szCs w:val="24"/>
          <w:lang w:val="en-GB"/>
        </w:rPr>
        <w:t xml:space="preserve"> influenza records from the databases of the</w:t>
      </w:r>
      <w:r w:rsidRPr="0084045A">
        <w:rPr>
          <w:rFonts w:ascii="Arial" w:hAnsi="Arial" w:cs="Arial"/>
          <w:noProof/>
          <w:sz w:val="24"/>
          <w:szCs w:val="24"/>
          <w:lang w:val="en-GB"/>
        </w:rPr>
        <w:t xml:space="preserve"> </w:t>
      </w:r>
      <w:r w:rsidR="008D17B6" w:rsidRPr="0084045A">
        <w:rPr>
          <w:rFonts w:ascii="Arial" w:hAnsi="Arial" w:cs="Arial"/>
          <w:noProof/>
          <w:sz w:val="24"/>
          <w:szCs w:val="24"/>
          <w:lang w:val="en-GB"/>
        </w:rPr>
        <w:t xml:space="preserve">National Mortality Epidemiological and Statistical System (SEED) </w:t>
      </w:r>
      <w:r w:rsidRPr="0084045A">
        <w:rPr>
          <w:rFonts w:ascii="Arial" w:hAnsi="Arial" w:cs="Arial"/>
          <w:noProof/>
          <w:sz w:val="24"/>
          <w:szCs w:val="24"/>
          <w:lang w:val="en-GB"/>
        </w:rPr>
        <w:t>and</w:t>
      </w:r>
      <w:r w:rsidR="008D17B6" w:rsidRPr="0084045A">
        <w:rPr>
          <w:rFonts w:ascii="Arial" w:hAnsi="Arial" w:cs="Arial"/>
          <w:noProof/>
          <w:sz w:val="24"/>
          <w:szCs w:val="24"/>
          <w:lang w:val="en-GB"/>
        </w:rPr>
        <w:t xml:space="preserve"> the</w:t>
      </w:r>
      <w:r w:rsidRPr="0084045A">
        <w:rPr>
          <w:rFonts w:ascii="Arial" w:hAnsi="Arial" w:cs="Arial"/>
          <w:noProof/>
          <w:sz w:val="24"/>
          <w:szCs w:val="24"/>
          <w:lang w:val="en-GB"/>
        </w:rPr>
        <w:t xml:space="preserve"> </w:t>
      </w:r>
      <w:r w:rsidR="008D17B6" w:rsidRPr="0084045A">
        <w:rPr>
          <w:rFonts w:ascii="Arial" w:hAnsi="Arial" w:cs="Arial"/>
          <w:noProof/>
          <w:sz w:val="24"/>
          <w:szCs w:val="24"/>
          <w:lang w:val="en-GB"/>
        </w:rPr>
        <w:t>Automated Hospital Discharge System (SAEH)</w:t>
      </w:r>
      <w:r w:rsidRPr="0084045A">
        <w:rPr>
          <w:rFonts w:ascii="Arial" w:hAnsi="Arial" w:cs="Arial"/>
          <w:noProof/>
          <w:sz w:val="24"/>
          <w:szCs w:val="24"/>
          <w:lang w:val="en-GB"/>
        </w:rPr>
        <w:t>, the International Statistical Classification of Diseases and Related Health Problems, 10th revision, (ICD-10) codes that were used for the selection of cases were: J09x, influenza due to certain identified influenza virus; J100, influenza with pneumonia, other influenza virus identified; J101, influenza with other respiratory manifestations, other influenza virus identified; J108, influenza with other manifestations, other influenza virus identified; J110, influenza with pneumonia, virus not identified; J111 influenza with other respiratory manifestations, virus not identified; and J18, influenza with other manifestations, virus not identified.</w:t>
      </w:r>
    </w:p>
    <w:p w14:paraId="21E671C3" w14:textId="6AAA75C3" w:rsidR="00892226" w:rsidRPr="0084045A" w:rsidRDefault="00892226" w:rsidP="00892226">
      <w:pPr>
        <w:pStyle w:val="Ttulo2"/>
        <w:rPr>
          <w:noProof/>
          <w:lang w:val="en-GB"/>
        </w:rPr>
      </w:pPr>
      <w:r w:rsidRPr="0084045A">
        <w:rPr>
          <w:noProof/>
          <w:lang w:val="en-GB"/>
        </w:rPr>
        <w:t>Text S</w:t>
      </w:r>
      <w:r w:rsidR="003D3090" w:rsidRPr="0084045A">
        <w:rPr>
          <w:noProof/>
          <w:lang w:val="en-GB"/>
        </w:rPr>
        <w:t>1.</w:t>
      </w:r>
      <w:r w:rsidRPr="0084045A">
        <w:rPr>
          <w:noProof/>
          <w:lang w:val="en-GB"/>
        </w:rPr>
        <w:t xml:space="preserve">2. Methodology for calculation of national estimates </w:t>
      </w:r>
    </w:p>
    <w:p w14:paraId="4F191839" w14:textId="0040E7EB" w:rsidR="0062055B" w:rsidRPr="0084045A" w:rsidRDefault="005544A9" w:rsidP="00512905">
      <w:pPr>
        <w:spacing w:after="0" w:line="480" w:lineRule="auto"/>
        <w:rPr>
          <w:rFonts w:ascii="Arial" w:hAnsi="Arial" w:cs="Arial"/>
          <w:b/>
          <w:noProof/>
          <w:color w:val="000000" w:themeColor="text1"/>
          <w:sz w:val="24"/>
          <w:szCs w:val="24"/>
          <w:lang w:val="en-GB"/>
        </w:rPr>
      </w:pPr>
      <w:r w:rsidRPr="0084045A">
        <w:rPr>
          <w:rFonts w:ascii="Arial" w:hAnsi="Arial" w:cs="Arial"/>
          <w:b/>
          <w:noProof/>
          <w:color w:val="000000" w:themeColor="text1"/>
          <w:sz w:val="24"/>
          <w:szCs w:val="24"/>
          <w:lang w:val="en-GB"/>
        </w:rPr>
        <w:t>Main characteristics of SISVEFLU</w:t>
      </w:r>
    </w:p>
    <w:p w14:paraId="5667DB74" w14:textId="038C9C49" w:rsidR="00A56633" w:rsidRPr="0084045A" w:rsidRDefault="0032667A" w:rsidP="00512905">
      <w:pPr>
        <w:spacing w:after="0" w:line="480" w:lineRule="auto"/>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 xml:space="preserve">The </w:t>
      </w:r>
      <w:r w:rsidR="00A56633" w:rsidRPr="0084045A">
        <w:rPr>
          <w:rFonts w:ascii="Arial" w:hAnsi="Arial" w:cs="Arial"/>
          <w:noProof/>
          <w:color w:val="000000" w:themeColor="text1"/>
          <w:sz w:val="24"/>
          <w:szCs w:val="24"/>
          <w:lang w:val="en-GB"/>
        </w:rPr>
        <w:t>SISVEFLU (</w:t>
      </w:r>
      <w:r w:rsidR="00F309D1" w:rsidRPr="0084045A">
        <w:rPr>
          <w:rFonts w:ascii="Arial" w:hAnsi="Arial" w:cs="Arial"/>
          <w:noProof/>
          <w:color w:val="000000" w:themeColor="text1"/>
          <w:sz w:val="24"/>
          <w:szCs w:val="24"/>
          <w:lang w:val="en-GB"/>
        </w:rPr>
        <w:t xml:space="preserve">Influenza </w:t>
      </w:r>
      <w:r w:rsidR="00A56633" w:rsidRPr="0084045A">
        <w:rPr>
          <w:rFonts w:ascii="Arial" w:hAnsi="Arial" w:cs="Arial"/>
          <w:noProof/>
          <w:color w:val="000000" w:themeColor="text1"/>
          <w:sz w:val="24"/>
          <w:szCs w:val="24"/>
          <w:lang w:val="en-GB"/>
        </w:rPr>
        <w:t xml:space="preserve">Epidemiologic Surveillance </w:t>
      </w:r>
      <w:r w:rsidR="00F309D1" w:rsidRPr="0084045A">
        <w:rPr>
          <w:rFonts w:ascii="Arial" w:hAnsi="Arial" w:cs="Arial"/>
          <w:noProof/>
          <w:color w:val="000000" w:themeColor="text1"/>
          <w:sz w:val="24"/>
          <w:szCs w:val="24"/>
          <w:lang w:val="en-GB"/>
        </w:rPr>
        <w:t>System</w:t>
      </w:r>
      <w:r w:rsidR="00A56633" w:rsidRPr="0084045A">
        <w:rPr>
          <w:rFonts w:ascii="Arial" w:hAnsi="Arial" w:cs="Arial"/>
          <w:noProof/>
          <w:color w:val="000000" w:themeColor="text1"/>
          <w:sz w:val="24"/>
          <w:szCs w:val="24"/>
          <w:lang w:val="en-GB"/>
        </w:rPr>
        <w:t xml:space="preserve">) was developed by the General Directorate of Epidemiology of Mexico’s Ministry of Health with the objective of collecting epidemiologic data about </w:t>
      </w:r>
      <w:r w:rsidR="004B5B53" w:rsidRPr="0084045A">
        <w:rPr>
          <w:rFonts w:ascii="Arial" w:hAnsi="Arial" w:cs="Arial"/>
          <w:noProof/>
          <w:color w:val="000000" w:themeColor="text1"/>
          <w:sz w:val="24"/>
          <w:szCs w:val="24"/>
          <w:lang w:val="en-GB"/>
        </w:rPr>
        <w:t>trends in</w:t>
      </w:r>
      <w:r w:rsidRPr="0084045A">
        <w:rPr>
          <w:rFonts w:ascii="Arial" w:hAnsi="Arial" w:cs="Arial"/>
          <w:noProof/>
          <w:color w:val="000000" w:themeColor="text1"/>
          <w:sz w:val="24"/>
          <w:szCs w:val="24"/>
          <w:lang w:val="en-GB"/>
        </w:rPr>
        <w:t xml:space="preserve"> circulating strains of</w:t>
      </w:r>
      <w:r w:rsidR="004B5B53" w:rsidRPr="0084045A">
        <w:rPr>
          <w:rFonts w:ascii="Arial" w:hAnsi="Arial" w:cs="Arial"/>
          <w:noProof/>
          <w:color w:val="000000" w:themeColor="text1"/>
          <w:sz w:val="24"/>
          <w:szCs w:val="24"/>
          <w:lang w:val="en-GB"/>
        </w:rPr>
        <w:t xml:space="preserve"> influenza virus</w:t>
      </w:r>
      <w:r w:rsidR="00950FFA" w:rsidRPr="0084045A">
        <w:rPr>
          <w:rFonts w:ascii="Arial" w:hAnsi="Arial" w:cs="Arial"/>
          <w:noProof/>
          <w:color w:val="000000" w:themeColor="text1"/>
          <w:sz w:val="24"/>
          <w:szCs w:val="24"/>
          <w:lang w:val="en-GB"/>
        </w:rPr>
        <w:t xml:space="preserve">, as well as other </w:t>
      </w:r>
      <w:r w:rsidR="004B5B53" w:rsidRPr="0084045A">
        <w:rPr>
          <w:rFonts w:ascii="Arial" w:hAnsi="Arial" w:cs="Arial"/>
          <w:noProof/>
          <w:color w:val="000000" w:themeColor="text1"/>
          <w:sz w:val="24"/>
          <w:szCs w:val="24"/>
          <w:lang w:val="en-GB"/>
        </w:rPr>
        <w:t xml:space="preserve">causative </w:t>
      </w:r>
      <w:r w:rsidR="00950FFA" w:rsidRPr="0084045A">
        <w:rPr>
          <w:rFonts w:ascii="Arial" w:hAnsi="Arial" w:cs="Arial"/>
          <w:noProof/>
          <w:color w:val="000000" w:themeColor="text1"/>
          <w:sz w:val="24"/>
          <w:szCs w:val="24"/>
          <w:lang w:val="en-GB"/>
        </w:rPr>
        <w:t>agents of</w:t>
      </w:r>
      <w:r w:rsidR="00AD33A1" w:rsidRPr="0084045A">
        <w:rPr>
          <w:rFonts w:ascii="Arial" w:hAnsi="Arial" w:cs="Arial"/>
          <w:noProof/>
          <w:color w:val="000000" w:themeColor="text1"/>
          <w:sz w:val="24"/>
          <w:szCs w:val="24"/>
          <w:lang w:val="en-GB"/>
        </w:rPr>
        <w:t xml:space="preserve"> </w:t>
      </w:r>
      <w:r w:rsidRPr="0084045A">
        <w:rPr>
          <w:rFonts w:ascii="Arial" w:hAnsi="Arial" w:cs="Arial"/>
          <w:noProof/>
          <w:color w:val="000000" w:themeColor="text1"/>
          <w:sz w:val="24"/>
          <w:szCs w:val="24"/>
          <w:lang w:val="en-GB"/>
        </w:rPr>
        <w:t>s</w:t>
      </w:r>
      <w:r w:rsidR="00AD33A1" w:rsidRPr="0084045A">
        <w:rPr>
          <w:rFonts w:ascii="Arial" w:hAnsi="Arial" w:cs="Arial"/>
          <w:noProof/>
          <w:color w:val="000000" w:themeColor="text1"/>
          <w:sz w:val="24"/>
          <w:szCs w:val="24"/>
          <w:lang w:val="en-GB"/>
        </w:rPr>
        <w:t>eve</w:t>
      </w:r>
      <w:r w:rsidRPr="0084045A">
        <w:rPr>
          <w:rFonts w:ascii="Arial" w:hAnsi="Arial" w:cs="Arial"/>
          <w:noProof/>
          <w:color w:val="000000" w:themeColor="text1"/>
          <w:sz w:val="24"/>
          <w:szCs w:val="24"/>
          <w:lang w:val="en-GB"/>
        </w:rPr>
        <w:t>re</w:t>
      </w:r>
      <w:r w:rsidR="00950FFA" w:rsidRPr="0084045A">
        <w:rPr>
          <w:rFonts w:ascii="Arial" w:hAnsi="Arial" w:cs="Arial"/>
          <w:noProof/>
          <w:color w:val="000000" w:themeColor="text1"/>
          <w:sz w:val="24"/>
          <w:szCs w:val="24"/>
          <w:lang w:val="en-GB"/>
        </w:rPr>
        <w:t xml:space="preserve"> </w:t>
      </w:r>
      <w:r w:rsidRPr="0084045A">
        <w:rPr>
          <w:rFonts w:ascii="Arial" w:hAnsi="Arial" w:cs="Arial"/>
          <w:noProof/>
          <w:color w:val="000000" w:themeColor="text1"/>
          <w:sz w:val="24"/>
          <w:szCs w:val="24"/>
          <w:lang w:val="en-GB"/>
        </w:rPr>
        <w:t>a</w:t>
      </w:r>
      <w:r w:rsidR="00950FFA" w:rsidRPr="0084045A">
        <w:rPr>
          <w:rFonts w:ascii="Arial" w:hAnsi="Arial" w:cs="Arial"/>
          <w:noProof/>
          <w:color w:val="000000" w:themeColor="text1"/>
          <w:sz w:val="24"/>
          <w:szCs w:val="24"/>
          <w:lang w:val="en-GB"/>
        </w:rPr>
        <w:t xml:space="preserve">cute </w:t>
      </w:r>
      <w:r w:rsidRPr="0084045A">
        <w:rPr>
          <w:rFonts w:ascii="Arial" w:hAnsi="Arial" w:cs="Arial"/>
          <w:noProof/>
          <w:color w:val="000000" w:themeColor="text1"/>
          <w:sz w:val="24"/>
          <w:szCs w:val="24"/>
          <w:lang w:val="en-GB"/>
        </w:rPr>
        <w:t>r</w:t>
      </w:r>
      <w:r w:rsidR="00950FFA" w:rsidRPr="0084045A">
        <w:rPr>
          <w:rFonts w:ascii="Arial" w:hAnsi="Arial" w:cs="Arial"/>
          <w:noProof/>
          <w:color w:val="000000" w:themeColor="text1"/>
          <w:sz w:val="24"/>
          <w:szCs w:val="24"/>
          <w:lang w:val="en-GB"/>
        </w:rPr>
        <w:t xml:space="preserve">espiratory </w:t>
      </w:r>
      <w:r w:rsidRPr="0084045A">
        <w:rPr>
          <w:rFonts w:ascii="Arial" w:hAnsi="Arial" w:cs="Arial"/>
          <w:noProof/>
          <w:color w:val="000000" w:themeColor="text1"/>
          <w:sz w:val="24"/>
          <w:szCs w:val="24"/>
          <w:lang w:val="en-GB"/>
        </w:rPr>
        <w:t>i</w:t>
      </w:r>
      <w:r w:rsidR="00AD33A1" w:rsidRPr="0084045A">
        <w:rPr>
          <w:rFonts w:ascii="Arial" w:hAnsi="Arial" w:cs="Arial"/>
          <w:noProof/>
          <w:color w:val="000000" w:themeColor="text1"/>
          <w:sz w:val="24"/>
          <w:szCs w:val="24"/>
          <w:lang w:val="en-GB"/>
        </w:rPr>
        <w:t>nfection (SARI)</w:t>
      </w:r>
      <w:r w:rsidR="00064F06" w:rsidRPr="0084045A">
        <w:rPr>
          <w:rFonts w:ascii="Arial" w:hAnsi="Arial" w:cs="Arial"/>
          <w:noProof/>
          <w:color w:val="000000" w:themeColor="text1"/>
          <w:sz w:val="24"/>
          <w:szCs w:val="24"/>
          <w:lang w:val="en-GB"/>
        </w:rPr>
        <w:t xml:space="preserve"> [1].</w:t>
      </w:r>
    </w:p>
    <w:p w14:paraId="27053E29" w14:textId="0C6C5635" w:rsidR="00950FFA" w:rsidRPr="0084045A" w:rsidRDefault="0032667A" w:rsidP="00512905">
      <w:pPr>
        <w:spacing w:after="0" w:line="480" w:lineRule="auto"/>
        <w:ind w:firstLine="709"/>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 xml:space="preserve">The </w:t>
      </w:r>
      <w:r w:rsidR="00950FFA" w:rsidRPr="0084045A">
        <w:rPr>
          <w:rFonts w:ascii="Arial" w:hAnsi="Arial" w:cs="Arial"/>
          <w:noProof/>
          <w:color w:val="000000" w:themeColor="text1"/>
          <w:sz w:val="24"/>
          <w:szCs w:val="24"/>
          <w:lang w:val="en-GB"/>
        </w:rPr>
        <w:t xml:space="preserve">SISVEFLU system operates </w:t>
      </w:r>
      <w:r w:rsidR="00363DEC" w:rsidRPr="0084045A">
        <w:rPr>
          <w:rFonts w:ascii="Arial" w:hAnsi="Arial" w:cs="Arial"/>
          <w:noProof/>
          <w:color w:val="000000" w:themeColor="text1"/>
          <w:sz w:val="24"/>
          <w:szCs w:val="24"/>
          <w:lang w:val="en-GB"/>
        </w:rPr>
        <w:t>through</w:t>
      </w:r>
      <w:r w:rsidR="00950FFA" w:rsidRPr="0084045A">
        <w:rPr>
          <w:rFonts w:ascii="Arial" w:hAnsi="Arial" w:cs="Arial"/>
          <w:noProof/>
          <w:color w:val="000000" w:themeColor="text1"/>
          <w:sz w:val="24"/>
          <w:szCs w:val="24"/>
          <w:lang w:val="en-GB"/>
        </w:rPr>
        <w:t xml:space="preserve"> monitoring health facilities that were </w:t>
      </w:r>
      <w:r w:rsidR="007F3E98" w:rsidRPr="0084045A">
        <w:rPr>
          <w:rFonts w:ascii="Arial" w:hAnsi="Arial" w:cs="Arial"/>
          <w:noProof/>
          <w:color w:val="000000" w:themeColor="text1"/>
          <w:sz w:val="24"/>
          <w:szCs w:val="24"/>
          <w:lang w:val="en-GB"/>
        </w:rPr>
        <w:t xml:space="preserve">selected </w:t>
      </w:r>
      <w:r w:rsidRPr="0084045A">
        <w:rPr>
          <w:rFonts w:ascii="Arial" w:hAnsi="Arial" w:cs="Arial"/>
          <w:noProof/>
          <w:color w:val="000000" w:themeColor="text1"/>
          <w:sz w:val="24"/>
          <w:szCs w:val="24"/>
          <w:lang w:val="en-GB"/>
        </w:rPr>
        <w:t>for</w:t>
      </w:r>
      <w:r w:rsidR="007F3E98" w:rsidRPr="0084045A">
        <w:rPr>
          <w:rFonts w:ascii="Arial" w:hAnsi="Arial" w:cs="Arial"/>
          <w:noProof/>
          <w:color w:val="000000" w:themeColor="text1"/>
          <w:sz w:val="24"/>
          <w:szCs w:val="24"/>
          <w:lang w:val="en-GB"/>
        </w:rPr>
        <w:t xml:space="preserve"> convenience</w:t>
      </w:r>
      <w:r w:rsidR="00E31A7B" w:rsidRPr="0084045A">
        <w:rPr>
          <w:rFonts w:ascii="Arial" w:hAnsi="Arial" w:cs="Arial"/>
          <w:noProof/>
          <w:color w:val="000000" w:themeColor="text1"/>
          <w:sz w:val="24"/>
          <w:szCs w:val="24"/>
          <w:lang w:val="en-GB"/>
        </w:rPr>
        <w:t>. B</w:t>
      </w:r>
      <w:r w:rsidRPr="0084045A">
        <w:rPr>
          <w:rFonts w:ascii="Arial" w:hAnsi="Arial" w:cs="Arial"/>
          <w:noProof/>
          <w:color w:val="000000" w:themeColor="text1"/>
          <w:sz w:val="24"/>
          <w:szCs w:val="24"/>
          <w:lang w:val="en-GB"/>
        </w:rPr>
        <w:t>ecause of this,</w:t>
      </w:r>
      <w:r w:rsidR="007F3E98" w:rsidRPr="0084045A">
        <w:rPr>
          <w:rFonts w:ascii="Arial" w:hAnsi="Arial" w:cs="Arial"/>
          <w:noProof/>
          <w:color w:val="000000" w:themeColor="text1"/>
          <w:sz w:val="24"/>
          <w:szCs w:val="24"/>
          <w:lang w:val="en-GB"/>
        </w:rPr>
        <w:t xml:space="preserve"> the </w:t>
      </w:r>
      <w:r w:rsidR="00AC1DE3" w:rsidRPr="0084045A">
        <w:rPr>
          <w:rFonts w:ascii="Arial" w:hAnsi="Arial" w:cs="Arial"/>
          <w:noProof/>
          <w:color w:val="000000" w:themeColor="text1"/>
          <w:sz w:val="24"/>
          <w:szCs w:val="24"/>
          <w:lang w:val="en-GB"/>
        </w:rPr>
        <w:t xml:space="preserve">collected </w:t>
      </w:r>
      <w:r w:rsidR="007F3E98" w:rsidRPr="0084045A">
        <w:rPr>
          <w:rFonts w:ascii="Arial" w:hAnsi="Arial" w:cs="Arial"/>
          <w:noProof/>
          <w:color w:val="000000" w:themeColor="text1"/>
          <w:sz w:val="24"/>
          <w:szCs w:val="24"/>
          <w:lang w:val="en-GB"/>
        </w:rPr>
        <w:t xml:space="preserve">data </w:t>
      </w:r>
      <w:r w:rsidR="00E31A7B" w:rsidRPr="0084045A">
        <w:rPr>
          <w:rFonts w:ascii="Arial" w:hAnsi="Arial" w:cs="Arial"/>
          <w:noProof/>
          <w:color w:val="000000" w:themeColor="text1"/>
          <w:sz w:val="24"/>
          <w:szCs w:val="24"/>
          <w:lang w:val="en-GB"/>
        </w:rPr>
        <w:t>are</w:t>
      </w:r>
      <w:r w:rsidRPr="0084045A">
        <w:rPr>
          <w:rFonts w:ascii="Arial" w:hAnsi="Arial" w:cs="Arial"/>
          <w:noProof/>
          <w:color w:val="000000" w:themeColor="text1"/>
          <w:sz w:val="24"/>
          <w:szCs w:val="24"/>
          <w:lang w:val="en-GB"/>
        </w:rPr>
        <w:t xml:space="preserve"> not considered to be representative of the population</w:t>
      </w:r>
      <w:r w:rsidR="007F3E98" w:rsidRPr="0084045A">
        <w:rPr>
          <w:rFonts w:ascii="Arial" w:hAnsi="Arial" w:cs="Arial"/>
          <w:noProof/>
          <w:color w:val="000000" w:themeColor="text1"/>
          <w:sz w:val="24"/>
          <w:szCs w:val="24"/>
          <w:lang w:val="en-GB"/>
        </w:rPr>
        <w:t xml:space="preserve">. Facilities, both primary health care clinics and hospitals, must comply </w:t>
      </w:r>
      <w:r w:rsidR="00F309D1" w:rsidRPr="0084045A">
        <w:rPr>
          <w:rFonts w:ascii="Arial" w:hAnsi="Arial" w:cs="Arial"/>
          <w:noProof/>
          <w:color w:val="000000" w:themeColor="text1"/>
          <w:sz w:val="24"/>
          <w:szCs w:val="24"/>
          <w:lang w:val="en-GB"/>
        </w:rPr>
        <w:t>with</w:t>
      </w:r>
      <w:r w:rsidR="007F3E98" w:rsidRPr="0084045A">
        <w:rPr>
          <w:rFonts w:ascii="Arial" w:hAnsi="Arial" w:cs="Arial"/>
          <w:noProof/>
          <w:color w:val="000000" w:themeColor="text1"/>
          <w:sz w:val="24"/>
          <w:szCs w:val="24"/>
          <w:lang w:val="en-GB"/>
        </w:rPr>
        <w:t xml:space="preserve"> at least one of the following criteria</w:t>
      </w:r>
      <w:r w:rsidR="00E93D34" w:rsidRPr="0084045A">
        <w:rPr>
          <w:rFonts w:ascii="Arial" w:hAnsi="Arial" w:cs="Arial"/>
          <w:noProof/>
          <w:color w:val="000000" w:themeColor="text1"/>
          <w:sz w:val="24"/>
          <w:szCs w:val="24"/>
          <w:lang w:val="en-GB"/>
        </w:rPr>
        <w:t xml:space="preserve"> [2].</w:t>
      </w:r>
    </w:p>
    <w:p w14:paraId="1A5AD5B2" w14:textId="368210D5" w:rsidR="007F3E98" w:rsidRPr="0084045A" w:rsidRDefault="007F3E98" w:rsidP="00512905">
      <w:pPr>
        <w:pStyle w:val="Prrafodelista"/>
        <w:numPr>
          <w:ilvl w:val="0"/>
          <w:numId w:val="57"/>
        </w:numPr>
        <w:spacing w:after="0" w:line="480" w:lineRule="auto"/>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They must be willing to be part of</w:t>
      </w:r>
      <w:r w:rsidR="0032667A" w:rsidRPr="0084045A">
        <w:rPr>
          <w:rFonts w:ascii="Arial" w:hAnsi="Arial" w:cs="Arial"/>
          <w:noProof/>
          <w:color w:val="000000" w:themeColor="text1"/>
          <w:sz w:val="24"/>
          <w:szCs w:val="24"/>
          <w:lang w:val="en-GB"/>
        </w:rPr>
        <w:t xml:space="preserve"> the</w:t>
      </w:r>
      <w:r w:rsidRPr="0084045A">
        <w:rPr>
          <w:rFonts w:ascii="Arial" w:hAnsi="Arial" w:cs="Arial"/>
          <w:noProof/>
          <w:color w:val="000000" w:themeColor="text1"/>
          <w:sz w:val="24"/>
          <w:szCs w:val="24"/>
          <w:lang w:val="en-GB"/>
        </w:rPr>
        <w:t xml:space="preserve"> SISVEFLU.</w:t>
      </w:r>
    </w:p>
    <w:p w14:paraId="7EB916A6" w14:textId="5B55AA12" w:rsidR="007F3E98" w:rsidRPr="0084045A" w:rsidRDefault="007F3E98" w:rsidP="00512905">
      <w:pPr>
        <w:pStyle w:val="Prrafodelista"/>
        <w:numPr>
          <w:ilvl w:val="0"/>
          <w:numId w:val="57"/>
        </w:numPr>
        <w:spacing w:after="0" w:line="480" w:lineRule="auto"/>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lastRenderedPageBreak/>
        <w:t>They serve a relatively large population.</w:t>
      </w:r>
    </w:p>
    <w:p w14:paraId="0E4CF0A4" w14:textId="2585C537" w:rsidR="007F3E98" w:rsidRPr="0084045A" w:rsidRDefault="007F3E98" w:rsidP="00512905">
      <w:pPr>
        <w:pStyle w:val="Prrafodelista"/>
        <w:numPr>
          <w:ilvl w:val="0"/>
          <w:numId w:val="57"/>
        </w:numPr>
        <w:spacing w:after="0" w:line="480" w:lineRule="auto"/>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 xml:space="preserve">They have </w:t>
      </w:r>
      <w:r w:rsidR="0032667A" w:rsidRPr="0084045A">
        <w:rPr>
          <w:rFonts w:ascii="Arial" w:hAnsi="Arial" w:cs="Arial"/>
          <w:noProof/>
          <w:color w:val="000000" w:themeColor="text1"/>
          <w:sz w:val="24"/>
          <w:szCs w:val="24"/>
          <w:lang w:val="en-GB"/>
        </w:rPr>
        <w:t>adequate medical staff sufficiently specialised</w:t>
      </w:r>
      <w:r w:rsidRPr="0084045A">
        <w:rPr>
          <w:rFonts w:ascii="Arial" w:hAnsi="Arial" w:cs="Arial"/>
          <w:noProof/>
          <w:color w:val="000000" w:themeColor="text1"/>
          <w:sz w:val="24"/>
          <w:szCs w:val="24"/>
          <w:lang w:val="en-GB"/>
        </w:rPr>
        <w:t xml:space="preserve"> to diagnose, clinical</w:t>
      </w:r>
      <w:r w:rsidR="00255055" w:rsidRPr="0084045A">
        <w:rPr>
          <w:rFonts w:ascii="Arial" w:hAnsi="Arial" w:cs="Arial"/>
          <w:noProof/>
          <w:color w:val="000000" w:themeColor="text1"/>
          <w:sz w:val="24"/>
          <w:szCs w:val="24"/>
          <w:lang w:val="en-GB"/>
        </w:rPr>
        <w:t>l</w:t>
      </w:r>
      <w:r w:rsidRPr="0084045A">
        <w:rPr>
          <w:rFonts w:ascii="Arial" w:hAnsi="Arial" w:cs="Arial"/>
          <w:noProof/>
          <w:color w:val="000000" w:themeColor="text1"/>
          <w:sz w:val="24"/>
          <w:szCs w:val="24"/>
          <w:lang w:val="en-GB"/>
        </w:rPr>
        <w:t>y manage</w:t>
      </w:r>
      <w:r w:rsidR="00F40E1D" w:rsidRPr="0084045A">
        <w:rPr>
          <w:rFonts w:ascii="Arial" w:hAnsi="Arial" w:cs="Arial"/>
          <w:noProof/>
          <w:color w:val="000000" w:themeColor="text1"/>
          <w:sz w:val="24"/>
          <w:szCs w:val="24"/>
          <w:lang w:val="en-GB"/>
        </w:rPr>
        <w:t>,</w:t>
      </w:r>
      <w:r w:rsidRPr="0084045A">
        <w:rPr>
          <w:rFonts w:ascii="Arial" w:hAnsi="Arial" w:cs="Arial"/>
          <w:noProof/>
          <w:color w:val="000000" w:themeColor="text1"/>
          <w:sz w:val="24"/>
          <w:szCs w:val="24"/>
          <w:lang w:val="en-GB"/>
        </w:rPr>
        <w:t xml:space="preserve"> and report </w:t>
      </w:r>
      <w:r w:rsidR="000A65EB" w:rsidRPr="0084045A">
        <w:rPr>
          <w:rFonts w:ascii="Arial" w:hAnsi="Arial" w:cs="Arial"/>
          <w:noProof/>
          <w:color w:val="000000" w:themeColor="text1"/>
          <w:sz w:val="24"/>
          <w:szCs w:val="24"/>
          <w:lang w:val="en-GB"/>
        </w:rPr>
        <w:t>influenza cases</w:t>
      </w:r>
      <w:r w:rsidRPr="0084045A">
        <w:rPr>
          <w:rFonts w:ascii="Arial" w:hAnsi="Arial" w:cs="Arial"/>
          <w:noProof/>
          <w:color w:val="000000" w:themeColor="text1"/>
          <w:sz w:val="24"/>
          <w:szCs w:val="24"/>
          <w:lang w:val="en-GB"/>
        </w:rPr>
        <w:t>.</w:t>
      </w:r>
    </w:p>
    <w:p w14:paraId="70B54B1C" w14:textId="74D36FE6" w:rsidR="007F3E98" w:rsidRPr="0084045A" w:rsidRDefault="007F3E98" w:rsidP="00512905">
      <w:pPr>
        <w:pStyle w:val="Prrafodelista"/>
        <w:numPr>
          <w:ilvl w:val="0"/>
          <w:numId w:val="57"/>
        </w:numPr>
        <w:spacing w:after="0" w:line="480" w:lineRule="auto"/>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 xml:space="preserve">They have, or have access to, a high-quality </w:t>
      </w:r>
      <w:r w:rsidR="000A65EB" w:rsidRPr="0084045A">
        <w:rPr>
          <w:rFonts w:ascii="Arial" w:hAnsi="Arial" w:cs="Arial"/>
          <w:noProof/>
          <w:color w:val="000000" w:themeColor="text1"/>
          <w:sz w:val="24"/>
          <w:szCs w:val="24"/>
          <w:lang w:val="en-GB"/>
        </w:rPr>
        <w:t xml:space="preserve">diagnostic </w:t>
      </w:r>
      <w:r w:rsidRPr="0084045A">
        <w:rPr>
          <w:rFonts w:ascii="Arial" w:hAnsi="Arial" w:cs="Arial"/>
          <w:noProof/>
          <w:color w:val="000000" w:themeColor="text1"/>
          <w:sz w:val="24"/>
          <w:szCs w:val="24"/>
          <w:lang w:val="en-GB"/>
        </w:rPr>
        <w:t>laboratory.</w:t>
      </w:r>
    </w:p>
    <w:p w14:paraId="49DD41C6" w14:textId="77777777" w:rsidR="00364C3E" w:rsidRPr="0084045A" w:rsidRDefault="00364C3E" w:rsidP="00512905">
      <w:pPr>
        <w:spacing w:after="0" w:line="480" w:lineRule="auto"/>
        <w:rPr>
          <w:rFonts w:ascii="Arial" w:hAnsi="Arial" w:cs="Arial"/>
          <w:noProof/>
          <w:color w:val="000000" w:themeColor="text1"/>
          <w:sz w:val="24"/>
          <w:szCs w:val="24"/>
          <w:lang w:val="en-GB"/>
        </w:rPr>
      </w:pPr>
    </w:p>
    <w:p w14:paraId="6F47DEF8" w14:textId="0D12EA07" w:rsidR="001A502F" w:rsidRPr="0084045A" w:rsidRDefault="0002210C" w:rsidP="00512905">
      <w:pPr>
        <w:spacing w:after="0" w:line="480" w:lineRule="auto"/>
        <w:rPr>
          <w:rFonts w:ascii="Arial" w:hAnsi="Arial" w:cs="Arial"/>
          <w:noProof/>
          <w:color w:val="000000" w:themeColor="text1"/>
          <w:sz w:val="24"/>
          <w:szCs w:val="24"/>
          <w:lang w:val="en-GB"/>
        </w:rPr>
      </w:pPr>
      <w:r w:rsidRPr="0084045A">
        <w:rPr>
          <w:rFonts w:ascii="Arial" w:hAnsi="Arial" w:cs="Arial"/>
          <w:b/>
          <w:noProof/>
          <w:color w:val="000000" w:themeColor="text1"/>
          <w:sz w:val="24"/>
          <w:szCs w:val="24"/>
          <w:lang w:val="en-GB"/>
        </w:rPr>
        <w:t>B</w:t>
      </w:r>
      <w:r w:rsidR="001A502F" w:rsidRPr="0084045A">
        <w:rPr>
          <w:rFonts w:ascii="Arial" w:hAnsi="Arial" w:cs="Arial"/>
          <w:b/>
          <w:noProof/>
          <w:color w:val="000000" w:themeColor="text1"/>
          <w:sz w:val="24"/>
          <w:szCs w:val="24"/>
          <w:lang w:val="en-GB"/>
        </w:rPr>
        <w:t>urden of disease</w:t>
      </w:r>
      <w:r w:rsidRPr="0084045A">
        <w:rPr>
          <w:rFonts w:ascii="Arial" w:hAnsi="Arial" w:cs="Arial"/>
          <w:b/>
          <w:noProof/>
          <w:color w:val="000000" w:themeColor="text1"/>
          <w:sz w:val="24"/>
          <w:szCs w:val="24"/>
          <w:lang w:val="en-GB"/>
        </w:rPr>
        <w:t xml:space="preserve"> estimation</w:t>
      </w:r>
    </w:p>
    <w:p w14:paraId="218E799E" w14:textId="3F3D85F8" w:rsidR="005544A9" w:rsidRPr="0084045A" w:rsidRDefault="007F3E98" w:rsidP="00512905">
      <w:pPr>
        <w:spacing w:after="0" w:line="480" w:lineRule="auto"/>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SISVEFLU’s ultimate goal is to identify and confirm influenza cases</w:t>
      </w:r>
      <w:r w:rsidR="00D735B1" w:rsidRPr="0084045A">
        <w:rPr>
          <w:rFonts w:ascii="Arial" w:hAnsi="Arial" w:cs="Arial"/>
          <w:noProof/>
          <w:color w:val="000000" w:themeColor="text1"/>
          <w:sz w:val="24"/>
          <w:szCs w:val="24"/>
          <w:lang w:val="en-GB"/>
        </w:rPr>
        <w:t xml:space="preserve"> and trends</w:t>
      </w:r>
      <w:r w:rsidRPr="0084045A">
        <w:rPr>
          <w:rFonts w:ascii="Arial" w:hAnsi="Arial" w:cs="Arial"/>
          <w:noProof/>
          <w:color w:val="000000" w:themeColor="text1"/>
          <w:sz w:val="24"/>
          <w:szCs w:val="24"/>
          <w:lang w:val="en-GB"/>
        </w:rPr>
        <w:t>, as well as deaths</w:t>
      </w:r>
      <w:r w:rsidR="00255055" w:rsidRPr="0084045A">
        <w:rPr>
          <w:rFonts w:ascii="Arial" w:hAnsi="Arial" w:cs="Arial"/>
          <w:noProof/>
          <w:color w:val="000000" w:themeColor="text1"/>
          <w:sz w:val="24"/>
          <w:szCs w:val="24"/>
          <w:lang w:val="en-GB"/>
        </w:rPr>
        <w:t>,</w:t>
      </w:r>
      <w:r w:rsidRPr="0084045A">
        <w:rPr>
          <w:rFonts w:ascii="Arial" w:hAnsi="Arial" w:cs="Arial"/>
          <w:noProof/>
          <w:color w:val="000000" w:themeColor="text1"/>
          <w:sz w:val="24"/>
          <w:szCs w:val="24"/>
          <w:lang w:val="en-GB"/>
        </w:rPr>
        <w:t xml:space="preserve"> </w:t>
      </w:r>
      <w:r w:rsidR="000A65EB" w:rsidRPr="0084045A">
        <w:rPr>
          <w:rFonts w:ascii="Arial" w:hAnsi="Arial" w:cs="Arial"/>
          <w:noProof/>
          <w:color w:val="000000" w:themeColor="text1"/>
          <w:sz w:val="24"/>
          <w:szCs w:val="24"/>
          <w:lang w:val="en-GB"/>
        </w:rPr>
        <w:t xml:space="preserve">attributed </w:t>
      </w:r>
      <w:r w:rsidRPr="0084045A">
        <w:rPr>
          <w:rFonts w:ascii="Arial" w:hAnsi="Arial" w:cs="Arial"/>
          <w:noProof/>
          <w:color w:val="000000" w:themeColor="text1"/>
          <w:sz w:val="24"/>
          <w:szCs w:val="24"/>
          <w:lang w:val="en-GB"/>
        </w:rPr>
        <w:t xml:space="preserve">to both influenza and other </w:t>
      </w:r>
      <w:r w:rsidR="00AD33A1" w:rsidRPr="0084045A">
        <w:rPr>
          <w:rFonts w:ascii="Arial" w:hAnsi="Arial" w:cs="Arial"/>
          <w:noProof/>
          <w:color w:val="000000" w:themeColor="text1"/>
          <w:sz w:val="24"/>
          <w:szCs w:val="24"/>
          <w:lang w:val="en-GB"/>
        </w:rPr>
        <w:t>SARI</w:t>
      </w:r>
      <w:r w:rsidR="000A65EB" w:rsidRPr="0084045A">
        <w:rPr>
          <w:rFonts w:ascii="Arial" w:hAnsi="Arial" w:cs="Arial"/>
          <w:noProof/>
          <w:color w:val="000000" w:themeColor="text1"/>
          <w:sz w:val="24"/>
          <w:szCs w:val="24"/>
          <w:lang w:val="en-GB"/>
        </w:rPr>
        <w:t>s</w:t>
      </w:r>
      <w:r w:rsidRPr="0084045A">
        <w:rPr>
          <w:rFonts w:ascii="Arial" w:hAnsi="Arial" w:cs="Arial"/>
          <w:noProof/>
          <w:color w:val="000000" w:themeColor="text1"/>
          <w:sz w:val="24"/>
          <w:szCs w:val="24"/>
          <w:lang w:val="en-GB"/>
        </w:rPr>
        <w:t xml:space="preserve">. </w:t>
      </w:r>
      <w:r w:rsidR="00D735B1" w:rsidRPr="0084045A">
        <w:rPr>
          <w:rFonts w:ascii="Arial" w:hAnsi="Arial" w:cs="Arial"/>
          <w:noProof/>
          <w:color w:val="000000" w:themeColor="text1"/>
          <w:sz w:val="24"/>
          <w:szCs w:val="24"/>
          <w:lang w:val="en-GB"/>
        </w:rPr>
        <w:t xml:space="preserve">According to the epidemiological surveillance guidelines, sample collection for confirmation is considered </w:t>
      </w:r>
      <w:r w:rsidR="000A65EB" w:rsidRPr="0084045A">
        <w:rPr>
          <w:rFonts w:ascii="Arial" w:hAnsi="Arial" w:cs="Arial"/>
          <w:noProof/>
          <w:color w:val="000000" w:themeColor="text1"/>
          <w:sz w:val="24"/>
          <w:szCs w:val="24"/>
          <w:lang w:val="en-GB"/>
        </w:rPr>
        <w:t>in only</w:t>
      </w:r>
      <w:r w:rsidR="00AC1DE3" w:rsidRPr="0084045A">
        <w:rPr>
          <w:rFonts w:ascii="Arial" w:hAnsi="Arial" w:cs="Arial"/>
          <w:noProof/>
          <w:color w:val="000000" w:themeColor="text1"/>
          <w:sz w:val="24"/>
          <w:szCs w:val="24"/>
          <w:lang w:val="en-GB"/>
        </w:rPr>
        <w:t xml:space="preserve"> </w:t>
      </w:r>
      <w:r w:rsidR="00D735B1" w:rsidRPr="0084045A">
        <w:rPr>
          <w:rFonts w:ascii="Arial" w:hAnsi="Arial" w:cs="Arial"/>
          <w:noProof/>
          <w:color w:val="000000" w:themeColor="text1"/>
          <w:sz w:val="24"/>
          <w:szCs w:val="24"/>
          <w:lang w:val="en-GB"/>
        </w:rPr>
        <w:t>10% of cases</w:t>
      </w:r>
      <w:r w:rsidR="000A65EB" w:rsidRPr="0084045A">
        <w:rPr>
          <w:rFonts w:ascii="Arial" w:hAnsi="Arial" w:cs="Arial"/>
          <w:noProof/>
          <w:color w:val="000000" w:themeColor="text1"/>
          <w:sz w:val="24"/>
          <w:szCs w:val="24"/>
          <w:lang w:val="en-GB"/>
        </w:rPr>
        <w:t xml:space="preserve"> in primary health care facilities</w:t>
      </w:r>
      <w:r w:rsidR="00D735B1" w:rsidRPr="0084045A">
        <w:rPr>
          <w:rFonts w:ascii="Arial" w:hAnsi="Arial" w:cs="Arial"/>
          <w:noProof/>
          <w:color w:val="000000" w:themeColor="text1"/>
          <w:sz w:val="24"/>
          <w:szCs w:val="24"/>
          <w:lang w:val="en-GB"/>
        </w:rPr>
        <w:t xml:space="preserve">, whereas in secondary and tertiary health care facilities, </w:t>
      </w:r>
      <w:r w:rsidR="000A65EB" w:rsidRPr="0084045A">
        <w:rPr>
          <w:rFonts w:ascii="Arial" w:hAnsi="Arial" w:cs="Arial"/>
          <w:noProof/>
          <w:color w:val="000000" w:themeColor="text1"/>
          <w:sz w:val="24"/>
          <w:szCs w:val="24"/>
          <w:lang w:val="en-GB"/>
        </w:rPr>
        <w:t>samples</w:t>
      </w:r>
      <w:r w:rsidR="00D735B1" w:rsidRPr="0084045A">
        <w:rPr>
          <w:rFonts w:ascii="Arial" w:hAnsi="Arial" w:cs="Arial"/>
          <w:noProof/>
          <w:color w:val="000000" w:themeColor="text1"/>
          <w:sz w:val="24"/>
          <w:szCs w:val="24"/>
          <w:lang w:val="en-GB"/>
        </w:rPr>
        <w:t xml:space="preserve"> </w:t>
      </w:r>
      <w:r w:rsidR="00291426" w:rsidRPr="0084045A">
        <w:rPr>
          <w:rFonts w:ascii="Arial" w:hAnsi="Arial" w:cs="Arial"/>
          <w:noProof/>
          <w:color w:val="000000" w:themeColor="text1"/>
          <w:sz w:val="24"/>
          <w:szCs w:val="24"/>
          <w:lang w:val="en-GB"/>
        </w:rPr>
        <w:t>must be</w:t>
      </w:r>
      <w:r w:rsidR="00D735B1" w:rsidRPr="0084045A">
        <w:rPr>
          <w:rFonts w:ascii="Arial" w:hAnsi="Arial" w:cs="Arial"/>
          <w:noProof/>
          <w:color w:val="000000" w:themeColor="text1"/>
          <w:sz w:val="24"/>
          <w:szCs w:val="24"/>
          <w:lang w:val="en-GB"/>
        </w:rPr>
        <w:t xml:space="preserve"> submitted for confirmation</w:t>
      </w:r>
      <w:r w:rsidR="000A65EB" w:rsidRPr="0084045A">
        <w:rPr>
          <w:rFonts w:ascii="Arial" w:hAnsi="Arial" w:cs="Arial"/>
          <w:noProof/>
          <w:color w:val="000000" w:themeColor="text1"/>
          <w:sz w:val="24"/>
          <w:szCs w:val="24"/>
          <w:lang w:val="en-GB"/>
        </w:rPr>
        <w:t xml:space="preserve"> in 100% of cases</w:t>
      </w:r>
      <w:r w:rsidR="00D735B1" w:rsidRPr="0084045A">
        <w:rPr>
          <w:rFonts w:ascii="Arial" w:hAnsi="Arial" w:cs="Arial"/>
          <w:noProof/>
          <w:color w:val="000000" w:themeColor="text1"/>
          <w:sz w:val="24"/>
          <w:szCs w:val="24"/>
          <w:lang w:val="en-GB"/>
        </w:rPr>
        <w:t xml:space="preserve">. In light of this, reporting of cases from </w:t>
      </w:r>
      <w:r w:rsidR="00AB02B2" w:rsidRPr="0084045A">
        <w:rPr>
          <w:rFonts w:ascii="Arial" w:hAnsi="Arial" w:cs="Arial"/>
          <w:noProof/>
          <w:color w:val="000000" w:themeColor="text1"/>
          <w:sz w:val="24"/>
          <w:szCs w:val="24"/>
          <w:lang w:val="en-GB"/>
        </w:rPr>
        <w:t>primary care clinics</w:t>
      </w:r>
      <w:r w:rsidR="00D735B1" w:rsidRPr="0084045A">
        <w:rPr>
          <w:rFonts w:ascii="Arial" w:hAnsi="Arial" w:cs="Arial"/>
          <w:noProof/>
          <w:color w:val="000000" w:themeColor="text1"/>
          <w:sz w:val="24"/>
          <w:szCs w:val="24"/>
          <w:lang w:val="en-GB"/>
        </w:rPr>
        <w:t xml:space="preserve"> may </w:t>
      </w:r>
      <w:r w:rsidR="00AC1DE3" w:rsidRPr="0084045A">
        <w:rPr>
          <w:rFonts w:ascii="Arial" w:hAnsi="Arial" w:cs="Arial"/>
          <w:noProof/>
          <w:color w:val="000000" w:themeColor="text1"/>
          <w:sz w:val="24"/>
          <w:szCs w:val="24"/>
          <w:lang w:val="en-GB"/>
        </w:rPr>
        <w:t>be</w:t>
      </w:r>
      <w:r w:rsidR="00D735B1" w:rsidRPr="0084045A">
        <w:rPr>
          <w:rFonts w:ascii="Arial" w:hAnsi="Arial" w:cs="Arial"/>
          <w:noProof/>
          <w:color w:val="000000" w:themeColor="text1"/>
          <w:sz w:val="24"/>
          <w:szCs w:val="24"/>
          <w:lang w:val="en-GB"/>
        </w:rPr>
        <w:t xml:space="preserve"> </w:t>
      </w:r>
      <w:r w:rsidR="007C348F" w:rsidRPr="0084045A">
        <w:rPr>
          <w:rFonts w:ascii="Arial" w:hAnsi="Arial" w:cs="Arial"/>
          <w:noProof/>
          <w:color w:val="000000" w:themeColor="text1"/>
          <w:sz w:val="24"/>
          <w:szCs w:val="24"/>
          <w:lang w:val="en-GB"/>
        </w:rPr>
        <w:t>under</w:t>
      </w:r>
      <w:r w:rsidR="00D735B1" w:rsidRPr="0084045A">
        <w:rPr>
          <w:rFonts w:ascii="Arial" w:hAnsi="Arial" w:cs="Arial"/>
          <w:noProof/>
          <w:color w:val="000000" w:themeColor="text1"/>
          <w:sz w:val="24"/>
          <w:szCs w:val="24"/>
          <w:lang w:val="en-GB"/>
        </w:rPr>
        <w:t xml:space="preserve">estimated compared </w:t>
      </w:r>
      <w:r w:rsidR="00E31A7B" w:rsidRPr="0084045A">
        <w:rPr>
          <w:rFonts w:ascii="Arial" w:hAnsi="Arial" w:cs="Arial"/>
          <w:noProof/>
          <w:color w:val="000000" w:themeColor="text1"/>
          <w:sz w:val="24"/>
          <w:szCs w:val="24"/>
          <w:lang w:val="en-GB"/>
        </w:rPr>
        <w:t xml:space="preserve">with </w:t>
      </w:r>
      <w:r w:rsidR="00255055" w:rsidRPr="0084045A">
        <w:rPr>
          <w:rFonts w:ascii="Arial" w:hAnsi="Arial" w:cs="Arial"/>
          <w:noProof/>
          <w:color w:val="000000" w:themeColor="text1"/>
          <w:sz w:val="24"/>
          <w:szCs w:val="24"/>
          <w:lang w:val="en-GB"/>
        </w:rPr>
        <w:t>that</w:t>
      </w:r>
      <w:r w:rsidR="00D735B1" w:rsidRPr="0084045A">
        <w:rPr>
          <w:rFonts w:ascii="Arial" w:hAnsi="Arial" w:cs="Arial"/>
          <w:noProof/>
          <w:color w:val="000000" w:themeColor="text1"/>
          <w:sz w:val="24"/>
          <w:szCs w:val="24"/>
          <w:lang w:val="en-GB"/>
        </w:rPr>
        <w:t xml:space="preserve"> reported from </w:t>
      </w:r>
      <w:r w:rsidR="00291426" w:rsidRPr="0084045A">
        <w:rPr>
          <w:rFonts w:ascii="Arial" w:hAnsi="Arial" w:cs="Arial"/>
          <w:noProof/>
          <w:color w:val="000000" w:themeColor="text1"/>
          <w:sz w:val="24"/>
          <w:szCs w:val="24"/>
          <w:lang w:val="en-GB"/>
        </w:rPr>
        <w:t>hospitals</w:t>
      </w:r>
      <w:r w:rsidR="00D735B1" w:rsidRPr="0084045A">
        <w:rPr>
          <w:rFonts w:ascii="Arial" w:hAnsi="Arial" w:cs="Arial"/>
          <w:noProof/>
          <w:color w:val="000000" w:themeColor="text1"/>
          <w:sz w:val="24"/>
          <w:szCs w:val="24"/>
          <w:lang w:val="en-GB"/>
        </w:rPr>
        <w:t>.</w:t>
      </w:r>
      <w:r w:rsidR="0062055B" w:rsidRPr="0084045A">
        <w:rPr>
          <w:rFonts w:ascii="Arial" w:hAnsi="Arial" w:cs="Arial"/>
          <w:noProof/>
          <w:color w:val="000000" w:themeColor="text1"/>
          <w:sz w:val="24"/>
          <w:szCs w:val="24"/>
          <w:lang w:val="en-GB"/>
        </w:rPr>
        <w:t xml:space="preserve"> </w:t>
      </w:r>
      <w:r w:rsidR="000A65EB" w:rsidRPr="0084045A">
        <w:rPr>
          <w:rFonts w:ascii="Arial" w:hAnsi="Arial" w:cs="Arial"/>
          <w:noProof/>
          <w:color w:val="000000" w:themeColor="text1"/>
          <w:sz w:val="24"/>
          <w:szCs w:val="24"/>
          <w:lang w:val="en-GB"/>
        </w:rPr>
        <w:t>U</w:t>
      </w:r>
      <w:r w:rsidR="0062055B" w:rsidRPr="0084045A">
        <w:rPr>
          <w:rFonts w:ascii="Arial" w:hAnsi="Arial" w:cs="Arial"/>
          <w:noProof/>
          <w:color w:val="000000" w:themeColor="text1"/>
          <w:sz w:val="24"/>
          <w:szCs w:val="24"/>
          <w:lang w:val="en-GB"/>
        </w:rPr>
        <w:t>nlike primary care clinics</w:t>
      </w:r>
      <w:r w:rsidR="000A65EB" w:rsidRPr="0084045A">
        <w:rPr>
          <w:rFonts w:ascii="Arial" w:hAnsi="Arial" w:cs="Arial"/>
          <w:noProof/>
          <w:color w:val="000000" w:themeColor="text1"/>
          <w:sz w:val="24"/>
          <w:szCs w:val="24"/>
          <w:lang w:val="en-GB"/>
        </w:rPr>
        <w:t>,</w:t>
      </w:r>
      <w:r w:rsidR="0062055B" w:rsidRPr="0084045A">
        <w:rPr>
          <w:rFonts w:ascii="Arial" w:hAnsi="Arial" w:cs="Arial"/>
          <w:noProof/>
          <w:color w:val="000000" w:themeColor="text1"/>
          <w:sz w:val="24"/>
          <w:szCs w:val="24"/>
          <w:lang w:val="en-GB"/>
        </w:rPr>
        <w:t xml:space="preserve"> hospitals </w:t>
      </w:r>
      <w:r w:rsidR="002E12FE" w:rsidRPr="0084045A">
        <w:rPr>
          <w:rFonts w:ascii="Arial" w:hAnsi="Arial" w:cs="Arial"/>
          <w:noProof/>
          <w:color w:val="000000" w:themeColor="text1"/>
          <w:sz w:val="24"/>
          <w:szCs w:val="24"/>
          <w:lang w:val="en-GB"/>
        </w:rPr>
        <w:t xml:space="preserve">do not have </w:t>
      </w:r>
      <w:r w:rsidR="000A65EB" w:rsidRPr="0084045A">
        <w:rPr>
          <w:rFonts w:ascii="Arial" w:hAnsi="Arial" w:cs="Arial"/>
          <w:noProof/>
          <w:color w:val="000000" w:themeColor="text1"/>
          <w:sz w:val="24"/>
          <w:szCs w:val="24"/>
          <w:lang w:val="en-GB"/>
        </w:rPr>
        <w:t xml:space="preserve">a </w:t>
      </w:r>
      <w:r w:rsidR="002E12FE" w:rsidRPr="0084045A">
        <w:rPr>
          <w:rFonts w:ascii="Arial" w:hAnsi="Arial" w:cs="Arial"/>
          <w:noProof/>
          <w:color w:val="000000" w:themeColor="text1"/>
          <w:sz w:val="24"/>
          <w:szCs w:val="24"/>
          <w:lang w:val="en-GB"/>
        </w:rPr>
        <w:t>defined population</w:t>
      </w:r>
      <w:r w:rsidR="000A65EB" w:rsidRPr="0084045A">
        <w:rPr>
          <w:rFonts w:ascii="Arial" w:hAnsi="Arial" w:cs="Arial"/>
          <w:noProof/>
          <w:color w:val="000000" w:themeColor="text1"/>
          <w:sz w:val="24"/>
          <w:szCs w:val="24"/>
          <w:lang w:val="en-GB"/>
        </w:rPr>
        <w:t xml:space="preserve"> because they </w:t>
      </w:r>
      <w:r w:rsidR="002E12FE" w:rsidRPr="0084045A">
        <w:rPr>
          <w:rFonts w:ascii="Arial" w:hAnsi="Arial" w:cs="Arial"/>
          <w:noProof/>
          <w:color w:val="000000" w:themeColor="text1"/>
          <w:sz w:val="24"/>
          <w:szCs w:val="24"/>
          <w:lang w:val="en-GB"/>
        </w:rPr>
        <w:t>receive cases from different geographical areas. Thus,</w:t>
      </w:r>
      <w:r w:rsidR="0062055B" w:rsidRPr="0084045A">
        <w:rPr>
          <w:rFonts w:ascii="Arial" w:hAnsi="Arial" w:cs="Arial"/>
          <w:noProof/>
          <w:color w:val="000000" w:themeColor="text1"/>
          <w:sz w:val="24"/>
          <w:szCs w:val="24"/>
          <w:lang w:val="en-GB"/>
        </w:rPr>
        <w:t xml:space="preserve"> information from these facilities cannot be extrapolated.</w:t>
      </w:r>
      <w:r w:rsidR="00F40E1D" w:rsidRPr="0084045A">
        <w:rPr>
          <w:rFonts w:ascii="Arial" w:hAnsi="Arial" w:cs="Arial"/>
          <w:noProof/>
          <w:color w:val="000000" w:themeColor="text1"/>
          <w:sz w:val="24"/>
          <w:szCs w:val="24"/>
          <w:lang w:val="en-GB"/>
        </w:rPr>
        <w:t xml:space="preserve"> </w:t>
      </w:r>
      <w:r w:rsidR="0062055B" w:rsidRPr="0084045A">
        <w:rPr>
          <w:rFonts w:ascii="Arial" w:hAnsi="Arial" w:cs="Arial"/>
          <w:noProof/>
          <w:color w:val="000000" w:themeColor="text1"/>
          <w:sz w:val="24"/>
          <w:szCs w:val="24"/>
          <w:lang w:val="en-GB"/>
        </w:rPr>
        <w:t>According to the World Health Organisation’s methodology to estimate burden o</w:t>
      </w:r>
      <w:r w:rsidR="003B2473" w:rsidRPr="0084045A">
        <w:rPr>
          <w:rFonts w:ascii="Arial" w:hAnsi="Arial" w:cs="Arial"/>
          <w:noProof/>
          <w:color w:val="000000" w:themeColor="text1"/>
          <w:sz w:val="24"/>
          <w:szCs w:val="24"/>
          <w:lang w:val="en-GB"/>
        </w:rPr>
        <w:t>f disease due to influenza,</w:t>
      </w:r>
      <w:r w:rsidR="000A65EB" w:rsidRPr="0084045A">
        <w:rPr>
          <w:rFonts w:ascii="Arial" w:hAnsi="Arial" w:cs="Arial"/>
          <w:noProof/>
          <w:color w:val="000000" w:themeColor="text1"/>
          <w:sz w:val="24"/>
          <w:szCs w:val="24"/>
          <w:lang w:val="en-GB"/>
        </w:rPr>
        <w:t xml:space="preserve"> data extrapolation from the </w:t>
      </w:r>
      <w:r w:rsidR="003B2473" w:rsidRPr="0084045A">
        <w:rPr>
          <w:rFonts w:ascii="Arial" w:hAnsi="Arial" w:cs="Arial"/>
          <w:noProof/>
          <w:color w:val="000000" w:themeColor="text1"/>
          <w:sz w:val="24"/>
          <w:szCs w:val="24"/>
          <w:lang w:val="en-GB"/>
        </w:rPr>
        <w:t>SISVEFLU</w:t>
      </w:r>
      <w:r w:rsidR="000A65EB" w:rsidRPr="0084045A">
        <w:rPr>
          <w:rFonts w:ascii="Arial" w:hAnsi="Arial" w:cs="Arial"/>
          <w:noProof/>
          <w:color w:val="000000" w:themeColor="text1"/>
          <w:sz w:val="24"/>
          <w:szCs w:val="24"/>
          <w:lang w:val="en-GB"/>
        </w:rPr>
        <w:t xml:space="preserve"> is limited because </w:t>
      </w:r>
      <w:r w:rsidR="00255055" w:rsidRPr="0084045A">
        <w:rPr>
          <w:rFonts w:ascii="Arial" w:hAnsi="Arial" w:cs="Arial"/>
          <w:noProof/>
          <w:color w:val="000000" w:themeColor="text1"/>
          <w:sz w:val="24"/>
          <w:szCs w:val="24"/>
          <w:lang w:val="en-GB"/>
        </w:rPr>
        <w:t xml:space="preserve">it </w:t>
      </w:r>
      <w:r w:rsidR="000A65EB" w:rsidRPr="0084045A">
        <w:rPr>
          <w:rFonts w:ascii="Arial" w:hAnsi="Arial" w:cs="Arial"/>
          <w:noProof/>
          <w:color w:val="000000" w:themeColor="text1"/>
          <w:sz w:val="24"/>
          <w:szCs w:val="24"/>
          <w:lang w:val="en-GB"/>
        </w:rPr>
        <w:t>is not representative of the population</w:t>
      </w:r>
      <w:r w:rsidR="003F07E9" w:rsidRPr="0084045A">
        <w:rPr>
          <w:rFonts w:ascii="Arial" w:hAnsi="Arial" w:cs="Arial"/>
          <w:noProof/>
          <w:color w:val="000000" w:themeColor="text1"/>
          <w:sz w:val="24"/>
          <w:szCs w:val="24"/>
          <w:lang w:val="en-GB"/>
        </w:rPr>
        <w:t xml:space="preserve"> (</w:t>
      </w:r>
      <w:r w:rsidR="003F07E9" w:rsidRPr="0084045A">
        <w:rPr>
          <w:rFonts w:ascii="Arial" w:hAnsi="Arial" w:cs="Arial"/>
          <w:b/>
          <w:bCs/>
          <w:noProof/>
          <w:color w:val="000000" w:themeColor="text1"/>
          <w:sz w:val="24"/>
          <w:szCs w:val="24"/>
          <w:lang w:val="en-GB"/>
        </w:rPr>
        <w:t>Figure S1</w:t>
      </w:r>
      <w:r w:rsidR="003F07E9" w:rsidRPr="0084045A">
        <w:rPr>
          <w:rFonts w:ascii="Arial" w:hAnsi="Arial" w:cs="Arial"/>
          <w:noProof/>
          <w:color w:val="000000" w:themeColor="text1"/>
          <w:sz w:val="24"/>
          <w:szCs w:val="24"/>
          <w:lang w:val="en-GB"/>
        </w:rPr>
        <w:t>)</w:t>
      </w:r>
      <w:r w:rsidR="00064F06" w:rsidRPr="0084045A">
        <w:rPr>
          <w:rFonts w:ascii="Arial" w:hAnsi="Arial" w:cs="Arial"/>
          <w:noProof/>
          <w:color w:val="000000" w:themeColor="text1"/>
          <w:sz w:val="24"/>
          <w:szCs w:val="24"/>
          <w:lang w:val="en-GB"/>
        </w:rPr>
        <w:t xml:space="preserve"> [2].</w:t>
      </w:r>
      <w:r w:rsidR="00F40E1D" w:rsidRPr="0084045A">
        <w:rPr>
          <w:rFonts w:ascii="Arial" w:hAnsi="Arial" w:cs="Arial"/>
          <w:noProof/>
          <w:color w:val="000000" w:themeColor="text1"/>
          <w:sz w:val="24"/>
          <w:szCs w:val="24"/>
          <w:lang w:val="en-GB"/>
        </w:rPr>
        <w:t xml:space="preserve"> </w:t>
      </w:r>
      <w:r w:rsidR="00255055" w:rsidRPr="0084045A">
        <w:rPr>
          <w:rFonts w:ascii="Arial" w:hAnsi="Arial" w:cs="Arial"/>
          <w:noProof/>
          <w:color w:val="000000" w:themeColor="text1"/>
          <w:sz w:val="24"/>
          <w:szCs w:val="24"/>
          <w:lang w:val="en-GB"/>
        </w:rPr>
        <w:t>Moreover,</w:t>
      </w:r>
      <w:r w:rsidR="001A502F" w:rsidRPr="0084045A">
        <w:rPr>
          <w:rFonts w:ascii="Arial" w:hAnsi="Arial" w:cs="Arial"/>
          <w:noProof/>
          <w:color w:val="000000" w:themeColor="text1"/>
          <w:sz w:val="24"/>
          <w:szCs w:val="24"/>
          <w:lang w:val="en-GB"/>
        </w:rPr>
        <w:t xml:space="preserve"> a</w:t>
      </w:r>
      <w:r w:rsidR="005544A9" w:rsidRPr="0084045A">
        <w:rPr>
          <w:rFonts w:ascii="Arial" w:hAnsi="Arial" w:cs="Arial"/>
          <w:noProof/>
          <w:color w:val="000000" w:themeColor="text1"/>
          <w:sz w:val="24"/>
          <w:szCs w:val="24"/>
          <w:lang w:val="en-GB"/>
        </w:rPr>
        <w:t xml:space="preserve">s noted from the data collected and reported in the article, most </w:t>
      </w:r>
      <w:r w:rsidR="000A65EB" w:rsidRPr="0084045A">
        <w:rPr>
          <w:rFonts w:ascii="Arial" w:hAnsi="Arial" w:cs="Arial"/>
          <w:noProof/>
          <w:color w:val="000000" w:themeColor="text1"/>
          <w:sz w:val="24"/>
          <w:szCs w:val="24"/>
          <w:lang w:val="en-GB"/>
        </w:rPr>
        <w:t>t</w:t>
      </w:r>
      <w:r w:rsidR="005544A9" w:rsidRPr="0084045A">
        <w:rPr>
          <w:rFonts w:ascii="Arial" w:hAnsi="Arial" w:cs="Arial"/>
          <w:noProof/>
          <w:color w:val="000000" w:themeColor="text1"/>
          <w:sz w:val="24"/>
          <w:szCs w:val="24"/>
          <w:lang w:val="en-GB"/>
        </w:rPr>
        <w:t>ype B influenza</w:t>
      </w:r>
      <w:r w:rsidR="00AD5ECF" w:rsidRPr="0084045A">
        <w:rPr>
          <w:rFonts w:ascii="Arial" w:hAnsi="Arial" w:cs="Arial"/>
          <w:noProof/>
          <w:color w:val="000000" w:themeColor="text1"/>
          <w:sz w:val="24"/>
          <w:szCs w:val="24"/>
          <w:lang w:val="en-GB"/>
        </w:rPr>
        <w:t xml:space="preserve"> cases</w:t>
      </w:r>
      <w:r w:rsidR="005544A9" w:rsidRPr="0084045A">
        <w:rPr>
          <w:rFonts w:ascii="Arial" w:hAnsi="Arial" w:cs="Arial"/>
          <w:noProof/>
          <w:color w:val="000000" w:themeColor="text1"/>
          <w:sz w:val="24"/>
          <w:szCs w:val="24"/>
          <w:lang w:val="en-GB"/>
        </w:rPr>
        <w:t xml:space="preserve"> </w:t>
      </w:r>
      <w:r w:rsidR="000A65EB" w:rsidRPr="0084045A">
        <w:rPr>
          <w:rFonts w:ascii="Arial" w:hAnsi="Arial" w:cs="Arial"/>
          <w:noProof/>
          <w:color w:val="000000" w:themeColor="text1"/>
          <w:sz w:val="24"/>
          <w:szCs w:val="24"/>
          <w:lang w:val="en-GB"/>
        </w:rPr>
        <w:t xml:space="preserve">did </w:t>
      </w:r>
      <w:r w:rsidR="005544A9" w:rsidRPr="0084045A">
        <w:rPr>
          <w:rFonts w:ascii="Arial" w:hAnsi="Arial" w:cs="Arial"/>
          <w:noProof/>
          <w:color w:val="000000" w:themeColor="text1"/>
          <w:sz w:val="24"/>
          <w:szCs w:val="24"/>
          <w:lang w:val="en-GB"/>
        </w:rPr>
        <w:t>not have lineage</w:t>
      </w:r>
      <w:r w:rsidR="007C778B" w:rsidRPr="0084045A">
        <w:rPr>
          <w:rFonts w:ascii="Arial" w:hAnsi="Arial" w:cs="Arial"/>
          <w:noProof/>
          <w:color w:val="000000" w:themeColor="text1"/>
          <w:sz w:val="24"/>
          <w:szCs w:val="24"/>
          <w:lang w:val="en-GB"/>
        </w:rPr>
        <w:t xml:space="preserve"> analysis</w:t>
      </w:r>
      <w:r w:rsidR="000A65EB" w:rsidRPr="0084045A">
        <w:rPr>
          <w:rFonts w:ascii="Arial" w:hAnsi="Arial" w:cs="Arial"/>
          <w:noProof/>
          <w:color w:val="000000" w:themeColor="text1"/>
          <w:sz w:val="24"/>
          <w:szCs w:val="24"/>
          <w:lang w:val="en-GB"/>
        </w:rPr>
        <w:t>;</w:t>
      </w:r>
      <w:r w:rsidR="00C94535" w:rsidRPr="0084045A">
        <w:rPr>
          <w:rFonts w:ascii="Arial" w:hAnsi="Arial" w:cs="Arial"/>
          <w:noProof/>
          <w:color w:val="000000" w:themeColor="text1"/>
          <w:sz w:val="24"/>
          <w:szCs w:val="24"/>
          <w:lang w:val="en-GB"/>
        </w:rPr>
        <w:t xml:space="preserve"> therefore, data cannot be extrapolated </w:t>
      </w:r>
      <w:r w:rsidR="00697507" w:rsidRPr="0084045A">
        <w:rPr>
          <w:rFonts w:ascii="Arial" w:hAnsi="Arial" w:cs="Arial"/>
          <w:noProof/>
          <w:color w:val="000000" w:themeColor="text1"/>
          <w:sz w:val="24"/>
          <w:szCs w:val="24"/>
          <w:lang w:val="en-GB"/>
        </w:rPr>
        <w:t>for</w:t>
      </w:r>
      <w:r w:rsidR="00C94535" w:rsidRPr="0084045A">
        <w:rPr>
          <w:rFonts w:ascii="Arial" w:hAnsi="Arial" w:cs="Arial"/>
          <w:noProof/>
          <w:color w:val="000000" w:themeColor="text1"/>
          <w:sz w:val="24"/>
          <w:szCs w:val="24"/>
          <w:lang w:val="en-GB"/>
        </w:rPr>
        <w:t xml:space="preserve"> either </w:t>
      </w:r>
      <w:r w:rsidR="00E31A7B" w:rsidRPr="0084045A">
        <w:rPr>
          <w:rFonts w:ascii="Arial" w:hAnsi="Arial" w:cs="Arial"/>
          <w:noProof/>
          <w:color w:val="000000" w:themeColor="text1"/>
          <w:sz w:val="24"/>
          <w:szCs w:val="24"/>
          <w:lang w:val="en-GB"/>
        </w:rPr>
        <w:t xml:space="preserve">the </w:t>
      </w:r>
      <w:r w:rsidR="00C94535" w:rsidRPr="0084045A">
        <w:rPr>
          <w:rFonts w:ascii="Arial" w:hAnsi="Arial" w:cs="Arial"/>
          <w:noProof/>
          <w:color w:val="000000" w:themeColor="text1"/>
          <w:sz w:val="24"/>
          <w:szCs w:val="24"/>
          <w:lang w:val="en-GB"/>
        </w:rPr>
        <w:t>Victoria or Yamagata lineages</w:t>
      </w:r>
      <w:r w:rsidR="001A502F" w:rsidRPr="0084045A">
        <w:rPr>
          <w:rFonts w:ascii="Arial" w:hAnsi="Arial" w:cs="Arial"/>
          <w:noProof/>
          <w:color w:val="000000" w:themeColor="text1"/>
          <w:sz w:val="24"/>
          <w:szCs w:val="24"/>
          <w:lang w:val="en-GB"/>
        </w:rPr>
        <w:t xml:space="preserve">. </w:t>
      </w:r>
    </w:p>
    <w:p w14:paraId="41F531F9" w14:textId="3F00576D" w:rsidR="00F40E1D" w:rsidRPr="0084045A" w:rsidRDefault="001A502F" w:rsidP="00512905">
      <w:pPr>
        <w:spacing w:after="0" w:line="480" w:lineRule="auto"/>
        <w:ind w:firstLine="709"/>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As an alternative, we use</w:t>
      </w:r>
      <w:r w:rsidR="00B17214" w:rsidRPr="0084045A">
        <w:rPr>
          <w:rFonts w:ascii="Arial" w:hAnsi="Arial" w:cs="Arial"/>
          <w:noProof/>
          <w:color w:val="000000" w:themeColor="text1"/>
          <w:sz w:val="24"/>
          <w:szCs w:val="24"/>
          <w:lang w:val="en-GB"/>
        </w:rPr>
        <w:t>d</w:t>
      </w:r>
      <w:r w:rsidRPr="0084045A">
        <w:rPr>
          <w:rFonts w:ascii="Arial" w:hAnsi="Arial" w:cs="Arial"/>
          <w:noProof/>
          <w:color w:val="000000" w:themeColor="text1"/>
          <w:sz w:val="24"/>
          <w:szCs w:val="24"/>
          <w:lang w:val="en-GB"/>
        </w:rPr>
        <w:t xml:space="preserve"> </w:t>
      </w:r>
      <w:r w:rsidR="00B17214" w:rsidRPr="0084045A">
        <w:rPr>
          <w:rFonts w:ascii="Arial" w:hAnsi="Arial" w:cs="Arial"/>
          <w:noProof/>
          <w:color w:val="000000" w:themeColor="text1"/>
          <w:sz w:val="24"/>
          <w:szCs w:val="24"/>
          <w:lang w:val="en-GB"/>
        </w:rPr>
        <w:t xml:space="preserve">the </w:t>
      </w:r>
      <w:r w:rsidRPr="0084045A">
        <w:rPr>
          <w:rFonts w:ascii="Arial" w:hAnsi="Arial" w:cs="Arial"/>
          <w:noProof/>
          <w:color w:val="000000" w:themeColor="text1"/>
          <w:sz w:val="24"/>
          <w:szCs w:val="24"/>
          <w:lang w:val="en-GB"/>
        </w:rPr>
        <w:t xml:space="preserve">standardised </w:t>
      </w:r>
      <w:r w:rsidR="00931973" w:rsidRPr="0084045A">
        <w:rPr>
          <w:rFonts w:ascii="Arial" w:hAnsi="Arial" w:cs="Arial"/>
          <w:noProof/>
          <w:color w:val="000000" w:themeColor="text1"/>
          <w:sz w:val="24"/>
          <w:szCs w:val="24"/>
          <w:lang w:val="en-GB"/>
        </w:rPr>
        <w:t xml:space="preserve">influenza </w:t>
      </w:r>
      <w:r w:rsidRPr="0084045A">
        <w:rPr>
          <w:rFonts w:ascii="Arial" w:hAnsi="Arial" w:cs="Arial"/>
          <w:noProof/>
          <w:color w:val="000000" w:themeColor="text1"/>
          <w:sz w:val="24"/>
          <w:szCs w:val="24"/>
          <w:lang w:val="en-GB"/>
        </w:rPr>
        <w:t>incidence</w:t>
      </w:r>
      <w:r w:rsidR="00961102" w:rsidRPr="0084045A">
        <w:rPr>
          <w:rFonts w:ascii="Arial" w:hAnsi="Arial" w:cs="Arial"/>
          <w:noProof/>
          <w:color w:val="000000" w:themeColor="text1"/>
          <w:sz w:val="24"/>
          <w:szCs w:val="24"/>
          <w:lang w:val="en-GB"/>
        </w:rPr>
        <w:t xml:space="preserve"> data</w:t>
      </w:r>
      <w:r w:rsidRPr="0084045A">
        <w:rPr>
          <w:rFonts w:ascii="Arial" w:hAnsi="Arial" w:cs="Arial"/>
          <w:noProof/>
          <w:color w:val="000000" w:themeColor="text1"/>
          <w:sz w:val="24"/>
          <w:szCs w:val="24"/>
          <w:lang w:val="en-GB"/>
        </w:rPr>
        <w:t xml:space="preserve"> for the United States</w:t>
      </w:r>
      <w:r w:rsidR="00961102" w:rsidRPr="0084045A">
        <w:rPr>
          <w:rFonts w:ascii="Arial" w:hAnsi="Arial" w:cs="Arial"/>
          <w:noProof/>
          <w:color w:val="000000" w:themeColor="text1"/>
          <w:sz w:val="24"/>
          <w:szCs w:val="24"/>
          <w:lang w:val="en-GB"/>
        </w:rPr>
        <w:t>,</w:t>
      </w:r>
      <w:r w:rsidRPr="0084045A">
        <w:rPr>
          <w:rFonts w:ascii="Arial" w:hAnsi="Arial" w:cs="Arial"/>
          <w:noProof/>
          <w:color w:val="000000" w:themeColor="text1"/>
          <w:sz w:val="24"/>
          <w:szCs w:val="24"/>
          <w:lang w:val="en-GB"/>
        </w:rPr>
        <w:t xml:space="preserve"> estimated by the Cente</w:t>
      </w:r>
      <w:r w:rsidR="00961102" w:rsidRPr="0084045A">
        <w:rPr>
          <w:rFonts w:ascii="Arial" w:hAnsi="Arial" w:cs="Arial"/>
          <w:noProof/>
          <w:color w:val="000000" w:themeColor="text1"/>
          <w:sz w:val="24"/>
          <w:szCs w:val="24"/>
          <w:lang w:val="en-GB"/>
        </w:rPr>
        <w:t>r</w:t>
      </w:r>
      <w:r w:rsidRPr="0084045A">
        <w:rPr>
          <w:rFonts w:ascii="Arial" w:hAnsi="Arial" w:cs="Arial"/>
          <w:noProof/>
          <w:color w:val="000000" w:themeColor="text1"/>
          <w:sz w:val="24"/>
          <w:szCs w:val="24"/>
          <w:lang w:val="en-GB"/>
        </w:rPr>
        <w:t xml:space="preserve">s for Disease Control and Prevention (CDC) for </w:t>
      </w:r>
      <w:r w:rsidRPr="0084045A">
        <w:rPr>
          <w:rFonts w:ascii="Arial" w:hAnsi="Arial" w:cs="Arial"/>
          <w:noProof/>
          <w:color w:val="000000" w:themeColor="text1"/>
          <w:sz w:val="24"/>
          <w:szCs w:val="24"/>
          <w:lang w:val="en-GB"/>
        </w:rPr>
        <w:lastRenderedPageBreak/>
        <w:t>the same seasons</w:t>
      </w:r>
      <w:r w:rsidR="00931973" w:rsidRPr="0084045A">
        <w:rPr>
          <w:rFonts w:ascii="Arial" w:hAnsi="Arial" w:cs="Arial"/>
          <w:noProof/>
          <w:color w:val="000000" w:themeColor="text1"/>
          <w:sz w:val="24"/>
          <w:szCs w:val="24"/>
          <w:lang w:val="en-GB"/>
        </w:rPr>
        <w:t xml:space="preserve"> (</w:t>
      </w:r>
      <w:r w:rsidR="00931973" w:rsidRPr="0084045A">
        <w:rPr>
          <w:rFonts w:ascii="Arial" w:hAnsi="Arial" w:cs="Arial"/>
          <w:b/>
          <w:bCs/>
          <w:noProof/>
          <w:color w:val="000000" w:themeColor="text1"/>
          <w:sz w:val="24"/>
          <w:szCs w:val="24"/>
          <w:lang w:val="en-GB"/>
        </w:rPr>
        <w:t>Table S1.</w:t>
      </w:r>
      <w:r w:rsidR="00255055" w:rsidRPr="0084045A">
        <w:rPr>
          <w:rFonts w:ascii="Arial" w:hAnsi="Arial" w:cs="Arial"/>
          <w:b/>
          <w:bCs/>
          <w:noProof/>
          <w:color w:val="000000" w:themeColor="text1"/>
          <w:sz w:val="24"/>
          <w:szCs w:val="24"/>
          <w:lang w:val="en-GB"/>
        </w:rPr>
        <w:t>2</w:t>
      </w:r>
      <w:r w:rsidR="00931973" w:rsidRPr="0084045A">
        <w:rPr>
          <w:rFonts w:ascii="Arial" w:hAnsi="Arial" w:cs="Arial"/>
          <w:noProof/>
          <w:color w:val="000000" w:themeColor="text1"/>
          <w:sz w:val="24"/>
          <w:szCs w:val="24"/>
          <w:lang w:val="en-GB"/>
        </w:rPr>
        <w:t>). We chose the United States because</w:t>
      </w:r>
      <w:r w:rsidRPr="0084045A">
        <w:rPr>
          <w:rFonts w:ascii="Arial" w:hAnsi="Arial" w:cs="Arial"/>
          <w:noProof/>
          <w:color w:val="000000" w:themeColor="text1"/>
          <w:sz w:val="24"/>
          <w:szCs w:val="24"/>
          <w:lang w:val="en-GB"/>
        </w:rPr>
        <w:t xml:space="preserve"> it is in the </w:t>
      </w:r>
      <w:r w:rsidR="00931973" w:rsidRPr="0084045A">
        <w:rPr>
          <w:rFonts w:ascii="Arial" w:hAnsi="Arial" w:cs="Arial"/>
          <w:noProof/>
          <w:color w:val="000000" w:themeColor="text1"/>
          <w:sz w:val="24"/>
          <w:szCs w:val="24"/>
          <w:lang w:val="en-GB"/>
        </w:rPr>
        <w:t>N</w:t>
      </w:r>
      <w:r w:rsidRPr="0084045A">
        <w:rPr>
          <w:rFonts w:ascii="Arial" w:hAnsi="Arial" w:cs="Arial"/>
          <w:noProof/>
          <w:color w:val="000000" w:themeColor="text1"/>
          <w:sz w:val="24"/>
          <w:szCs w:val="24"/>
          <w:lang w:val="en-GB"/>
        </w:rPr>
        <w:t xml:space="preserve">orthern </w:t>
      </w:r>
      <w:r w:rsidR="00931973" w:rsidRPr="0084045A">
        <w:rPr>
          <w:rFonts w:ascii="Arial" w:hAnsi="Arial" w:cs="Arial"/>
          <w:noProof/>
          <w:color w:val="000000" w:themeColor="text1"/>
          <w:sz w:val="24"/>
          <w:szCs w:val="24"/>
          <w:lang w:val="en-GB"/>
        </w:rPr>
        <w:t>H</w:t>
      </w:r>
      <w:r w:rsidRPr="0084045A">
        <w:rPr>
          <w:rFonts w:ascii="Arial" w:hAnsi="Arial" w:cs="Arial"/>
          <w:noProof/>
          <w:color w:val="000000" w:themeColor="text1"/>
          <w:sz w:val="24"/>
          <w:szCs w:val="24"/>
          <w:lang w:val="en-GB"/>
        </w:rPr>
        <w:t>emisphere</w:t>
      </w:r>
      <w:r w:rsidR="00B17214" w:rsidRPr="0084045A">
        <w:rPr>
          <w:rFonts w:ascii="Arial" w:hAnsi="Arial" w:cs="Arial"/>
          <w:noProof/>
          <w:color w:val="000000" w:themeColor="text1"/>
          <w:sz w:val="24"/>
          <w:szCs w:val="24"/>
          <w:lang w:val="en-GB"/>
        </w:rPr>
        <w:t xml:space="preserve"> </w:t>
      </w:r>
      <w:r w:rsidR="00931973" w:rsidRPr="0084045A">
        <w:rPr>
          <w:rFonts w:ascii="Arial" w:hAnsi="Arial" w:cs="Arial"/>
          <w:noProof/>
          <w:color w:val="000000" w:themeColor="text1"/>
          <w:sz w:val="24"/>
          <w:szCs w:val="24"/>
          <w:lang w:val="en-GB"/>
        </w:rPr>
        <w:t>and</w:t>
      </w:r>
      <w:r w:rsidR="00B17214" w:rsidRPr="0084045A">
        <w:rPr>
          <w:rFonts w:ascii="Arial" w:hAnsi="Arial" w:cs="Arial"/>
          <w:noProof/>
          <w:color w:val="000000" w:themeColor="text1"/>
          <w:sz w:val="24"/>
          <w:szCs w:val="24"/>
          <w:lang w:val="en-GB"/>
        </w:rPr>
        <w:t xml:space="preserve"> shares viral circulation with Mexico</w:t>
      </w:r>
      <w:r w:rsidRPr="0084045A">
        <w:rPr>
          <w:rFonts w:ascii="Arial" w:hAnsi="Arial" w:cs="Arial"/>
          <w:noProof/>
          <w:color w:val="000000" w:themeColor="text1"/>
          <w:sz w:val="24"/>
          <w:szCs w:val="24"/>
          <w:lang w:val="en-GB"/>
        </w:rPr>
        <w:t xml:space="preserve">. </w:t>
      </w:r>
    </w:p>
    <w:p w14:paraId="5DE00DAC" w14:textId="3790CA54" w:rsidR="00EE72A9" w:rsidRPr="0084045A" w:rsidRDefault="00EE72A9" w:rsidP="00512905">
      <w:pPr>
        <w:spacing w:after="0" w:line="480" w:lineRule="auto"/>
        <w:ind w:firstLine="709"/>
        <w:rPr>
          <w:rFonts w:ascii="Arial" w:hAnsi="Arial" w:cs="Arial"/>
          <w:noProof/>
          <w:sz w:val="24"/>
          <w:szCs w:val="24"/>
          <w:lang w:val="en-GB"/>
        </w:rPr>
      </w:pPr>
      <w:r w:rsidRPr="0084045A">
        <w:rPr>
          <w:rFonts w:ascii="Arial" w:hAnsi="Arial" w:cs="Arial"/>
          <w:b/>
          <w:bCs/>
          <w:noProof/>
          <w:color w:val="000000" w:themeColor="text1"/>
          <w:sz w:val="24"/>
          <w:szCs w:val="24"/>
          <w:lang w:val="en-GB"/>
        </w:rPr>
        <w:t>Tables S1.</w:t>
      </w:r>
      <w:r w:rsidR="00255055" w:rsidRPr="0084045A">
        <w:rPr>
          <w:rFonts w:ascii="Arial" w:hAnsi="Arial" w:cs="Arial"/>
          <w:b/>
          <w:bCs/>
          <w:noProof/>
          <w:color w:val="000000" w:themeColor="text1"/>
          <w:sz w:val="24"/>
          <w:szCs w:val="24"/>
          <w:lang w:val="en-GB"/>
        </w:rPr>
        <w:t>3</w:t>
      </w:r>
      <w:r w:rsidRPr="0084045A">
        <w:rPr>
          <w:rFonts w:ascii="Arial" w:hAnsi="Arial" w:cs="Arial"/>
          <w:noProof/>
          <w:color w:val="000000" w:themeColor="text1"/>
          <w:sz w:val="24"/>
          <w:szCs w:val="24"/>
          <w:lang w:val="en-GB"/>
        </w:rPr>
        <w:t xml:space="preserve">, </w:t>
      </w:r>
      <w:r w:rsidRPr="0084045A">
        <w:rPr>
          <w:rFonts w:ascii="Arial" w:hAnsi="Arial" w:cs="Arial"/>
          <w:b/>
          <w:bCs/>
          <w:noProof/>
          <w:color w:val="000000" w:themeColor="text1"/>
          <w:sz w:val="24"/>
          <w:szCs w:val="24"/>
          <w:lang w:val="en-GB"/>
        </w:rPr>
        <w:t>S1.</w:t>
      </w:r>
      <w:r w:rsidR="00255055" w:rsidRPr="0084045A">
        <w:rPr>
          <w:rFonts w:ascii="Arial" w:hAnsi="Arial" w:cs="Arial"/>
          <w:b/>
          <w:bCs/>
          <w:noProof/>
          <w:color w:val="000000" w:themeColor="text1"/>
          <w:sz w:val="24"/>
          <w:szCs w:val="24"/>
          <w:lang w:val="en-GB"/>
        </w:rPr>
        <w:t>4</w:t>
      </w:r>
      <w:r w:rsidR="00F40E1D" w:rsidRPr="0084045A">
        <w:rPr>
          <w:rFonts w:ascii="Arial" w:hAnsi="Arial" w:cs="Arial"/>
          <w:b/>
          <w:bCs/>
          <w:noProof/>
          <w:color w:val="000000" w:themeColor="text1"/>
          <w:sz w:val="24"/>
          <w:szCs w:val="24"/>
          <w:lang w:val="en-GB"/>
        </w:rPr>
        <w:t>,</w:t>
      </w:r>
      <w:r w:rsidRPr="0084045A">
        <w:rPr>
          <w:rFonts w:ascii="Arial" w:hAnsi="Arial" w:cs="Arial"/>
          <w:noProof/>
          <w:color w:val="000000" w:themeColor="text1"/>
          <w:sz w:val="24"/>
          <w:szCs w:val="24"/>
          <w:lang w:val="en-GB"/>
        </w:rPr>
        <w:t xml:space="preserve"> and </w:t>
      </w:r>
      <w:r w:rsidRPr="0084045A">
        <w:rPr>
          <w:rFonts w:ascii="Arial" w:hAnsi="Arial" w:cs="Arial"/>
          <w:b/>
          <w:bCs/>
          <w:noProof/>
          <w:color w:val="000000" w:themeColor="text1"/>
          <w:sz w:val="24"/>
          <w:szCs w:val="24"/>
          <w:lang w:val="en-GB"/>
        </w:rPr>
        <w:t>S1.</w:t>
      </w:r>
      <w:r w:rsidR="00255055" w:rsidRPr="0084045A">
        <w:rPr>
          <w:rFonts w:ascii="Arial" w:hAnsi="Arial" w:cs="Arial"/>
          <w:b/>
          <w:bCs/>
          <w:noProof/>
          <w:color w:val="000000" w:themeColor="text1"/>
          <w:sz w:val="24"/>
          <w:szCs w:val="24"/>
          <w:lang w:val="en-GB"/>
        </w:rPr>
        <w:t>5</w:t>
      </w:r>
      <w:r w:rsidRPr="0084045A">
        <w:rPr>
          <w:rFonts w:ascii="Arial" w:hAnsi="Arial" w:cs="Arial"/>
          <w:noProof/>
          <w:color w:val="000000" w:themeColor="text1"/>
          <w:sz w:val="24"/>
          <w:szCs w:val="24"/>
          <w:lang w:val="en-GB"/>
        </w:rPr>
        <w:t xml:space="preserve"> show national and state estimates obtained by indirectly standardising CDC estimates to the population of Mexico, taking the same age groups into consideration. For this exercise, </w:t>
      </w:r>
      <w:r w:rsidRPr="0084045A">
        <w:rPr>
          <w:rFonts w:ascii="Arial" w:hAnsi="Arial" w:cs="Arial"/>
          <w:noProof/>
          <w:sz w:val="24"/>
          <w:szCs w:val="24"/>
          <w:lang w:val="en-GB"/>
        </w:rPr>
        <w:t xml:space="preserve">data on Mexican population projections </w:t>
      </w:r>
      <w:r w:rsidR="00094075" w:rsidRPr="0084045A">
        <w:rPr>
          <w:rFonts w:ascii="Arial" w:hAnsi="Arial" w:cs="Arial"/>
          <w:noProof/>
          <w:sz w:val="24"/>
          <w:szCs w:val="24"/>
          <w:lang w:val="en-GB"/>
        </w:rPr>
        <w:t>for the study period</w:t>
      </w:r>
      <w:r w:rsidRPr="0084045A">
        <w:rPr>
          <w:rFonts w:ascii="Arial" w:hAnsi="Arial" w:cs="Arial"/>
          <w:noProof/>
          <w:sz w:val="24"/>
          <w:szCs w:val="24"/>
          <w:lang w:val="en-GB"/>
        </w:rPr>
        <w:t xml:space="preserve"> were obtained from the National Population Council</w:t>
      </w:r>
      <w:r w:rsidR="00F40E1D" w:rsidRPr="0084045A">
        <w:rPr>
          <w:rFonts w:ascii="Arial" w:hAnsi="Arial" w:cs="Arial"/>
          <w:noProof/>
          <w:sz w:val="24"/>
          <w:szCs w:val="24"/>
          <w:lang w:val="en-GB"/>
        </w:rPr>
        <w:t xml:space="preserve"> </w:t>
      </w:r>
      <w:r w:rsidRPr="0084045A">
        <w:rPr>
          <w:rFonts w:ascii="Arial" w:hAnsi="Arial" w:cs="Arial"/>
          <w:noProof/>
          <w:sz w:val="24"/>
          <w:szCs w:val="24"/>
          <w:lang w:val="en-GB"/>
        </w:rPr>
        <w:t xml:space="preserve">database at the beginning of </w:t>
      </w:r>
      <w:r w:rsidR="00094075" w:rsidRPr="0084045A">
        <w:rPr>
          <w:rFonts w:ascii="Arial" w:hAnsi="Arial" w:cs="Arial"/>
          <w:noProof/>
          <w:sz w:val="24"/>
          <w:szCs w:val="24"/>
          <w:lang w:val="en-GB"/>
        </w:rPr>
        <w:t xml:space="preserve">each </w:t>
      </w:r>
      <w:r w:rsidRPr="0084045A">
        <w:rPr>
          <w:rFonts w:ascii="Arial" w:hAnsi="Arial" w:cs="Arial"/>
          <w:noProof/>
          <w:sz w:val="24"/>
          <w:szCs w:val="24"/>
          <w:lang w:val="en-GB"/>
        </w:rPr>
        <w:t>year</w:t>
      </w:r>
      <w:r w:rsidR="00064F06" w:rsidRPr="0084045A">
        <w:rPr>
          <w:rFonts w:ascii="Arial" w:hAnsi="Arial" w:cs="Arial"/>
          <w:noProof/>
          <w:sz w:val="24"/>
          <w:szCs w:val="24"/>
          <w:lang w:val="en-GB"/>
        </w:rPr>
        <w:t xml:space="preserve"> [3]</w:t>
      </w:r>
      <w:r w:rsidRPr="0084045A">
        <w:rPr>
          <w:rFonts w:ascii="Arial" w:hAnsi="Arial" w:cs="Arial"/>
          <w:noProof/>
          <w:sz w:val="24"/>
          <w:szCs w:val="24"/>
          <w:lang w:val="en-GB"/>
        </w:rPr>
        <w:t>.</w:t>
      </w:r>
      <w:r w:rsidR="00D122C5" w:rsidRPr="0084045A">
        <w:rPr>
          <w:rFonts w:ascii="Arial" w:hAnsi="Arial" w:cs="Arial"/>
          <w:noProof/>
          <w:sz w:val="24"/>
          <w:szCs w:val="24"/>
          <w:lang w:val="en-GB"/>
        </w:rPr>
        <w:t xml:space="preserve"> </w:t>
      </w:r>
    </w:p>
    <w:p w14:paraId="0C247BE6" w14:textId="6EB1F12E" w:rsidR="00064F06" w:rsidRPr="0084045A" w:rsidRDefault="00064F06" w:rsidP="00512905">
      <w:pPr>
        <w:spacing w:after="0" w:line="480" w:lineRule="auto"/>
        <w:rPr>
          <w:rFonts w:ascii="Arial" w:hAnsi="Arial" w:cs="Arial"/>
          <w:noProof/>
          <w:sz w:val="24"/>
          <w:szCs w:val="24"/>
          <w:lang w:val="en-GB"/>
        </w:rPr>
      </w:pPr>
    </w:p>
    <w:p w14:paraId="3B7E6E9E" w14:textId="13D0A640" w:rsidR="00064F06" w:rsidRPr="0084045A" w:rsidRDefault="00064F06" w:rsidP="00512905">
      <w:pPr>
        <w:spacing w:after="0" w:line="480" w:lineRule="auto"/>
        <w:rPr>
          <w:rFonts w:ascii="Arial" w:hAnsi="Arial" w:cs="Arial"/>
          <w:b/>
          <w:bCs/>
          <w:noProof/>
          <w:sz w:val="24"/>
          <w:szCs w:val="24"/>
          <w:lang w:val="en-GB"/>
        </w:rPr>
      </w:pPr>
      <w:r w:rsidRPr="0084045A">
        <w:rPr>
          <w:rFonts w:ascii="Arial" w:hAnsi="Arial" w:cs="Arial"/>
          <w:b/>
          <w:bCs/>
          <w:noProof/>
          <w:sz w:val="24"/>
          <w:szCs w:val="24"/>
          <w:lang w:val="en-GB"/>
        </w:rPr>
        <w:t>References for Text S1</w:t>
      </w:r>
    </w:p>
    <w:p w14:paraId="4F9DEDBA" w14:textId="73777880" w:rsidR="00064F06" w:rsidRPr="0084045A" w:rsidRDefault="00064F06" w:rsidP="00512905">
      <w:pPr>
        <w:pStyle w:val="Prrafodelista"/>
        <w:numPr>
          <w:ilvl w:val="0"/>
          <w:numId w:val="63"/>
        </w:numPr>
        <w:spacing w:after="0" w:line="480" w:lineRule="auto"/>
        <w:ind w:left="360"/>
        <w:rPr>
          <w:rFonts w:ascii="Arial" w:hAnsi="Arial" w:cs="Arial"/>
          <w:noProof/>
          <w:color w:val="000000" w:themeColor="text1"/>
          <w:sz w:val="24"/>
          <w:szCs w:val="24"/>
          <w:lang w:val="en-GB"/>
        </w:rPr>
      </w:pPr>
      <w:r w:rsidRPr="00096BA7">
        <w:rPr>
          <w:rFonts w:ascii="Arial" w:hAnsi="Arial" w:cs="Arial"/>
          <w:noProof/>
          <w:color w:val="000000" w:themeColor="text1"/>
          <w:sz w:val="24"/>
          <w:szCs w:val="24"/>
        </w:rPr>
        <w:t xml:space="preserve">Dirección General de Epidemiología. Manual para la Vigilancia Epidemiológica de Influenza [Manual for epidemiological influenza surveillance]. </w:t>
      </w:r>
      <w:r w:rsidRPr="0084045A">
        <w:rPr>
          <w:rFonts w:ascii="Arial" w:hAnsi="Arial" w:cs="Arial"/>
          <w:noProof/>
          <w:color w:val="000000" w:themeColor="text1"/>
          <w:sz w:val="24"/>
          <w:szCs w:val="24"/>
          <w:lang w:val="en-GB"/>
        </w:rPr>
        <w:t>2014. http://187.191.75.115/gobmx/salud/documentos/manuales/12_Manual_VE_Influenza.pdf. Accessed 24 September 2019. Spanish.</w:t>
      </w:r>
    </w:p>
    <w:p w14:paraId="4CAD1C2A" w14:textId="77777777" w:rsidR="00064F06" w:rsidRPr="0084045A" w:rsidRDefault="00064F06" w:rsidP="00512905">
      <w:pPr>
        <w:pStyle w:val="Bibliografa"/>
        <w:numPr>
          <w:ilvl w:val="0"/>
          <w:numId w:val="63"/>
        </w:numPr>
        <w:spacing w:after="0" w:line="480" w:lineRule="auto"/>
        <w:ind w:left="360"/>
        <w:rPr>
          <w:rFonts w:ascii="Arial" w:hAnsi="Arial" w:cs="Arial"/>
          <w:noProof/>
          <w:sz w:val="24"/>
          <w:szCs w:val="24"/>
          <w:lang w:val="en-GB"/>
        </w:rPr>
      </w:pPr>
      <w:r w:rsidRPr="0084045A">
        <w:rPr>
          <w:rFonts w:ascii="Arial" w:hAnsi="Arial" w:cs="Arial"/>
          <w:noProof/>
          <w:sz w:val="24"/>
          <w:szCs w:val="24"/>
          <w:lang w:val="en-GB"/>
        </w:rPr>
        <w:t xml:space="preserve">World Health Organization. Sentinel surveillance. </w:t>
      </w:r>
      <w:hyperlink r:id="rId8" w:history="1">
        <w:r w:rsidRPr="00E3671E">
          <w:rPr>
            <w:rStyle w:val="Hipervnculo"/>
            <w:rFonts w:ascii="Arial" w:hAnsi="Arial" w:cs="Arial"/>
            <w:noProof/>
            <w:sz w:val="24"/>
            <w:szCs w:val="24"/>
          </w:rPr>
          <w:t>https://www.who.int/immunisation/monitoring_surveillance/burden/vpd/surveillance_type/sentinel/en/</w:t>
        </w:r>
      </w:hyperlink>
      <w:r w:rsidRPr="00E3671E">
        <w:rPr>
          <w:rFonts w:ascii="Arial" w:hAnsi="Arial" w:cs="Arial"/>
          <w:noProof/>
          <w:sz w:val="24"/>
          <w:szCs w:val="24"/>
        </w:rPr>
        <w:t xml:space="preserve">. </w:t>
      </w:r>
      <w:r w:rsidRPr="0084045A">
        <w:rPr>
          <w:rFonts w:ascii="Arial" w:hAnsi="Arial" w:cs="Arial"/>
          <w:noProof/>
          <w:sz w:val="24"/>
          <w:szCs w:val="24"/>
          <w:lang w:val="en-GB"/>
        </w:rPr>
        <w:t>Accessed 29 March 2019.</w:t>
      </w:r>
    </w:p>
    <w:p w14:paraId="14845DF8" w14:textId="3515C2BE" w:rsidR="00D122C5" w:rsidRPr="0084045A" w:rsidRDefault="00064F06" w:rsidP="00D122C5">
      <w:pPr>
        <w:pStyle w:val="Bibliografa"/>
        <w:numPr>
          <w:ilvl w:val="0"/>
          <w:numId w:val="63"/>
        </w:numPr>
        <w:spacing w:after="0" w:line="480" w:lineRule="auto"/>
        <w:ind w:left="360"/>
        <w:rPr>
          <w:rFonts w:ascii="Arial" w:hAnsi="Arial" w:cs="Arial"/>
          <w:noProof/>
          <w:sz w:val="24"/>
          <w:szCs w:val="24"/>
          <w:lang w:val="en-GB"/>
        </w:rPr>
      </w:pPr>
      <w:r w:rsidRPr="00096BA7">
        <w:rPr>
          <w:rFonts w:ascii="Arial" w:hAnsi="Arial" w:cs="Arial"/>
          <w:noProof/>
          <w:sz w:val="24"/>
          <w:szCs w:val="24"/>
        </w:rPr>
        <w:t xml:space="preserve">Consejo Nacional de Población–CONAPO. </w:t>
      </w:r>
      <w:hyperlink r:id="rId9" w:history="1">
        <w:r w:rsidRPr="00E3671E">
          <w:rPr>
            <w:rStyle w:val="Hipervnculo"/>
            <w:rFonts w:ascii="Arial" w:hAnsi="Arial" w:cs="Arial"/>
            <w:noProof/>
            <w:sz w:val="24"/>
            <w:szCs w:val="24"/>
          </w:rPr>
          <w:t>https://datos.gob.mx/busca/dataset/proyecciones-de-la-poblacion-de-mexico-y-de-las-entidades-federativas-2016-2050</w:t>
        </w:r>
      </w:hyperlink>
      <w:r w:rsidRPr="00E3671E">
        <w:rPr>
          <w:rFonts w:ascii="Arial" w:hAnsi="Arial" w:cs="Arial"/>
          <w:noProof/>
          <w:sz w:val="24"/>
          <w:szCs w:val="24"/>
        </w:rPr>
        <w:t xml:space="preserve">. </w:t>
      </w:r>
      <w:r w:rsidRPr="0084045A">
        <w:rPr>
          <w:rFonts w:ascii="Arial" w:hAnsi="Arial" w:cs="Arial"/>
          <w:noProof/>
          <w:sz w:val="24"/>
          <w:szCs w:val="24"/>
          <w:lang w:val="en-GB"/>
        </w:rPr>
        <w:t>Accessed 18 January 2019. Spanish</w:t>
      </w:r>
      <w:r w:rsidR="00D122C5" w:rsidRPr="0084045A">
        <w:rPr>
          <w:rFonts w:ascii="Arial" w:hAnsi="Arial" w:cs="Arial"/>
          <w:noProof/>
          <w:sz w:val="24"/>
          <w:szCs w:val="24"/>
          <w:lang w:val="en-GB"/>
        </w:rPr>
        <w:t>.</w:t>
      </w:r>
    </w:p>
    <w:p w14:paraId="335C7841" w14:textId="695B0FE2" w:rsidR="00D122C5" w:rsidRPr="0084045A" w:rsidRDefault="00D122C5" w:rsidP="00333403">
      <w:pPr>
        <w:pStyle w:val="Bibliografa"/>
        <w:spacing w:after="0" w:line="480" w:lineRule="auto"/>
        <w:ind w:left="360"/>
        <w:rPr>
          <w:rFonts w:ascii="Arial" w:hAnsi="Arial" w:cs="Arial"/>
          <w:noProof/>
          <w:sz w:val="24"/>
          <w:szCs w:val="24"/>
          <w:lang w:val="en-GB"/>
        </w:rPr>
      </w:pPr>
    </w:p>
    <w:p w14:paraId="4A07A9C2" w14:textId="77777777" w:rsidR="00F40E1D" w:rsidRPr="0084045A" w:rsidRDefault="00F40E1D">
      <w:pPr>
        <w:rPr>
          <w:rFonts w:ascii="Arial" w:hAnsi="Arial" w:cs="Arial"/>
          <w:b/>
          <w:noProof/>
          <w:color w:val="000000" w:themeColor="text1"/>
          <w:lang w:val="en-GB"/>
        </w:rPr>
      </w:pPr>
      <w:r w:rsidRPr="0084045A">
        <w:rPr>
          <w:rFonts w:ascii="Arial" w:hAnsi="Arial" w:cs="Arial"/>
          <w:b/>
          <w:noProof/>
          <w:color w:val="000000" w:themeColor="text1"/>
          <w:lang w:val="en-GB"/>
        </w:rPr>
        <w:br w:type="page"/>
      </w:r>
    </w:p>
    <w:p w14:paraId="27995668" w14:textId="768AE888" w:rsidR="00455ECF" w:rsidRPr="0084045A" w:rsidRDefault="004A1075" w:rsidP="00512905">
      <w:pPr>
        <w:pStyle w:val="Ttulo2"/>
        <w:rPr>
          <w:noProof/>
          <w:lang w:val="en-GB"/>
        </w:rPr>
      </w:pPr>
      <w:r w:rsidRPr="0084045A">
        <w:rPr>
          <w:noProof/>
          <w:lang w:val="en-GB"/>
        </w:rPr>
        <w:lastRenderedPageBreak/>
        <w:t>Figure S1. Flowchart of key decision-making processes to validate the quality and relevance of data</w:t>
      </w:r>
    </w:p>
    <w:p w14:paraId="1CEA1E2F" w14:textId="2903FAF3" w:rsidR="003F07E9" w:rsidRPr="0084045A" w:rsidRDefault="003F07E9" w:rsidP="003F07E9">
      <w:pPr>
        <w:spacing w:after="0" w:line="240" w:lineRule="auto"/>
        <w:jc w:val="both"/>
        <w:rPr>
          <w:rFonts w:ascii="Arial" w:hAnsi="Arial" w:cs="Arial"/>
          <w:noProof/>
          <w:color w:val="000000" w:themeColor="text1"/>
          <w:sz w:val="24"/>
          <w:szCs w:val="24"/>
          <w:lang w:val="en-GB"/>
        </w:rPr>
      </w:pPr>
    </w:p>
    <w:p w14:paraId="245BB789" w14:textId="15E06C35" w:rsidR="00255055" w:rsidRPr="0084045A" w:rsidRDefault="00255055" w:rsidP="003F07E9">
      <w:pPr>
        <w:spacing w:after="0" w:line="240" w:lineRule="auto"/>
        <w:jc w:val="both"/>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eastAsia="es-MX"/>
        </w:rPr>
        <w:drawing>
          <wp:inline distT="0" distB="0" distL="0" distR="0" wp14:anchorId="5981B17C" wp14:editId="65C0628D">
            <wp:extent cx="6123857" cy="1463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6987" cy="1473344"/>
                    </a:xfrm>
                    <a:prstGeom prst="rect">
                      <a:avLst/>
                    </a:prstGeom>
                    <a:noFill/>
                  </pic:spPr>
                </pic:pic>
              </a:graphicData>
            </a:graphic>
          </wp:inline>
        </w:drawing>
      </w:r>
    </w:p>
    <w:p w14:paraId="5C94AC31" w14:textId="77777777" w:rsidR="003F07E9" w:rsidRPr="0084045A" w:rsidRDefault="003F07E9" w:rsidP="003F07E9">
      <w:pPr>
        <w:spacing w:after="0" w:line="240" w:lineRule="auto"/>
        <w:jc w:val="both"/>
        <w:rPr>
          <w:rFonts w:ascii="Arial" w:hAnsi="Arial" w:cs="Arial"/>
          <w:noProof/>
          <w:color w:val="000000" w:themeColor="text1"/>
          <w:sz w:val="24"/>
          <w:szCs w:val="24"/>
          <w:lang w:val="en-GB"/>
        </w:rPr>
      </w:pPr>
    </w:p>
    <w:p w14:paraId="3A47096E" w14:textId="152E94FA" w:rsidR="003F07E9" w:rsidRPr="0084045A" w:rsidRDefault="00132EE1" w:rsidP="00132EE1">
      <w:pPr>
        <w:tabs>
          <w:tab w:val="left" w:pos="5175"/>
        </w:tabs>
        <w:spacing w:after="0" w:line="240" w:lineRule="auto"/>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ab/>
      </w:r>
    </w:p>
    <w:p w14:paraId="52418F09" w14:textId="151D708B" w:rsidR="003F07E9" w:rsidRPr="0084045A" w:rsidRDefault="003F07E9" w:rsidP="003F07E9">
      <w:pPr>
        <w:spacing w:after="0" w:line="240" w:lineRule="auto"/>
        <w:jc w:val="right"/>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 xml:space="preserve">Source: </w:t>
      </w:r>
      <w:r w:rsidR="00AA41B4" w:rsidRPr="0084045A">
        <w:rPr>
          <w:rFonts w:ascii="Arial" w:hAnsi="Arial" w:cs="Arial"/>
          <w:noProof/>
          <w:color w:val="000000" w:themeColor="text1"/>
          <w:sz w:val="24"/>
          <w:szCs w:val="24"/>
          <w:lang w:val="en-GB"/>
        </w:rPr>
        <w:t xml:space="preserve">Adapted from WHO </w:t>
      </w:r>
      <w:sdt>
        <w:sdtPr>
          <w:rPr>
            <w:rFonts w:ascii="Arial" w:hAnsi="Arial" w:cs="Arial"/>
            <w:noProof/>
            <w:color w:val="000000" w:themeColor="text1"/>
            <w:sz w:val="24"/>
            <w:szCs w:val="24"/>
            <w:lang w:val="en-GB"/>
          </w:rPr>
          <w:id w:val="-1241244780"/>
          <w:citation/>
        </w:sdtPr>
        <w:sdtEndPr/>
        <w:sdtContent>
          <w:r w:rsidRPr="0084045A">
            <w:rPr>
              <w:rFonts w:ascii="Arial" w:hAnsi="Arial" w:cs="Arial"/>
              <w:noProof/>
              <w:color w:val="000000" w:themeColor="text1"/>
              <w:sz w:val="24"/>
              <w:szCs w:val="24"/>
              <w:lang w:val="en-GB"/>
            </w:rPr>
            <w:fldChar w:fldCharType="begin"/>
          </w:r>
          <w:r w:rsidRPr="0084045A">
            <w:rPr>
              <w:rFonts w:ascii="Arial" w:hAnsi="Arial" w:cs="Arial"/>
              <w:noProof/>
              <w:color w:val="000000" w:themeColor="text1"/>
              <w:sz w:val="24"/>
              <w:szCs w:val="24"/>
              <w:lang w:val="en-GB"/>
            </w:rPr>
            <w:instrText xml:space="preserve"> CITATION Wor15 \l 2058 </w:instrText>
          </w:r>
          <w:r w:rsidRPr="0084045A">
            <w:rPr>
              <w:rFonts w:ascii="Arial" w:hAnsi="Arial" w:cs="Arial"/>
              <w:noProof/>
              <w:color w:val="000000" w:themeColor="text1"/>
              <w:sz w:val="24"/>
              <w:szCs w:val="24"/>
              <w:lang w:val="en-GB"/>
            </w:rPr>
            <w:fldChar w:fldCharType="separate"/>
          </w:r>
          <w:r w:rsidRPr="0084045A">
            <w:rPr>
              <w:rFonts w:ascii="Arial" w:hAnsi="Arial" w:cs="Arial"/>
              <w:noProof/>
              <w:color w:val="000000" w:themeColor="text1"/>
              <w:sz w:val="24"/>
              <w:szCs w:val="24"/>
              <w:lang w:val="en-GB"/>
            </w:rPr>
            <w:t>(World Health Organization, 2015)</w:t>
          </w:r>
          <w:r w:rsidRPr="0084045A">
            <w:rPr>
              <w:rFonts w:ascii="Arial" w:hAnsi="Arial" w:cs="Arial"/>
              <w:noProof/>
              <w:color w:val="000000" w:themeColor="text1"/>
              <w:sz w:val="24"/>
              <w:szCs w:val="24"/>
              <w:lang w:val="en-GB"/>
            </w:rPr>
            <w:fldChar w:fldCharType="end"/>
          </w:r>
        </w:sdtContent>
      </w:sdt>
    </w:p>
    <w:p w14:paraId="0AFA164C" w14:textId="77777777" w:rsidR="003F07E9" w:rsidRPr="0084045A" w:rsidRDefault="003F07E9" w:rsidP="003F07E9">
      <w:pPr>
        <w:spacing w:after="0" w:line="240" w:lineRule="auto"/>
        <w:jc w:val="center"/>
        <w:rPr>
          <w:rFonts w:ascii="Arial" w:hAnsi="Arial" w:cs="Arial"/>
          <w:b/>
          <w:noProof/>
          <w:color w:val="000000" w:themeColor="text1"/>
          <w:sz w:val="24"/>
          <w:szCs w:val="24"/>
          <w:lang w:val="en-GB"/>
        </w:rPr>
      </w:pPr>
      <w:r w:rsidRPr="0084045A">
        <w:rPr>
          <w:rFonts w:ascii="Arial" w:hAnsi="Arial" w:cs="Arial"/>
          <w:b/>
          <w:noProof/>
          <w:color w:val="000000" w:themeColor="text1"/>
          <w:sz w:val="24"/>
          <w:szCs w:val="24"/>
          <w:lang w:val="en-GB"/>
        </w:rPr>
        <w:t xml:space="preserve"> </w:t>
      </w:r>
    </w:p>
    <w:p w14:paraId="75AC8759" w14:textId="77777777" w:rsidR="00702523" w:rsidRPr="0084045A" w:rsidRDefault="00702523" w:rsidP="003F07E9">
      <w:pPr>
        <w:spacing w:after="0" w:line="240" w:lineRule="auto"/>
        <w:jc w:val="center"/>
        <w:rPr>
          <w:rFonts w:ascii="Arial" w:hAnsi="Arial" w:cs="Arial"/>
          <w:b/>
          <w:noProof/>
          <w:color w:val="000000" w:themeColor="text1"/>
          <w:sz w:val="24"/>
          <w:szCs w:val="24"/>
          <w:lang w:val="en-GB"/>
        </w:rPr>
      </w:pPr>
    </w:p>
    <w:p w14:paraId="18CB0797" w14:textId="6977E6A4" w:rsidR="00255055" w:rsidRPr="0084045A" w:rsidRDefault="00906E5E" w:rsidP="00AD1583">
      <w:pPr>
        <w:rPr>
          <w:noProof/>
          <w:lang w:val="en-GB"/>
        </w:rPr>
      </w:pPr>
      <w:r w:rsidRPr="0084045A">
        <w:rPr>
          <w:noProof/>
          <w:lang w:val="en-GB"/>
        </w:rPr>
        <w:t xml:space="preserve"> </w:t>
      </w:r>
    </w:p>
    <w:p w14:paraId="4D47B708" w14:textId="77777777" w:rsidR="00255055" w:rsidRPr="0084045A" w:rsidRDefault="00255055">
      <w:pPr>
        <w:rPr>
          <w:rFonts w:ascii="Arial" w:eastAsiaTheme="majorEastAsia" w:hAnsi="Arial" w:cstheme="majorBidi"/>
          <w:b/>
          <w:i/>
          <w:noProof/>
          <w:szCs w:val="26"/>
          <w:lang w:val="en-GB"/>
        </w:rPr>
      </w:pPr>
      <w:r w:rsidRPr="0084045A">
        <w:rPr>
          <w:noProof/>
          <w:lang w:val="en-GB"/>
        </w:rPr>
        <w:br w:type="page"/>
      </w:r>
    </w:p>
    <w:p w14:paraId="2D5AD830" w14:textId="3FEEF55D" w:rsidR="00906E5E" w:rsidRPr="0084045A" w:rsidRDefault="00906E5E" w:rsidP="00512905">
      <w:pPr>
        <w:pStyle w:val="Ttulo2"/>
        <w:rPr>
          <w:noProof/>
          <w:lang w:val="en-GB"/>
        </w:rPr>
      </w:pPr>
      <w:r w:rsidRPr="0084045A">
        <w:rPr>
          <w:noProof/>
          <w:lang w:val="en-GB"/>
        </w:rPr>
        <w:lastRenderedPageBreak/>
        <w:t>Table S1.1. Availability of datasets used in the study by year</w:t>
      </w:r>
    </w:p>
    <w:tbl>
      <w:tblPr>
        <w:tblStyle w:val="Tablaconcuadrcula"/>
        <w:tblW w:w="5000" w:type="pct"/>
        <w:jc w:val="center"/>
        <w:tblLook w:val="04A0" w:firstRow="1" w:lastRow="0" w:firstColumn="1" w:lastColumn="0" w:noHBand="0" w:noVBand="1"/>
      </w:tblPr>
      <w:tblGrid>
        <w:gridCol w:w="1233"/>
        <w:gridCol w:w="681"/>
        <w:gridCol w:w="680"/>
        <w:gridCol w:w="680"/>
        <w:gridCol w:w="680"/>
        <w:gridCol w:w="680"/>
        <w:gridCol w:w="680"/>
        <w:gridCol w:w="680"/>
        <w:gridCol w:w="680"/>
        <w:gridCol w:w="680"/>
        <w:gridCol w:w="680"/>
        <w:gridCol w:w="1360"/>
      </w:tblGrid>
      <w:tr w:rsidR="00F8418E" w:rsidRPr="0084045A" w14:paraId="78978654" w14:textId="77777777" w:rsidTr="0001137D">
        <w:trPr>
          <w:trHeight w:hRule="exact" w:val="736"/>
          <w:jc w:val="center"/>
        </w:trPr>
        <w:tc>
          <w:tcPr>
            <w:tcW w:w="656" w:type="pct"/>
            <w:tcBorders>
              <w:top w:val="single" w:sz="4" w:space="0" w:color="auto"/>
              <w:left w:val="single" w:sz="4" w:space="0" w:color="auto"/>
              <w:bottom w:val="single" w:sz="4" w:space="0" w:color="auto"/>
              <w:right w:val="single" w:sz="4" w:space="0" w:color="auto"/>
            </w:tcBorders>
            <w:vAlign w:val="center"/>
            <w:hideMark/>
          </w:tcPr>
          <w:p w14:paraId="112473EB" w14:textId="77777777" w:rsidR="00906E5E" w:rsidRPr="0084045A" w:rsidRDefault="00906E5E" w:rsidP="0001137D">
            <w:pPr>
              <w:rPr>
                <w:rFonts w:ascii="Arial" w:hAnsi="Arial" w:cs="Arial"/>
                <w:b/>
                <w:bCs/>
                <w:noProof/>
                <w:sz w:val="20"/>
                <w:szCs w:val="20"/>
                <w:lang w:val="en-GB"/>
              </w:rPr>
            </w:pPr>
            <w:r w:rsidRPr="0084045A">
              <w:rPr>
                <w:rFonts w:ascii="Arial" w:hAnsi="Arial" w:cs="Arial"/>
                <w:b/>
                <w:bCs/>
                <w:noProof/>
                <w:sz w:val="20"/>
                <w:szCs w:val="20"/>
                <w:lang w:val="en-GB"/>
              </w:rPr>
              <w:t>Database</w:t>
            </w:r>
          </w:p>
        </w:tc>
        <w:tc>
          <w:tcPr>
            <w:tcW w:w="362" w:type="pct"/>
            <w:tcBorders>
              <w:top w:val="single" w:sz="4" w:space="0" w:color="auto"/>
              <w:left w:val="single" w:sz="4" w:space="0" w:color="auto"/>
              <w:bottom w:val="single" w:sz="4" w:space="0" w:color="auto"/>
              <w:right w:val="single" w:sz="4" w:space="0" w:color="auto"/>
            </w:tcBorders>
            <w:vAlign w:val="center"/>
            <w:hideMark/>
          </w:tcPr>
          <w:p w14:paraId="3E7FC6FA"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2009</w:t>
            </w:r>
          </w:p>
        </w:tc>
        <w:tc>
          <w:tcPr>
            <w:tcW w:w="362" w:type="pct"/>
            <w:tcBorders>
              <w:top w:val="single" w:sz="4" w:space="0" w:color="auto"/>
              <w:left w:val="single" w:sz="4" w:space="0" w:color="auto"/>
              <w:bottom w:val="single" w:sz="4" w:space="0" w:color="auto"/>
              <w:right w:val="single" w:sz="4" w:space="0" w:color="auto"/>
            </w:tcBorders>
            <w:vAlign w:val="center"/>
            <w:hideMark/>
          </w:tcPr>
          <w:p w14:paraId="47013F09"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2010</w:t>
            </w:r>
          </w:p>
        </w:tc>
        <w:tc>
          <w:tcPr>
            <w:tcW w:w="362" w:type="pct"/>
            <w:tcBorders>
              <w:top w:val="single" w:sz="4" w:space="0" w:color="auto"/>
              <w:left w:val="single" w:sz="4" w:space="0" w:color="auto"/>
              <w:bottom w:val="single" w:sz="4" w:space="0" w:color="auto"/>
              <w:right w:val="single" w:sz="4" w:space="0" w:color="auto"/>
            </w:tcBorders>
            <w:vAlign w:val="center"/>
            <w:hideMark/>
          </w:tcPr>
          <w:p w14:paraId="15DC0A6C"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2011</w:t>
            </w:r>
          </w:p>
        </w:tc>
        <w:tc>
          <w:tcPr>
            <w:tcW w:w="362" w:type="pct"/>
            <w:tcBorders>
              <w:top w:val="single" w:sz="4" w:space="0" w:color="auto"/>
              <w:left w:val="single" w:sz="4" w:space="0" w:color="auto"/>
              <w:bottom w:val="single" w:sz="4" w:space="0" w:color="auto"/>
              <w:right w:val="single" w:sz="4" w:space="0" w:color="auto"/>
            </w:tcBorders>
            <w:vAlign w:val="center"/>
            <w:hideMark/>
          </w:tcPr>
          <w:p w14:paraId="35889605"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2012</w:t>
            </w:r>
          </w:p>
        </w:tc>
        <w:tc>
          <w:tcPr>
            <w:tcW w:w="362" w:type="pct"/>
            <w:tcBorders>
              <w:top w:val="single" w:sz="4" w:space="0" w:color="auto"/>
              <w:left w:val="single" w:sz="4" w:space="0" w:color="auto"/>
              <w:bottom w:val="single" w:sz="4" w:space="0" w:color="auto"/>
              <w:right w:val="single" w:sz="4" w:space="0" w:color="auto"/>
            </w:tcBorders>
            <w:vAlign w:val="center"/>
            <w:hideMark/>
          </w:tcPr>
          <w:p w14:paraId="53F00DEA"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2013</w:t>
            </w:r>
          </w:p>
        </w:tc>
        <w:tc>
          <w:tcPr>
            <w:tcW w:w="362" w:type="pct"/>
            <w:tcBorders>
              <w:top w:val="single" w:sz="4" w:space="0" w:color="auto"/>
              <w:left w:val="single" w:sz="4" w:space="0" w:color="auto"/>
              <w:bottom w:val="single" w:sz="4" w:space="0" w:color="auto"/>
              <w:right w:val="single" w:sz="4" w:space="0" w:color="auto"/>
            </w:tcBorders>
            <w:vAlign w:val="center"/>
            <w:hideMark/>
          </w:tcPr>
          <w:p w14:paraId="3B52AA84"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2014</w:t>
            </w:r>
          </w:p>
        </w:tc>
        <w:tc>
          <w:tcPr>
            <w:tcW w:w="362" w:type="pct"/>
            <w:tcBorders>
              <w:top w:val="single" w:sz="4" w:space="0" w:color="auto"/>
              <w:left w:val="single" w:sz="4" w:space="0" w:color="auto"/>
              <w:bottom w:val="single" w:sz="4" w:space="0" w:color="auto"/>
              <w:right w:val="single" w:sz="4" w:space="0" w:color="auto"/>
            </w:tcBorders>
            <w:vAlign w:val="center"/>
            <w:hideMark/>
          </w:tcPr>
          <w:p w14:paraId="6D6461FE"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2015</w:t>
            </w:r>
          </w:p>
        </w:tc>
        <w:tc>
          <w:tcPr>
            <w:tcW w:w="362" w:type="pct"/>
            <w:tcBorders>
              <w:top w:val="single" w:sz="4" w:space="0" w:color="auto"/>
              <w:left w:val="single" w:sz="4" w:space="0" w:color="auto"/>
              <w:bottom w:val="single" w:sz="4" w:space="0" w:color="auto"/>
              <w:right w:val="single" w:sz="4" w:space="0" w:color="auto"/>
            </w:tcBorders>
            <w:vAlign w:val="center"/>
            <w:hideMark/>
          </w:tcPr>
          <w:p w14:paraId="3F103786"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2016</w:t>
            </w:r>
          </w:p>
        </w:tc>
        <w:tc>
          <w:tcPr>
            <w:tcW w:w="362" w:type="pct"/>
            <w:tcBorders>
              <w:top w:val="single" w:sz="4" w:space="0" w:color="auto"/>
              <w:left w:val="single" w:sz="4" w:space="0" w:color="auto"/>
              <w:bottom w:val="single" w:sz="4" w:space="0" w:color="auto"/>
              <w:right w:val="single" w:sz="4" w:space="0" w:color="auto"/>
            </w:tcBorders>
            <w:vAlign w:val="center"/>
            <w:hideMark/>
          </w:tcPr>
          <w:p w14:paraId="6C2ED908"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2017</w:t>
            </w:r>
          </w:p>
        </w:tc>
        <w:tc>
          <w:tcPr>
            <w:tcW w:w="362" w:type="pct"/>
            <w:tcBorders>
              <w:top w:val="single" w:sz="4" w:space="0" w:color="auto"/>
              <w:left w:val="single" w:sz="4" w:space="0" w:color="auto"/>
              <w:bottom w:val="single" w:sz="4" w:space="0" w:color="auto"/>
              <w:right w:val="single" w:sz="4" w:space="0" w:color="auto"/>
            </w:tcBorders>
            <w:vAlign w:val="center"/>
            <w:hideMark/>
          </w:tcPr>
          <w:p w14:paraId="5C490170"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2018</w:t>
            </w:r>
          </w:p>
        </w:tc>
        <w:tc>
          <w:tcPr>
            <w:tcW w:w="725" w:type="pct"/>
            <w:tcBorders>
              <w:top w:val="single" w:sz="4" w:space="0" w:color="auto"/>
              <w:left w:val="single" w:sz="4" w:space="0" w:color="auto"/>
              <w:bottom w:val="single" w:sz="4" w:space="0" w:color="auto"/>
              <w:right w:val="single" w:sz="4" w:space="0" w:color="auto"/>
            </w:tcBorders>
            <w:vAlign w:val="center"/>
            <w:hideMark/>
          </w:tcPr>
          <w:p w14:paraId="77C91780" w14:textId="77777777" w:rsidR="00906E5E" w:rsidRPr="0084045A" w:rsidRDefault="00906E5E" w:rsidP="0001137D">
            <w:pPr>
              <w:jc w:val="center"/>
              <w:rPr>
                <w:rFonts w:ascii="Arial" w:hAnsi="Arial" w:cs="Arial"/>
                <w:b/>
                <w:noProof/>
                <w:sz w:val="20"/>
                <w:szCs w:val="20"/>
                <w:lang w:val="en-GB"/>
              </w:rPr>
            </w:pPr>
            <w:r w:rsidRPr="0084045A">
              <w:rPr>
                <w:rFonts w:ascii="Arial" w:hAnsi="Arial" w:cs="Arial"/>
                <w:b/>
                <w:noProof/>
                <w:sz w:val="20"/>
                <w:szCs w:val="20"/>
                <w:lang w:val="en-GB"/>
              </w:rPr>
              <w:t>Notes</w:t>
            </w:r>
          </w:p>
        </w:tc>
      </w:tr>
      <w:tr w:rsidR="00F8418E" w:rsidRPr="0084045A" w14:paraId="2507ACBE" w14:textId="77777777" w:rsidTr="0001137D">
        <w:trPr>
          <w:trHeight w:hRule="exact" w:val="704"/>
          <w:jc w:val="center"/>
        </w:trPr>
        <w:tc>
          <w:tcPr>
            <w:tcW w:w="656" w:type="pct"/>
            <w:tcBorders>
              <w:top w:val="single" w:sz="4" w:space="0" w:color="auto"/>
              <w:left w:val="single" w:sz="4" w:space="0" w:color="auto"/>
              <w:bottom w:val="single" w:sz="4" w:space="0" w:color="auto"/>
              <w:right w:val="single" w:sz="4" w:space="0" w:color="auto"/>
            </w:tcBorders>
            <w:vAlign w:val="center"/>
            <w:hideMark/>
          </w:tcPr>
          <w:p w14:paraId="68093608" w14:textId="77777777" w:rsidR="00906E5E" w:rsidRPr="0084045A" w:rsidRDefault="00906E5E" w:rsidP="0001137D">
            <w:pPr>
              <w:rPr>
                <w:rFonts w:ascii="Arial" w:hAnsi="Arial" w:cs="Arial"/>
                <w:noProof/>
                <w:sz w:val="20"/>
                <w:szCs w:val="20"/>
                <w:lang w:val="en-GB"/>
              </w:rPr>
            </w:pPr>
            <w:r w:rsidRPr="0084045A">
              <w:rPr>
                <w:rFonts w:ascii="Arial" w:hAnsi="Arial" w:cs="Arial"/>
                <w:noProof/>
                <w:sz w:val="20"/>
                <w:szCs w:val="20"/>
                <w:lang w:val="en-GB"/>
              </w:rPr>
              <w:t>SISVEFLU</w:t>
            </w:r>
          </w:p>
        </w:tc>
        <w:tc>
          <w:tcPr>
            <w:tcW w:w="362" w:type="pct"/>
            <w:tcBorders>
              <w:top w:val="single" w:sz="4" w:space="0" w:color="auto"/>
              <w:left w:val="single" w:sz="4" w:space="0" w:color="auto"/>
              <w:bottom w:val="single" w:sz="4" w:space="0" w:color="auto"/>
              <w:right w:val="single" w:sz="4" w:space="0" w:color="auto"/>
            </w:tcBorders>
            <w:shd w:val="clear" w:color="auto" w:fill="92D050"/>
            <w:vAlign w:val="center"/>
          </w:tcPr>
          <w:p w14:paraId="446AB1F0"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92D050"/>
            <w:vAlign w:val="center"/>
          </w:tcPr>
          <w:p w14:paraId="4C3926A5"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92D050"/>
            <w:vAlign w:val="center"/>
          </w:tcPr>
          <w:p w14:paraId="478C5558"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92D050"/>
            <w:vAlign w:val="center"/>
          </w:tcPr>
          <w:p w14:paraId="6DB2DCCB"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92D050"/>
            <w:vAlign w:val="center"/>
          </w:tcPr>
          <w:p w14:paraId="01CD510F"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92D050"/>
            <w:vAlign w:val="center"/>
          </w:tcPr>
          <w:p w14:paraId="3CAB62EC"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92D050"/>
            <w:vAlign w:val="center"/>
          </w:tcPr>
          <w:p w14:paraId="15FED39A"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92D050"/>
            <w:vAlign w:val="center"/>
          </w:tcPr>
          <w:p w14:paraId="6C087995"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92D050"/>
            <w:vAlign w:val="center"/>
          </w:tcPr>
          <w:p w14:paraId="1C2D43A4"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92D050"/>
            <w:vAlign w:val="center"/>
          </w:tcPr>
          <w:p w14:paraId="0F889D75" w14:textId="77777777" w:rsidR="00906E5E" w:rsidRPr="0084045A" w:rsidRDefault="00906E5E" w:rsidP="0001137D">
            <w:pPr>
              <w:jc w:val="center"/>
              <w:rPr>
                <w:rFonts w:ascii="Arial" w:hAnsi="Arial" w:cs="Arial"/>
                <w:noProof/>
                <w:sz w:val="20"/>
                <w:szCs w:val="20"/>
                <w:lang w:val="en-GB"/>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070D51CC" w14:textId="77777777" w:rsidR="00906E5E" w:rsidRPr="0084045A" w:rsidRDefault="00906E5E" w:rsidP="0001137D">
            <w:pPr>
              <w:rPr>
                <w:rFonts w:ascii="Arial" w:hAnsi="Arial" w:cs="Arial"/>
                <w:noProof/>
                <w:sz w:val="20"/>
                <w:szCs w:val="20"/>
                <w:lang w:val="en-GB"/>
              </w:rPr>
            </w:pPr>
            <w:r w:rsidRPr="0084045A">
              <w:rPr>
                <w:rFonts w:ascii="Arial" w:hAnsi="Arial" w:cs="Arial"/>
                <w:noProof/>
                <w:sz w:val="20"/>
                <w:szCs w:val="20"/>
                <w:lang w:val="en-GB"/>
              </w:rPr>
              <w:t>Surveillance system</w:t>
            </w:r>
          </w:p>
        </w:tc>
      </w:tr>
      <w:tr w:rsidR="00F8418E" w:rsidRPr="0084045A" w14:paraId="0FB65237" w14:textId="77777777" w:rsidTr="00464E0F">
        <w:trPr>
          <w:trHeight w:hRule="exact" w:val="715"/>
          <w:jc w:val="center"/>
        </w:trPr>
        <w:tc>
          <w:tcPr>
            <w:tcW w:w="656" w:type="pct"/>
            <w:tcBorders>
              <w:top w:val="single" w:sz="4" w:space="0" w:color="auto"/>
              <w:left w:val="single" w:sz="4" w:space="0" w:color="auto"/>
              <w:bottom w:val="single" w:sz="4" w:space="0" w:color="auto"/>
              <w:right w:val="single" w:sz="4" w:space="0" w:color="auto"/>
            </w:tcBorders>
            <w:vAlign w:val="center"/>
            <w:hideMark/>
          </w:tcPr>
          <w:p w14:paraId="327AC041" w14:textId="77777777" w:rsidR="00906E5E" w:rsidRPr="0084045A" w:rsidRDefault="00906E5E" w:rsidP="0001137D">
            <w:pPr>
              <w:rPr>
                <w:rFonts w:ascii="Arial" w:hAnsi="Arial" w:cs="Arial"/>
                <w:noProof/>
                <w:sz w:val="20"/>
                <w:szCs w:val="20"/>
                <w:lang w:val="en-GB"/>
              </w:rPr>
            </w:pPr>
            <w:r w:rsidRPr="0084045A">
              <w:rPr>
                <w:rFonts w:ascii="Arial" w:hAnsi="Arial" w:cs="Arial"/>
                <w:noProof/>
                <w:sz w:val="20"/>
                <w:szCs w:val="20"/>
                <w:lang w:val="en-GB"/>
              </w:rPr>
              <w:t>SEED</w:t>
            </w:r>
          </w:p>
        </w:tc>
        <w:tc>
          <w:tcPr>
            <w:tcW w:w="362" w:type="pct"/>
            <w:tcBorders>
              <w:top w:val="single" w:sz="4" w:space="0" w:color="auto"/>
              <w:left w:val="single" w:sz="4" w:space="0" w:color="auto"/>
              <w:bottom w:val="single" w:sz="4" w:space="0" w:color="auto"/>
              <w:right w:val="single" w:sz="4" w:space="0" w:color="auto"/>
            </w:tcBorders>
            <w:vAlign w:val="center"/>
            <w:hideMark/>
          </w:tcPr>
          <w:p w14:paraId="2A2E3F2D" w14:textId="77777777" w:rsidR="00906E5E" w:rsidRPr="0084045A" w:rsidRDefault="00906E5E" w:rsidP="0001137D">
            <w:pPr>
              <w:jc w:val="center"/>
              <w:rPr>
                <w:rFonts w:ascii="Arial" w:hAnsi="Arial" w:cs="Arial"/>
                <w:noProof/>
                <w:sz w:val="20"/>
                <w:szCs w:val="20"/>
                <w:lang w:val="en-GB"/>
              </w:rPr>
            </w:pPr>
            <w:r w:rsidRPr="0084045A">
              <w:rPr>
                <w:rFonts w:ascii="Arial" w:hAnsi="Arial" w:cs="Arial"/>
                <w:noProof/>
                <w:sz w:val="20"/>
                <w:szCs w:val="20"/>
                <w:lang w:val="en-GB"/>
              </w:rPr>
              <w:t>N/A</w:t>
            </w:r>
          </w:p>
        </w:tc>
        <w:tc>
          <w:tcPr>
            <w:tcW w:w="362" w:type="pc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14:paraId="4B3A78B7"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14:paraId="1D35D661"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14:paraId="356E0F2C"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14:paraId="5A48CCD8"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14:paraId="35E76DB6"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tcPr>
          <w:p w14:paraId="0A68A088"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AE34AD5" w14:textId="5AA0F709" w:rsidR="00906E5E" w:rsidRPr="0084045A" w:rsidRDefault="00BB496F" w:rsidP="0001137D">
            <w:pPr>
              <w:jc w:val="center"/>
              <w:rPr>
                <w:rFonts w:ascii="Arial" w:hAnsi="Arial" w:cs="Arial"/>
                <w:noProof/>
                <w:sz w:val="20"/>
                <w:szCs w:val="20"/>
                <w:lang w:val="en-GB"/>
              </w:rPr>
            </w:pPr>
            <w:r w:rsidRPr="0084045A">
              <w:rPr>
                <w:rFonts w:ascii="Arial" w:hAnsi="Arial" w:cs="Arial"/>
                <w:noProof/>
                <w:sz w:val="20"/>
                <w:szCs w:val="20"/>
                <w:lang w:val="en-GB"/>
              </w:rPr>
              <w:t>N/A</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CBACDE2" w14:textId="119735FF" w:rsidR="00906E5E" w:rsidRPr="0084045A" w:rsidRDefault="00BB496F" w:rsidP="0001137D">
            <w:pPr>
              <w:jc w:val="center"/>
              <w:rPr>
                <w:rFonts w:ascii="Arial" w:hAnsi="Arial" w:cs="Arial"/>
                <w:noProof/>
                <w:sz w:val="20"/>
                <w:szCs w:val="20"/>
                <w:lang w:val="en-GB"/>
              </w:rPr>
            </w:pPr>
            <w:r w:rsidRPr="0084045A">
              <w:rPr>
                <w:rFonts w:ascii="Arial" w:hAnsi="Arial" w:cs="Arial"/>
                <w:noProof/>
                <w:sz w:val="20"/>
                <w:szCs w:val="20"/>
                <w:lang w:val="en-GB"/>
              </w:rPr>
              <w:t>N/A</w:t>
            </w:r>
          </w:p>
        </w:tc>
        <w:tc>
          <w:tcPr>
            <w:tcW w:w="362" w:type="pct"/>
            <w:tcBorders>
              <w:top w:val="single" w:sz="4" w:space="0" w:color="auto"/>
              <w:left w:val="single" w:sz="4" w:space="0" w:color="auto"/>
              <w:bottom w:val="single" w:sz="4" w:space="0" w:color="auto"/>
              <w:right w:val="single" w:sz="4" w:space="0" w:color="auto"/>
            </w:tcBorders>
            <w:vAlign w:val="center"/>
            <w:hideMark/>
          </w:tcPr>
          <w:p w14:paraId="15791E5C" w14:textId="77777777" w:rsidR="00906E5E" w:rsidRPr="0084045A" w:rsidRDefault="00906E5E" w:rsidP="0001137D">
            <w:pPr>
              <w:jc w:val="center"/>
              <w:rPr>
                <w:rFonts w:ascii="Arial" w:hAnsi="Arial" w:cs="Arial"/>
                <w:noProof/>
                <w:sz w:val="20"/>
                <w:szCs w:val="20"/>
                <w:lang w:val="en-GB"/>
              </w:rPr>
            </w:pPr>
            <w:r w:rsidRPr="0084045A">
              <w:rPr>
                <w:rFonts w:ascii="Arial" w:hAnsi="Arial" w:cs="Arial"/>
                <w:noProof/>
                <w:sz w:val="20"/>
                <w:szCs w:val="20"/>
                <w:lang w:val="en-GB"/>
              </w:rPr>
              <w:t>N/A</w:t>
            </w:r>
          </w:p>
        </w:tc>
        <w:tc>
          <w:tcPr>
            <w:tcW w:w="725" w:type="pct"/>
            <w:tcBorders>
              <w:top w:val="single" w:sz="4" w:space="0" w:color="auto"/>
              <w:left w:val="single" w:sz="4" w:space="0" w:color="auto"/>
              <w:bottom w:val="single" w:sz="4" w:space="0" w:color="auto"/>
              <w:right w:val="single" w:sz="4" w:space="0" w:color="auto"/>
            </w:tcBorders>
            <w:vAlign w:val="center"/>
            <w:hideMark/>
          </w:tcPr>
          <w:p w14:paraId="628E7F4B" w14:textId="7053ED08" w:rsidR="00906E5E" w:rsidRPr="0084045A" w:rsidRDefault="00F8418E" w:rsidP="0001137D">
            <w:pPr>
              <w:rPr>
                <w:rFonts w:ascii="Arial" w:hAnsi="Arial" w:cs="Arial"/>
                <w:noProof/>
                <w:sz w:val="20"/>
                <w:szCs w:val="20"/>
                <w:lang w:val="en-GB"/>
              </w:rPr>
            </w:pPr>
            <w:r w:rsidRPr="0084045A">
              <w:rPr>
                <w:rFonts w:ascii="Arial" w:hAnsi="Arial" w:cs="Arial"/>
                <w:noProof/>
                <w:sz w:val="20"/>
                <w:szCs w:val="20"/>
                <w:lang w:val="en-GB"/>
              </w:rPr>
              <w:t>Registry of d</w:t>
            </w:r>
            <w:r w:rsidR="00906E5E" w:rsidRPr="0084045A">
              <w:rPr>
                <w:rFonts w:ascii="Arial" w:hAnsi="Arial" w:cs="Arial"/>
                <w:noProof/>
                <w:sz w:val="20"/>
                <w:szCs w:val="20"/>
                <w:lang w:val="en-GB"/>
              </w:rPr>
              <w:t xml:space="preserve">eaths </w:t>
            </w:r>
          </w:p>
        </w:tc>
      </w:tr>
      <w:tr w:rsidR="00F8418E" w:rsidRPr="0084045A" w14:paraId="30FE335B" w14:textId="77777777" w:rsidTr="00464E0F">
        <w:trPr>
          <w:trHeight w:hRule="exact" w:val="838"/>
          <w:jc w:val="center"/>
        </w:trPr>
        <w:tc>
          <w:tcPr>
            <w:tcW w:w="656" w:type="pct"/>
            <w:tcBorders>
              <w:top w:val="single" w:sz="4" w:space="0" w:color="auto"/>
              <w:left w:val="single" w:sz="4" w:space="0" w:color="auto"/>
              <w:bottom w:val="single" w:sz="4" w:space="0" w:color="auto"/>
              <w:right w:val="single" w:sz="4" w:space="0" w:color="auto"/>
            </w:tcBorders>
            <w:vAlign w:val="center"/>
            <w:hideMark/>
          </w:tcPr>
          <w:p w14:paraId="607CC605" w14:textId="77777777" w:rsidR="00906E5E" w:rsidRPr="0084045A" w:rsidRDefault="00906E5E" w:rsidP="0001137D">
            <w:pPr>
              <w:rPr>
                <w:rFonts w:ascii="Arial" w:hAnsi="Arial" w:cs="Arial"/>
                <w:noProof/>
                <w:sz w:val="20"/>
                <w:szCs w:val="20"/>
                <w:lang w:val="en-GB"/>
              </w:rPr>
            </w:pPr>
            <w:r w:rsidRPr="0084045A">
              <w:rPr>
                <w:rFonts w:ascii="Arial" w:hAnsi="Arial" w:cs="Arial"/>
                <w:noProof/>
                <w:sz w:val="20"/>
                <w:szCs w:val="20"/>
                <w:lang w:val="en-GB"/>
              </w:rPr>
              <w:t>SAEH</w:t>
            </w:r>
          </w:p>
        </w:tc>
        <w:tc>
          <w:tcPr>
            <w:tcW w:w="362" w:type="pct"/>
            <w:tcBorders>
              <w:top w:val="single" w:sz="4" w:space="0" w:color="auto"/>
              <w:left w:val="single" w:sz="4" w:space="0" w:color="auto"/>
              <w:bottom w:val="single" w:sz="4" w:space="0" w:color="auto"/>
              <w:right w:val="single" w:sz="4" w:space="0" w:color="auto"/>
            </w:tcBorders>
            <w:vAlign w:val="center"/>
            <w:hideMark/>
          </w:tcPr>
          <w:p w14:paraId="2DC596F1" w14:textId="77777777" w:rsidR="00906E5E" w:rsidRPr="0084045A" w:rsidRDefault="00906E5E" w:rsidP="0001137D">
            <w:pPr>
              <w:jc w:val="center"/>
              <w:rPr>
                <w:rFonts w:ascii="Arial" w:hAnsi="Arial" w:cs="Arial"/>
                <w:noProof/>
                <w:sz w:val="20"/>
                <w:szCs w:val="20"/>
                <w:lang w:val="en-GB"/>
              </w:rPr>
            </w:pPr>
            <w:r w:rsidRPr="0084045A">
              <w:rPr>
                <w:rFonts w:ascii="Arial" w:hAnsi="Arial" w:cs="Arial"/>
                <w:noProof/>
                <w:sz w:val="20"/>
                <w:szCs w:val="20"/>
                <w:lang w:val="en-GB"/>
              </w:rPr>
              <w:t>N/A</w:t>
            </w:r>
          </w:p>
        </w:tc>
        <w:tc>
          <w:tcPr>
            <w:tcW w:w="362" w:type="pct"/>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103C6F53"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79877979"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5D4C0B3F"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49584621"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5A873C73"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1126E72A" w14:textId="77777777"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1C7EF281" w14:textId="59AD40C9" w:rsidR="00906E5E" w:rsidRPr="0084045A" w:rsidRDefault="00906E5E" w:rsidP="0001137D">
            <w:pPr>
              <w:jc w:val="center"/>
              <w:rPr>
                <w:rFonts w:ascii="Arial" w:hAnsi="Arial" w:cs="Arial"/>
                <w:noProof/>
                <w:sz w:val="20"/>
                <w:szCs w:val="20"/>
                <w:lang w:val="en-GB"/>
              </w:rPr>
            </w:pPr>
          </w:p>
        </w:tc>
        <w:tc>
          <w:tcPr>
            <w:tcW w:w="362" w:type="pct"/>
            <w:tcBorders>
              <w:top w:val="single" w:sz="4" w:space="0" w:color="auto"/>
              <w:left w:val="single" w:sz="4" w:space="0" w:color="auto"/>
              <w:bottom w:val="single" w:sz="4" w:space="0" w:color="auto"/>
              <w:right w:val="single" w:sz="4" w:space="0" w:color="auto"/>
            </w:tcBorders>
            <w:vAlign w:val="center"/>
            <w:hideMark/>
          </w:tcPr>
          <w:p w14:paraId="4D29F3D6" w14:textId="77777777" w:rsidR="00906E5E" w:rsidRPr="0084045A" w:rsidRDefault="00906E5E" w:rsidP="0001137D">
            <w:pPr>
              <w:jc w:val="center"/>
              <w:rPr>
                <w:rFonts w:ascii="Arial" w:hAnsi="Arial" w:cs="Arial"/>
                <w:noProof/>
                <w:sz w:val="20"/>
                <w:szCs w:val="20"/>
                <w:lang w:val="en-GB"/>
              </w:rPr>
            </w:pPr>
            <w:r w:rsidRPr="0084045A">
              <w:rPr>
                <w:rFonts w:ascii="Arial" w:hAnsi="Arial" w:cs="Arial"/>
                <w:noProof/>
                <w:sz w:val="20"/>
                <w:szCs w:val="20"/>
                <w:lang w:val="en-GB"/>
              </w:rPr>
              <w:t>N/A</w:t>
            </w:r>
          </w:p>
        </w:tc>
        <w:tc>
          <w:tcPr>
            <w:tcW w:w="362" w:type="pct"/>
            <w:tcBorders>
              <w:top w:val="single" w:sz="4" w:space="0" w:color="auto"/>
              <w:left w:val="single" w:sz="4" w:space="0" w:color="auto"/>
              <w:bottom w:val="single" w:sz="4" w:space="0" w:color="auto"/>
              <w:right w:val="single" w:sz="4" w:space="0" w:color="auto"/>
            </w:tcBorders>
            <w:vAlign w:val="center"/>
            <w:hideMark/>
          </w:tcPr>
          <w:p w14:paraId="5D7C42B0" w14:textId="77777777" w:rsidR="00906E5E" w:rsidRPr="0084045A" w:rsidRDefault="00906E5E" w:rsidP="0001137D">
            <w:pPr>
              <w:jc w:val="center"/>
              <w:rPr>
                <w:rFonts w:ascii="Arial" w:hAnsi="Arial" w:cs="Arial"/>
                <w:noProof/>
                <w:sz w:val="20"/>
                <w:szCs w:val="20"/>
                <w:lang w:val="en-GB"/>
              </w:rPr>
            </w:pPr>
            <w:r w:rsidRPr="0084045A">
              <w:rPr>
                <w:rFonts w:ascii="Arial" w:hAnsi="Arial" w:cs="Arial"/>
                <w:noProof/>
                <w:sz w:val="20"/>
                <w:szCs w:val="20"/>
                <w:lang w:val="en-GB"/>
              </w:rPr>
              <w:t>N/A</w:t>
            </w:r>
          </w:p>
        </w:tc>
        <w:tc>
          <w:tcPr>
            <w:tcW w:w="725" w:type="pct"/>
            <w:tcBorders>
              <w:top w:val="single" w:sz="4" w:space="0" w:color="auto"/>
              <w:left w:val="single" w:sz="4" w:space="0" w:color="auto"/>
              <w:bottom w:val="single" w:sz="4" w:space="0" w:color="auto"/>
              <w:right w:val="single" w:sz="4" w:space="0" w:color="auto"/>
            </w:tcBorders>
            <w:vAlign w:val="center"/>
            <w:hideMark/>
          </w:tcPr>
          <w:p w14:paraId="03175400" w14:textId="578517F7" w:rsidR="00906E5E" w:rsidRPr="0084045A" w:rsidRDefault="00F8418E" w:rsidP="0001137D">
            <w:pPr>
              <w:rPr>
                <w:rFonts w:ascii="Arial" w:hAnsi="Arial" w:cs="Arial"/>
                <w:noProof/>
                <w:sz w:val="20"/>
                <w:szCs w:val="20"/>
                <w:lang w:val="en-GB"/>
              </w:rPr>
            </w:pPr>
            <w:r w:rsidRPr="0084045A">
              <w:rPr>
                <w:rFonts w:ascii="Arial" w:hAnsi="Arial" w:cs="Arial"/>
                <w:noProof/>
                <w:sz w:val="20"/>
                <w:szCs w:val="20"/>
                <w:lang w:val="en-GB"/>
              </w:rPr>
              <w:t>Registry of hospital d</w:t>
            </w:r>
            <w:r w:rsidR="00906E5E" w:rsidRPr="0084045A">
              <w:rPr>
                <w:rFonts w:ascii="Arial" w:hAnsi="Arial" w:cs="Arial"/>
                <w:noProof/>
                <w:sz w:val="20"/>
                <w:szCs w:val="20"/>
                <w:lang w:val="en-GB"/>
              </w:rPr>
              <w:t>ischarges</w:t>
            </w:r>
          </w:p>
        </w:tc>
      </w:tr>
    </w:tbl>
    <w:p w14:paraId="2304FC1C" w14:textId="77777777" w:rsidR="00906E5E" w:rsidRPr="0084045A" w:rsidRDefault="00906E5E" w:rsidP="00464E0F">
      <w:pPr>
        <w:spacing w:after="0" w:line="240" w:lineRule="auto"/>
        <w:rPr>
          <w:rFonts w:ascii="Arial" w:hAnsi="Arial" w:cs="Arial"/>
          <w:noProof/>
          <w:sz w:val="20"/>
          <w:szCs w:val="20"/>
          <w:lang w:val="en-GB"/>
        </w:rPr>
      </w:pPr>
      <w:r w:rsidRPr="0084045A">
        <w:rPr>
          <w:rFonts w:ascii="Arial" w:hAnsi="Arial" w:cs="Arial"/>
          <w:noProof/>
          <w:sz w:val="20"/>
          <w:szCs w:val="20"/>
          <w:lang w:val="en-GB"/>
        </w:rPr>
        <w:t>Abbreviations: N/A, not available; SAEH, Automated Hospital Discharge System; SEED, National Death Epidemiological and Statistics Subsystem; SISVEFLU: Mexico’s Influenza Surveillance System</w:t>
      </w:r>
    </w:p>
    <w:p w14:paraId="56546670" w14:textId="77777777" w:rsidR="00906E5E" w:rsidRPr="0084045A" w:rsidRDefault="00906E5E">
      <w:pPr>
        <w:rPr>
          <w:rFonts w:ascii="Arial" w:eastAsiaTheme="majorEastAsia" w:hAnsi="Arial" w:cstheme="majorBidi"/>
          <w:b/>
          <w:i/>
          <w:noProof/>
          <w:szCs w:val="26"/>
          <w:lang w:val="en-GB"/>
        </w:rPr>
      </w:pPr>
      <w:r w:rsidRPr="0084045A">
        <w:rPr>
          <w:noProof/>
          <w:lang w:val="en-GB"/>
        </w:rPr>
        <w:br w:type="page"/>
      </w:r>
    </w:p>
    <w:p w14:paraId="34441953" w14:textId="131FC518" w:rsidR="001A502F" w:rsidRPr="0084045A" w:rsidRDefault="001A502F" w:rsidP="00512905">
      <w:pPr>
        <w:pStyle w:val="Ttulo2"/>
        <w:rPr>
          <w:noProof/>
          <w:lang w:val="en-GB"/>
        </w:rPr>
      </w:pPr>
      <w:r w:rsidRPr="0084045A">
        <w:rPr>
          <w:noProof/>
          <w:lang w:val="en-GB"/>
        </w:rPr>
        <w:lastRenderedPageBreak/>
        <w:t xml:space="preserve">Table </w:t>
      </w:r>
      <w:r w:rsidR="00E7590C" w:rsidRPr="0084045A">
        <w:rPr>
          <w:noProof/>
          <w:lang w:val="en-GB"/>
        </w:rPr>
        <w:t>S1.</w:t>
      </w:r>
      <w:r w:rsidR="001B7D46" w:rsidRPr="0084045A">
        <w:rPr>
          <w:noProof/>
          <w:lang w:val="en-GB"/>
        </w:rPr>
        <w:t>2</w:t>
      </w:r>
      <w:r w:rsidRPr="0084045A">
        <w:rPr>
          <w:noProof/>
          <w:lang w:val="en-GB"/>
        </w:rPr>
        <w:t>. Influenza cases per 100,000</w:t>
      </w:r>
      <w:r w:rsidR="00E31A7B" w:rsidRPr="0084045A">
        <w:rPr>
          <w:noProof/>
          <w:lang w:val="en-GB"/>
        </w:rPr>
        <w:t xml:space="preserve"> people</w:t>
      </w:r>
      <w:r w:rsidRPr="0084045A">
        <w:rPr>
          <w:noProof/>
          <w:lang w:val="en-GB"/>
        </w:rPr>
        <w:t xml:space="preserve"> in the United States by age group</w:t>
      </w:r>
    </w:p>
    <w:p w14:paraId="2867E9D5" w14:textId="290F0229" w:rsidR="00364C3E" w:rsidRPr="0084045A" w:rsidRDefault="00364C3E" w:rsidP="00364C3E">
      <w:pPr>
        <w:jc w:val="both"/>
        <w:rPr>
          <w:noProof/>
          <w:lang w:val="en-GB"/>
        </w:rPr>
      </w:pPr>
    </w:p>
    <w:tbl>
      <w:tblPr>
        <w:tblW w:w="4965"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655"/>
        <w:gridCol w:w="1537"/>
        <w:gridCol w:w="1537"/>
        <w:gridCol w:w="1537"/>
        <w:gridCol w:w="1537"/>
        <w:gridCol w:w="1535"/>
      </w:tblGrid>
      <w:tr w:rsidR="00364C3E" w:rsidRPr="0084045A" w14:paraId="7C4D15D2" w14:textId="77777777" w:rsidTr="00512905">
        <w:trPr>
          <w:trHeight w:val="715"/>
          <w:jc w:val="center"/>
        </w:trPr>
        <w:tc>
          <w:tcPr>
            <w:tcW w:w="886" w:type="pct"/>
            <w:tcBorders>
              <w:bottom w:val="single" w:sz="4" w:space="0" w:color="auto"/>
            </w:tcBorders>
            <w:shd w:val="clear" w:color="auto" w:fill="auto"/>
            <w:noWrap/>
            <w:vAlign w:val="center"/>
            <w:hideMark/>
          </w:tcPr>
          <w:p w14:paraId="2EF7647E" w14:textId="51320067" w:rsidR="00364C3E" w:rsidRPr="0084045A" w:rsidRDefault="001A502F" w:rsidP="00F82804">
            <w:pPr>
              <w:spacing w:after="0" w:line="240" w:lineRule="auto"/>
              <w:jc w:val="center"/>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Season</w:t>
            </w:r>
          </w:p>
        </w:tc>
        <w:tc>
          <w:tcPr>
            <w:tcW w:w="823" w:type="pct"/>
            <w:tcBorders>
              <w:bottom w:val="single" w:sz="4" w:space="0" w:color="auto"/>
            </w:tcBorders>
            <w:shd w:val="clear" w:color="auto" w:fill="auto"/>
            <w:noWrap/>
            <w:vAlign w:val="center"/>
            <w:hideMark/>
          </w:tcPr>
          <w:p w14:paraId="63D7068B" w14:textId="44D8F03A" w:rsidR="00364C3E" w:rsidRPr="0084045A" w:rsidRDefault="001A502F" w:rsidP="00F82804">
            <w:pPr>
              <w:spacing w:after="0" w:line="240" w:lineRule="auto"/>
              <w:jc w:val="right"/>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0</w:t>
            </w:r>
            <w:r w:rsidR="00F40E1D" w:rsidRPr="0084045A">
              <w:rPr>
                <w:rFonts w:ascii="Arial" w:eastAsia="Times New Roman" w:hAnsi="Arial" w:cs="Arial"/>
                <w:b/>
                <w:noProof/>
                <w:color w:val="000000"/>
                <w:lang w:val="en-GB" w:eastAsia="es-MX"/>
              </w:rPr>
              <w:t>–</w:t>
            </w:r>
            <w:r w:rsidRPr="0084045A">
              <w:rPr>
                <w:rFonts w:ascii="Arial" w:eastAsia="Times New Roman" w:hAnsi="Arial" w:cs="Arial"/>
                <w:b/>
                <w:noProof/>
                <w:color w:val="000000"/>
                <w:lang w:val="en-GB" w:eastAsia="es-MX"/>
              </w:rPr>
              <w:t>4</w:t>
            </w:r>
            <w:r w:rsidR="00F40E1D" w:rsidRPr="0084045A">
              <w:rPr>
                <w:rFonts w:ascii="Arial" w:eastAsia="Times New Roman" w:hAnsi="Arial" w:cs="Arial"/>
                <w:b/>
                <w:noProof/>
                <w:color w:val="000000"/>
                <w:lang w:val="en-GB" w:eastAsia="es-MX"/>
              </w:rPr>
              <w:t xml:space="preserve"> years</w:t>
            </w:r>
          </w:p>
        </w:tc>
        <w:tc>
          <w:tcPr>
            <w:tcW w:w="823" w:type="pct"/>
            <w:tcBorders>
              <w:bottom w:val="single" w:sz="4" w:space="0" w:color="auto"/>
            </w:tcBorders>
            <w:shd w:val="clear" w:color="auto" w:fill="auto"/>
            <w:noWrap/>
            <w:vAlign w:val="center"/>
            <w:hideMark/>
          </w:tcPr>
          <w:p w14:paraId="4B22FB5B" w14:textId="6B93335C" w:rsidR="00364C3E" w:rsidRPr="0084045A" w:rsidRDefault="001A502F" w:rsidP="00F82804">
            <w:pPr>
              <w:spacing w:after="0" w:line="240" w:lineRule="auto"/>
              <w:jc w:val="right"/>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5–17</w:t>
            </w:r>
            <w:r w:rsidR="00F40E1D" w:rsidRPr="0084045A">
              <w:rPr>
                <w:rFonts w:ascii="Arial" w:eastAsia="Times New Roman" w:hAnsi="Arial" w:cs="Arial"/>
                <w:b/>
                <w:noProof/>
                <w:color w:val="000000"/>
                <w:lang w:val="en-GB" w:eastAsia="es-MX"/>
              </w:rPr>
              <w:t xml:space="preserve"> years</w:t>
            </w:r>
          </w:p>
        </w:tc>
        <w:tc>
          <w:tcPr>
            <w:tcW w:w="823" w:type="pct"/>
            <w:tcBorders>
              <w:bottom w:val="single" w:sz="4" w:space="0" w:color="auto"/>
            </w:tcBorders>
            <w:shd w:val="clear" w:color="auto" w:fill="auto"/>
            <w:noWrap/>
            <w:vAlign w:val="center"/>
            <w:hideMark/>
          </w:tcPr>
          <w:p w14:paraId="1811AB60" w14:textId="1935B23F" w:rsidR="00364C3E" w:rsidRPr="0084045A" w:rsidRDefault="001A502F" w:rsidP="00F82804">
            <w:pPr>
              <w:spacing w:after="0" w:line="240" w:lineRule="auto"/>
              <w:jc w:val="right"/>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18–49</w:t>
            </w:r>
            <w:r w:rsidR="00F40E1D" w:rsidRPr="0084045A">
              <w:rPr>
                <w:rFonts w:ascii="Arial" w:eastAsia="Times New Roman" w:hAnsi="Arial" w:cs="Arial"/>
                <w:b/>
                <w:noProof/>
                <w:color w:val="000000"/>
                <w:lang w:val="en-GB" w:eastAsia="es-MX"/>
              </w:rPr>
              <w:t xml:space="preserve"> years</w:t>
            </w:r>
          </w:p>
        </w:tc>
        <w:tc>
          <w:tcPr>
            <w:tcW w:w="823" w:type="pct"/>
            <w:tcBorders>
              <w:bottom w:val="single" w:sz="4" w:space="0" w:color="auto"/>
            </w:tcBorders>
            <w:shd w:val="clear" w:color="auto" w:fill="auto"/>
            <w:noWrap/>
            <w:vAlign w:val="center"/>
            <w:hideMark/>
          </w:tcPr>
          <w:p w14:paraId="78E84921" w14:textId="7A49E95B" w:rsidR="00364C3E" w:rsidRPr="0084045A" w:rsidRDefault="001A502F" w:rsidP="00F82804">
            <w:pPr>
              <w:spacing w:after="0" w:line="240" w:lineRule="auto"/>
              <w:jc w:val="right"/>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50–64</w:t>
            </w:r>
            <w:r w:rsidR="00F40E1D" w:rsidRPr="0084045A">
              <w:rPr>
                <w:rFonts w:ascii="Arial" w:eastAsia="Times New Roman" w:hAnsi="Arial" w:cs="Arial"/>
                <w:b/>
                <w:noProof/>
                <w:color w:val="000000"/>
                <w:lang w:val="en-GB" w:eastAsia="es-MX"/>
              </w:rPr>
              <w:t xml:space="preserve"> years</w:t>
            </w:r>
          </w:p>
        </w:tc>
        <w:tc>
          <w:tcPr>
            <w:tcW w:w="822" w:type="pct"/>
            <w:tcBorders>
              <w:bottom w:val="single" w:sz="4" w:space="0" w:color="auto"/>
            </w:tcBorders>
            <w:shd w:val="clear" w:color="auto" w:fill="auto"/>
            <w:noWrap/>
            <w:vAlign w:val="center"/>
            <w:hideMark/>
          </w:tcPr>
          <w:p w14:paraId="024A6D3B" w14:textId="008A52FB" w:rsidR="00364C3E" w:rsidRPr="0084045A" w:rsidRDefault="00F40E1D" w:rsidP="00F82804">
            <w:pPr>
              <w:spacing w:after="0" w:line="240" w:lineRule="auto"/>
              <w:jc w:val="right"/>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w:t>
            </w:r>
            <w:r w:rsidR="001A502F" w:rsidRPr="0084045A">
              <w:rPr>
                <w:rFonts w:ascii="Arial" w:eastAsia="Times New Roman" w:hAnsi="Arial" w:cs="Arial"/>
                <w:b/>
                <w:noProof/>
                <w:color w:val="000000"/>
                <w:lang w:val="en-GB" w:eastAsia="es-MX"/>
              </w:rPr>
              <w:t>65</w:t>
            </w:r>
            <w:r w:rsidRPr="0084045A">
              <w:rPr>
                <w:rFonts w:ascii="Arial" w:eastAsia="Times New Roman" w:hAnsi="Arial" w:cs="Arial"/>
                <w:b/>
                <w:noProof/>
                <w:color w:val="000000"/>
                <w:lang w:val="en-GB" w:eastAsia="es-MX"/>
              </w:rPr>
              <w:t xml:space="preserve"> years</w:t>
            </w:r>
            <w:r w:rsidRPr="0084045A" w:rsidDel="00F40E1D">
              <w:rPr>
                <w:rFonts w:ascii="Arial" w:eastAsia="Times New Roman" w:hAnsi="Arial" w:cs="Arial"/>
                <w:b/>
                <w:noProof/>
                <w:color w:val="000000"/>
                <w:lang w:val="en-GB" w:eastAsia="es-MX"/>
              </w:rPr>
              <w:t xml:space="preserve"> </w:t>
            </w:r>
          </w:p>
        </w:tc>
      </w:tr>
      <w:tr w:rsidR="00364C3E" w:rsidRPr="0084045A" w14:paraId="1B5E883D" w14:textId="77777777" w:rsidTr="00512905">
        <w:trPr>
          <w:trHeight w:val="402"/>
          <w:jc w:val="center"/>
        </w:trPr>
        <w:tc>
          <w:tcPr>
            <w:tcW w:w="886" w:type="pct"/>
            <w:tcBorders>
              <w:bottom w:val="nil"/>
              <w:right w:val="nil"/>
            </w:tcBorders>
            <w:shd w:val="clear" w:color="auto" w:fill="auto"/>
            <w:noWrap/>
            <w:vAlign w:val="center"/>
            <w:hideMark/>
          </w:tcPr>
          <w:p w14:paraId="344B0BA2" w14:textId="559E1184" w:rsidR="00364C3E" w:rsidRPr="0084045A" w:rsidRDefault="00364C3E" w:rsidP="00F82804">
            <w:pPr>
              <w:spacing w:after="0" w:line="240" w:lineRule="auto"/>
              <w:jc w:val="center"/>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2010</w:t>
            </w:r>
            <w:r w:rsidR="00F40E1D" w:rsidRPr="0084045A">
              <w:rPr>
                <w:rFonts w:ascii="Arial" w:eastAsia="Times New Roman" w:hAnsi="Arial" w:cs="Arial"/>
                <w:b/>
                <w:noProof/>
                <w:color w:val="000000"/>
                <w:lang w:val="en-GB" w:eastAsia="es-MX"/>
              </w:rPr>
              <w:t>–</w:t>
            </w:r>
            <w:r w:rsidRPr="0084045A">
              <w:rPr>
                <w:rFonts w:ascii="Arial" w:eastAsia="Times New Roman" w:hAnsi="Arial" w:cs="Arial"/>
                <w:b/>
                <w:noProof/>
                <w:color w:val="000000"/>
                <w:lang w:val="en-GB" w:eastAsia="es-MX"/>
              </w:rPr>
              <w:t>2011</w:t>
            </w:r>
          </w:p>
        </w:tc>
        <w:tc>
          <w:tcPr>
            <w:tcW w:w="823" w:type="pct"/>
            <w:tcBorders>
              <w:left w:val="nil"/>
              <w:bottom w:val="nil"/>
              <w:right w:val="nil"/>
            </w:tcBorders>
            <w:shd w:val="clear" w:color="auto" w:fill="auto"/>
            <w:noWrap/>
            <w:vAlign w:val="center"/>
            <w:hideMark/>
          </w:tcPr>
          <w:p w14:paraId="3E0A1773"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13,743.20</w:t>
            </w:r>
          </w:p>
        </w:tc>
        <w:tc>
          <w:tcPr>
            <w:tcW w:w="823" w:type="pct"/>
            <w:tcBorders>
              <w:left w:val="nil"/>
              <w:bottom w:val="nil"/>
              <w:right w:val="nil"/>
            </w:tcBorders>
            <w:shd w:val="clear" w:color="auto" w:fill="auto"/>
            <w:noWrap/>
            <w:vAlign w:val="center"/>
            <w:hideMark/>
          </w:tcPr>
          <w:p w14:paraId="24326933" w14:textId="2C12E6D9"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8216.60</w:t>
            </w:r>
          </w:p>
        </w:tc>
        <w:tc>
          <w:tcPr>
            <w:tcW w:w="823" w:type="pct"/>
            <w:tcBorders>
              <w:left w:val="nil"/>
              <w:bottom w:val="nil"/>
              <w:right w:val="nil"/>
            </w:tcBorders>
            <w:shd w:val="clear" w:color="auto" w:fill="auto"/>
            <w:noWrap/>
            <w:vAlign w:val="center"/>
            <w:hideMark/>
          </w:tcPr>
          <w:p w14:paraId="3CFA9BE0" w14:textId="6C2ED55E"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5468.10</w:t>
            </w:r>
          </w:p>
        </w:tc>
        <w:tc>
          <w:tcPr>
            <w:tcW w:w="823" w:type="pct"/>
            <w:tcBorders>
              <w:left w:val="nil"/>
              <w:bottom w:val="nil"/>
              <w:right w:val="nil"/>
            </w:tcBorders>
            <w:shd w:val="clear" w:color="auto" w:fill="auto"/>
            <w:noWrap/>
            <w:vAlign w:val="center"/>
            <w:hideMark/>
          </w:tcPr>
          <w:p w14:paraId="753AABC0" w14:textId="5BBC5C60"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8240.50</w:t>
            </w:r>
          </w:p>
        </w:tc>
        <w:tc>
          <w:tcPr>
            <w:tcW w:w="822" w:type="pct"/>
            <w:tcBorders>
              <w:left w:val="nil"/>
              <w:bottom w:val="nil"/>
            </w:tcBorders>
            <w:shd w:val="clear" w:color="auto" w:fill="auto"/>
            <w:noWrap/>
            <w:vAlign w:val="center"/>
            <w:hideMark/>
          </w:tcPr>
          <w:p w14:paraId="66DBDA9C" w14:textId="6430B7FF"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4521.10</w:t>
            </w:r>
          </w:p>
        </w:tc>
      </w:tr>
      <w:tr w:rsidR="00364C3E" w:rsidRPr="0084045A" w14:paraId="6A3278FE" w14:textId="77777777" w:rsidTr="00512905">
        <w:trPr>
          <w:trHeight w:val="402"/>
          <w:jc w:val="center"/>
        </w:trPr>
        <w:tc>
          <w:tcPr>
            <w:tcW w:w="886" w:type="pct"/>
            <w:tcBorders>
              <w:top w:val="nil"/>
              <w:bottom w:val="nil"/>
              <w:right w:val="nil"/>
            </w:tcBorders>
            <w:shd w:val="clear" w:color="auto" w:fill="auto"/>
            <w:noWrap/>
            <w:vAlign w:val="center"/>
            <w:hideMark/>
          </w:tcPr>
          <w:p w14:paraId="149D3F6A" w14:textId="3C0FABC5" w:rsidR="00364C3E" w:rsidRPr="0084045A" w:rsidRDefault="00364C3E" w:rsidP="00F82804">
            <w:pPr>
              <w:spacing w:after="0" w:line="240" w:lineRule="auto"/>
              <w:jc w:val="center"/>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2011</w:t>
            </w:r>
            <w:r w:rsidR="00F40E1D" w:rsidRPr="0084045A">
              <w:rPr>
                <w:rFonts w:ascii="Arial" w:eastAsia="Times New Roman" w:hAnsi="Arial" w:cs="Arial"/>
                <w:b/>
                <w:noProof/>
                <w:color w:val="000000"/>
                <w:lang w:val="en-GB" w:eastAsia="es-MX"/>
              </w:rPr>
              <w:t>–</w:t>
            </w:r>
            <w:r w:rsidRPr="0084045A">
              <w:rPr>
                <w:rFonts w:ascii="Arial" w:eastAsia="Times New Roman" w:hAnsi="Arial" w:cs="Arial"/>
                <w:b/>
                <w:noProof/>
                <w:color w:val="000000"/>
                <w:lang w:val="en-GB" w:eastAsia="es-MX"/>
              </w:rPr>
              <w:t>2012</w:t>
            </w:r>
          </w:p>
        </w:tc>
        <w:tc>
          <w:tcPr>
            <w:tcW w:w="823" w:type="pct"/>
            <w:tcBorders>
              <w:top w:val="nil"/>
              <w:left w:val="nil"/>
              <w:bottom w:val="nil"/>
              <w:right w:val="nil"/>
            </w:tcBorders>
            <w:shd w:val="clear" w:color="auto" w:fill="auto"/>
            <w:noWrap/>
            <w:vAlign w:val="center"/>
            <w:hideMark/>
          </w:tcPr>
          <w:p w14:paraId="6F968246" w14:textId="403D8141"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4697.10</w:t>
            </w:r>
          </w:p>
        </w:tc>
        <w:tc>
          <w:tcPr>
            <w:tcW w:w="823" w:type="pct"/>
            <w:tcBorders>
              <w:top w:val="nil"/>
              <w:left w:val="nil"/>
              <w:bottom w:val="nil"/>
              <w:right w:val="nil"/>
            </w:tcBorders>
            <w:shd w:val="clear" w:color="auto" w:fill="auto"/>
            <w:noWrap/>
            <w:vAlign w:val="center"/>
            <w:hideMark/>
          </w:tcPr>
          <w:p w14:paraId="7C109D2E" w14:textId="1294688B"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3711.80</w:t>
            </w:r>
          </w:p>
        </w:tc>
        <w:tc>
          <w:tcPr>
            <w:tcW w:w="823" w:type="pct"/>
            <w:tcBorders>
              <w:top w:val="nil"/>
              <w:left w:val="nil"/>
              <w:bottom w:val="nil"/>
              <w:right w:val="nil"/>
            </w:tcBorders>
            <w:shd w:val="clear" w:color="auto" w:fill="auto"/>
            <w:noWrap/>
            <w:vAlign w:val="center"/>
            <w:hideMark/>
          </w:tcPr>
          <w:p w14:paraId="246AE154" w14:textId="627B4C60"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2564.20</w:t>
            </w:r>
          </w:p>
        </w:tc>
        <w:tc>
          <w:tcPr>
            <w:tcW w:w="823" w:type="pct"/>
            <w:tcBorders>
              <w:top w:val="nil"/>
              <w:left w:val="nil"/>
              <w:bottom w:val="nil"/>
              <w:right w:val="nil"/>
            </w:tcBorders>
            <w:shd w:val="clear" w:color="auto" w:fill="auto"/>
            <w:noWrap/>
            <w:vAlign w:val="center"/>
            <w:hideMark/>
          </w:tcPr>
          <w:p w14:paraId="3353117C" w14:textId="2F2DDB56"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3181.40</w:t>
            </w:r>
          </w:p>
        </w:tc>
        <w:tc>
          <w:tcPr>
            <w:tcW w:w="822" w:type="pct"/>
            <w:tcBorders>
              <w:top w:val="nil"/>
              <w:left w:val="nil"/>
              <w:bottom w:val="nil"/>
            </w:tcBorders>
            <w:shd w:val="clear" w:color="auto" w:fill="auto"/>
            <w:noWrap/>
            <w:vAlign w:val="center"/>
            <w:hideMark/>
          </w:tcPr>
          <w:p w14:paraId="14D27DD8" w14:textId="0D4451A1"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2333.60</w:t>
            </w:r>
          </w:p>
        </w:tc>
      </w:tr>
      <w:tr w:rsidR="00364C3E" w:rsidRPr="0084045A" w14:paraId="3F6D6142" w14:textId="77777777" w:rsidTr="00512905">
        <w:trPr>
          <w:trHeight w:val="402"/>
          <w:jc w:val="center"/>
        </w:trPr>
        <w:tc>
          <w:tcPr>
            <w:tcW w:w="886" w:type="pct"/>
            <w:tcBorders>
              <w:top w:val="nil"/>
              <w:bottom w:val="nil"/>
              <w:right w:val="nil"/>
            </w:tcBorders>
            <w:shd w:val="clear" w:color="auto" w:fill="auto"/>
            <w:noWrap/>
            <w:vAlign w:val="center"/>
            <w:hideMark/>
          </w:tcPr>
          <w:p w14:paraId="2D58AAF3" w14:textId="10FC49BC" w:rsidR="00364C3E" w:rsidRPr="0084045A" w:rsidRDefault="00364C3E" w:rsidP="00F82804">
            <w:pPr>
              <w:spacing w:after="0" w:line="240" w:lineRule="auto"/>
              <w:jc w:val="center"/>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2012</w:t>
            </w:r>
            <w:r w:rsidR="00F40E1D" w:rsidRPr="0084045A">
              <w:rPr>
                <w:rFonts w:ascii="Arial" w:eastAsia="Times New Roman" w:hAnsi="Arial" w:cs="Arial"/>
                <w:b/>
                <w:noProof/>
                <w:color w:val="000000"/>
                <w:lang w:val="en-GB" w:eastAsia="es-MX"/>
              </w:rPr>
              <w:t>–</w:t>
            </w:r>
            <w:r w:rsidRPr="0084045A">
              <w:rPr>
                <w:rFonts w:ascii="Arial" w:eastAsia="Times New Roman" w:hAnsi="Arial" w:cs="Arial"/>
                <w:b/>
                <w:noProof/>
                <w:color w:val="000000"/>
                <w:lang w:val="en-GB" w:eastAsia="es-MX"/>
              </w:rPr>
              <w:t>2013</w:t>
            </w:r>
          </w:p>
        </w:tc>
        <w:tc>
          <w:tcPr>
            <w:tcW w:w="823" w:type="pct"/>
            <w:tcBorders>
              <w:top w:val="nil"/>
              <w:left w:val="nil"/>
              <w:bottom w:val="nil"/>
              <w:right w:val="nil"/>
            </w:tcBorders>
            <w:shd w:val="clear" w:color="auto" w:fill="auto"/>
            <w:noWrap/>
            <w:vAlign w:val="center"/>
            <w:hideMark/>
          </w:tcPr>
          <w:p w14:paraId="3DA2FDBA"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17,820.50</w:t>
            </w:r>
          </w:p>
        </w:tc>
        <w:tc>
          <w:tcPr>
            <w:tcW w:w="823" w:type="pct"/>
            <w:tcBorders>
              <w:top w:val="nil"/>
              <w:left w:val="nil"/>
              <w:bottom w:val="nil"/>
              <w:right w:val="nil"/>
            </w:tcBorders>
            <w:shd w:val="clear" w:color="auto" w:fill="auto"/>
            <w:noWrap/>
            <w:vAlign w:val="center"/>
            <w:hideMark/>
          </w:tcPr>
          <w:p w14:paraId="30EC8D0E"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12,419.20</w:t>
            </w:r>
          </w:p>
        </w:tc>
        <w:tc>
          <w:tcPr>
            <w:tcW w:w="823" w:type="pct"/>
            <w:tcBorders>
              <w:top w:val="nil"/>
              <w:left w:val="nil"/>
              <w:bottom w:val="nil"/>
              <w:right w:val="nil"/>
            </w:tcBorders>
            <w:shd w:val="clear" w:color="auto" w:fill="auto"/>
            <w:noWrap/>
            <w:vAlign w:val="center"/>
            <w:hideMark/>
          </w:tcPr>
          <w:p w14:paraId="7DEC2CAC" w14:textId="39A56646"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8383.60</w:t>
            </w:r>
          </w:p>
        </w:tc>
        <w:tc>
          <w:tcPr>
            <w:tcW w:w="823" w:type="pct"/>
            <w:tcBorders>
              <w:top w:val="nil"/>
              <w:left w:val="nil"/>
              <w:bottom w:val="nil"/>
              <w:right w:val="nil"/>
            </w:tcBorders>
            <w:shd w:val="clear" w:color="auto" w:fill="auto"/>
            <w:noWrap/>
            <w:vAlign w:val="center"/>
            <w:hideMark/>
          </w:tcPr>
          <w:p w14:paraId="687AB379"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12,852.10</w:t>
            </w:r>
          </w:p>
        </w:tc>
        <w:tc>
          <w:tcPr>
            <w:tcW w:w="822" w:type="pct"/>
            <w:tcBorders>
              <w:top w:val="nil"/>
              <w:left w:val="nil"/>
              <w:bottom w:val="nil"/>
            </w:tcBorders>
            <w:shd w:val="clear" w:color="auto" w:fill="auto"/>
            <w:noWrap/>
            <w:vAlign w:val="center"/>
            <w:hideMark/>
          </w:tcPr>
          <w:p w14:paraId="464425DD" w14:textId="19514F05"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9712.10</w:t>
            </w:r>
          </w:p>
        </w:tc>
      </w:tr>
      <w:tr w:rsidR="00364C3E" w:rsidRPr="0084045A" w14:paraId="37ECC01B" w14:textId="77777777" w:rsidTr="00512905">
        <w:trPr>
          <w:trHeight w:val="402"/>
          <w:jc w:val="center"/>
        </w:trPr>
        <w:tc>
          <w:tcPr>
            <w:tcW w:w="886" w:type="pct"/>
            <w:tcBorders>
              <w:top w:val="nil"/>
              <w:bottom w:val="nil"/>
              <w:right w:val="nil"/>
            </w:tcBorders>
            <w:shd w:val="clear" w:color="auto" w:fill="auto"/>
            <w:noWrap/>
            <w:vAlign w:val="center"/>
            <w:hideMark/>
          </w:tcPr>
          <w:p w14:paraId="6238EFE0" w14:textId="5F512025" w:rsidR="00364C3E" w:rsidRPr="0084045A" w:rsidRDefault="00364C3E" w:rsidP="00F82804">
            <w:pPr>
              <w:spacing w:after="0" w:line="240" w:lineRule="auto"/>
              <w:jc w:val="center"/>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2013</w:t>
            </w:r>
            <w:r w:rsidR="00F40E1D" w:rsidRPr="0084045A">
              <w:rPr>
                <w:rFonts w:ascii="Arial" w:eastAsia="Times New Roman" w:hAnsi="Arial" w:cs="Arial"/>
                <w:b/>
                <w:noProof/>
                <w:color w:val="000000"/>
                <w:lang w:val="en-GB" w:eastAsia="es-MX"/>
              </w:rPr>
              <w:t>–</w:t>
            </w:r>
            <w:r w:rsidRPr="0084045A">
              <w:rPr>
                <w:rFonts w:ascii="Arial" w:eastAsia="Times New Roman" w:hAnsi="Arial" w:cs="Arial"/>
                <w:b/>
                <w:noProof/>
                <w:color w:val="000000"/>
                <w:lang w:val="en-GB" w:eastAsia="es-MX"/>
              </w:rPr>
              <w:t>2014</w:t>
            </w:r>
          </w:p>
        </w:tc>
        <w:tc>
          <w:tcPr>
            <w:tcW w:w="823" w:type="pct"/>
            <w:tcBorders>
              <w:top w:val="nil"/>
              <w:left w:val="nil"/>
              <w:bottom w:val="nil"/>
              <w:right w:val="nil"/>
            </w:tcBorders>
            <w:shd w:val="clear" w:color="auto" w:fill="auto"/>
            <w:noWrap/>
            <w:vAlign w:val="center"/>
            <w:hideMark/>
          </w:tcPr>
          <w:p w14:paraId="3D57487B"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12,711.70</w:t>
            </w:r>
          </w:p>
        </w:tc>
        <w:tc>
          <w:tcPr>
            <w:tcW w:w="823" w:type="pct"/>
            <w:tcBorders>
              <w:top w:val="nil"/>
              <w:left w:val="nil"/>
              <w:bottom w:val="nil"/>
              <w:right w:val="nil"/>
            </w:tcBorders>
            <w:shd w:val="clear" w:color="auto" w:fill="auto"/>
            <w:noWrap/>
            <w:vAlign w:val="center"/>
            <w:hideMark/>
          </w:tcPr>
          <w:p w14:paraId="588463EF" w14:textId="464B2786"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7416.10</w:t>
            </w:r>
          </w:p>
        </w:tc>
        <w:tc>
          <w:tcPr>
            <w:tcW w:w="823" w:type="pct"/>
            <w:tcBorders>
              <w:top w:val="nil"/>
              <w:left w:val="nil"/>
              <w:bottom w:val="nil"/>
              <w:right w:val="nil"/>
            </w:tcBorders>
            <w:shd w:val="clear" w:color="auto" w:fill="auto"/>
            <w:noWrap/>
            <w:vAlign w:val="center"/>
            <w:hideMark/>
          </w:tcPr>
          <w:p w14:paraId="69FAAC13" w14:textId="4C3811BA"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9589.60</w:t>
            </w:r>
          </w:p>
        </w:tc>
        <w:tc>
          <w:tcPr>
            <w:tcW w:w="823" w:type="pct"/>
            <w:tcBorders>
              <w:top w:val="nil"/>
              <w:left w:val="nil"/>
              <w:bottom w:val="nil"/>
              <w:right w:val="nil"/>
            </w:tcBorders>
            <w:shd w:val="clear" w:color="auto" w:fill="auto"/>
            <w:noWrap/>
            <w:vAlign w:val="center"/>
            <w:hideMark/>
          </w:tcPr>
          <w:p w14:paraId="50A85674"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13,712.90</w:t>
            </w:r>
          </w:p>
        </w:tc>
        <w:tc>
          <w:tcPr>
            <w:tcW w:w="822" w:type="pct"/>
            <w:tcBorders>
              <w:top w:val="nil"/>
              <w:left w:val="nil"/>
              <w:bottom w:val="nil"/>
            </w:tcBorders>
            <w:shd w:val="clear" w:color="auto" w:fill="auto"/>
            <w:noWrap/>
            <w:vAlign w:val="center"/>
            <w:hideMark/>
          </w:tcPr>
          <w:p w14:paraId="65097C27" w14:textId="1E0CE271"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3819.30</w:t>
            </w:r>
          </w:p>
        </w:tc>
      </w:tr>
      <w:tr w:rsidR="00364C3E" w:rsidRPr="0084045A" w14:paraId="75FBB54E" w14:textId="77777777" w:rsidTr="00512905">
        <w:trPr>
          <w:trHeight w:val="402"/>
          <w:jc w:val="center"/>
        </w:trPr>
        <w:tc>
          <w:tcPr>
            <w:tcW w:w="886" w:type="pct"/>
            <w:tcBorders>
              <w:top w:val="nil"/>
              <w:bottom w:val="nil"/>
              <w:right w:val="nil"/>
            </w:tcBorders>
            <w:shd w:val="clear" w:color="auto" w:fill="auto"/>
            <w:noWrap/>
            <w:vAlign w:val="center"/>
            <w:hideMark/>
          </w:tcPr>
          <w:p w14:paraId="1092A0C8" w14:textId="6F57C2AB" w:rsidR="00364C3E" w:rsidRPr="0084045A" w:rsidRDefault="00364C3E" w:rsidP="00F82804">
            <w:pPr>
              <w:spacing w:after="0" w:line="240" w:lineRule="auto"/>
              <w:jc w:val="center"/>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2014</w:t>
            </w:r>
            <w:r w:rsidR="00F40E1D" w:rsidRPr="0084045A">
              <w:rPr>
                <w:rFonts w:ascii="Arial" w:eastAsia="Times New Roman" w:hAnsi="Arial" w:cs="Arial"/>
                <w:b/>
                <w:noProof/>
                <w:color w:val="000000"/>
                <w:lang w:val="en-GB" w:eastAsia="es-MX"/>
              </w:rPr>
              <w:t>–</w:t>
            </w:r>
            <w:r w:rsidRPr="0084045A">
              <w:rPr>
                <w:rFonts w:ascii="Arial" w:eastAsia="Times New Roman" w:hAnsi="Arial" w:cs="Arial"/>
                <w:b/>
                <w:noProof/>
                <w:color w:val="000000"/>
                <w:lang w:val="en-GB" w:eastAsia="es-MX"/>
              </w:rPr>
              <w:t>2015</w:t>
            </w:r>
          </w:p>
        </w:tc>
        <w:tc>
          <w:tcPr>
            <w:tcW w:w="823" w:type="pct"/>
            <w:tcBorders>
              <w:top w:val="nil"/>
              <w:left w:val="nil"/>
              <w:bottom w:val="nil"/>
              <w:right w:val="nil"/>
            </w:tcBorders>
            <w:shd w:val="clear" w:color="auto" w:fill="auto"/>
            <w:noWrap/>
            <w:vAlign w:val="center"/>
            <w:hideMark/>
          </w:tcPr>
          <w:p w14:paraId="642ECB61" w14:textId="77777777" w:rsidR="00364C3E" w:rsidRPr="0084045A" w:rsidRDefault="00364C3E" w:rsidP="001A502F">
            <w:pPr>
              <w:spacing w:after="0" w:line="240" w:lineRule="auto"/>
              <w:ind w:hanging="65"/>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16,135.90</w:t>
            </w:r>
          </w:p>
        </w:tc>
        <w:tc>
          <w:tcPr>
            <w:tcW w:w="823" w:type="pct"/>
            <w:tcBorders>
              <w:top w:val="nil"/>
              <w:left w:val="nil"/>
              <w:bottom w:val="nil"/>
              <w:right w:val="nil"/>
            </w:tcBorders>
            <w:shd w:val="clear" w:color="auto" w:fill="auto"/>
            <w:noWrap/>
            <w:vAlign w:val="center"/>
            <w:hideMark/>
          </w:tcPr>
          <w:p w14:paraId="723D4750"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11,895.00</w:t>
            </w:r>
          </w:p>
        </w:tc>
        <w:tc>
          <w:tcPr>
            <w:tcW w:w="823" w:type="pct"/>
            <w:tcBorders>
              <w:top w:val="nil"/>
              <w:left w:val="nil"/>
              <w:bottom w:val="nil"/>
              <w:right w:val="nil"/>
            </w:tcBorders>
            <w:shd w:val="clear" w:color="auto" w:fill="auto"/>
            <w:noWrap/>
            <w:vAlign w:val="center"/>
            <w:hideMark/>
          </w:tcPr>
          <w:p w14:paraId="33E5CAAA" w14:textId="14D40E1D"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6310.30</w:t>
            </w:r>
          </w:p>
        </w:tc>
        <w:tc>
          <w:tcPr>
            <w:tcW w:w="823" w:type="pct"/>
            <w:tcBorders>
              <w:top w:val="nil"/>
              <w:left w:val="nil"/>
              <w:bottom w:val="nil"/>
              <w:right w:val="nil"/>
            </w:tcBorders>
            <w:shd w:val="clear" w:color="auto" w:fill="auto"/>
            <w:noWrap/>
            <w:vAlign w:val="center"/>
            <w:hideMark/>
          </w:tcPr>
          <w:p w14:paraId="119CA651"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11,626.40</w:t>
            </w:r>
          </w:p>
        </w:tc>
        <w:tc>
          <w:tcPr>
            <w:tcW w:w="822" w:type="pct"/>
            <w:tcBorders>
              <w:top w:val="nil"/>
              <w:left w:val="nil"/>
              <w:bottom w:val="nil"/>
            </w:tcBorders>
            <w:shd w:val="clear" w:color="auto" w:fill="auto"/>
            <w:noWrap/>
            <w:vAlign w:val="center"/>
            <w:hideMark/>
          </w:tcPr>
          <w:p w14:paraId="41A51AA3"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10,120.20</w:t>
            </w:r>
          </w:p>
        </w:tc>
      </w:tr>
      <w:tr w:rsidR="00364C3E" w:rsidRPr="0084045A" w14:paraId="51A1E766" w14:textId="77777777" w:rsidTr="00512905">
        <w:trPr>
          <w:trHeight w:val="402"/>
          <w:jc w:val="center"/>
        </w:trPr>
        <w:tc>
          <w:tcPr>
            <w:tcW w:w="886" w:type="pct"/>
            <w:tcBorders>
              <w:top w:val="nil"/>
              <w:bottom w:val="nil"/>
              <w:right w:val="nil"/>
            </w:tcBorders>
            <w:shd w:val="clear" w:color="auto" w:fill="auto"/>
            <w:noWrap/>
            <w:vAlign w:val="center"/>
            <w:hideMark/>
          </w:tcPr>
          <w:p w14:paraId="54676639" w14:textId="262E28E8" w:rsidR="00364C3E" w:rsidRPr="0084045A" w:rsidRDefault="00364C3E" w:rsidP="00F82804">
            <w:pPr>
              <w:spacing w:after="0" w:line="240" w:lineRule="auto"/>
              <w:jc w:val="center"/>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2015</w:t>
            </w:r>
            <w:r w:rsidR="00F40E1D" w:rsidRPr="0084045A">
              <w:rPr>
                <w:rFonts w:ascii="Arial" w:eastAsia="Times New Roman" w:hAnsi="Arial" w:cs="Arial"/>
                <w:b/>
                <w:noProof/>
                <w:color w:val="000000"/>
                <w:lang w:val="en-GB" w:eastAsia="es-MX"/>
              </w:rPr>
              <w:t>–</w:t>
            </w:r>
            <w:r w:rsidRPr="0084045A">
              <w:rPr>
                <w:rFonts w:ascii="Arial" w:eastAsia="Times New Roman" w:hAnsi="Arial" w:cs="Arial"/>
                <w:b/>
                <w:noProof/>
                <w:color w:val="000000"/>
                <w:lang w:val="en-GB" w:eastAsia="es-MX"/>
              </w:rPr>
              <w:t>2016</w:t>
            </w:r>
          </w:p>
        </w:tc>
        <w:tc>
          <w:tcPr>
            <w:tcW w:w="823" w:type="pct"/>
            <w:tcBorders>
              <w:top w:val="nil"/>
              <w:left w:val="nil"/>
              <w:bottom w:val="nil"/>
              <w:right w:val="nil"/>
            </w:tcBorders>
            <w:shd w:val="clear" w:color="auto" w:fill="auto"/>
            <w:noWrap/>
            <w:vAlign w:val="center"/>
            <w:hideMark/>
          </w:tcPr>
          <w:p w14:paraId="1DC98056"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11,498.70</w:t>
            </w:r>
          </w:p>
        </w:tc>
        <w:tc>
          <w:tcPr>
            <w:tcW w:w="823" w:type="pct"/>
            <w:tcBorders>
              <w:top w:val="nil"/>
              <w:left w:val="nil"/>
              <w:bottom w:val="nil"/>
              <w:right w:val="nil"/>
            </w:tcBorders>
            <w:shd w:val="clear" w:color="auto" w:fill="auto"/>
            <w:noWrap/>
            <w:vAlign w:val="center"/>
            <w:hideMark/>
          </w:tcPr>
          <w:p w14:paraId="564D1EBC" w14:textId="53E412DD"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8094.10</w:t>
            </w:r>
          </w:p>
        </w:tc>
        <w:tc>
          <w:tcPr>
            <w:tcW w:w="823" w:type="pct"/>
            <w:tcBorders>
              <w:top w:val="nil"/>
              <w:left w:val="nil"/>
              <w:bottom w:val="nil"/>
              <w:right w:val="nil"/>
            </w:tcBorders>
            <w:shd w:val="clear" w:color="auto" w:fill="auto"/>
            <w:noWrap/>
            <w:vAlign w:val="center"/>
            <w:hideMark/>
          </w:tcPr>
          <w:p w14:paraId="67A0F4AD" w14:textId="6FB4862B"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7390.70</w:t>
            </w:r>
          </w:p>
        </w:tc>
        <w:tc>
          <w:tcPr>
            <w:tcW w:w="823" w:type="pct"/>
            <w:tcBorders>
              <w:top w:val="nil"/>
              <w:left w:val="nil"/>
              <w:bottom w:val="nil"/>
              <w:right w:val="nil"/>
            </w:tcBorders>
            <w:shd w:val="clear" w:color="auto" w:fill="auto"/>
            <w:noWrap/>
            <w:vAlign w:val="center"/>
            <w:hideMark/>
          </w:tcPr>
          <w:p w14:paraId="24D77DA5"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11,200.80</w:t>
            </w:r>
          </w:p>
        </w:tc>
        <w:tc>
          <w:tcPr>
            <w:tcW w:w="822" w:type="pct"/>
            <w:tcBorders>
              <w:top w:val="nil"/>
              <w:left w:val="nil"/>
              <w:bottom w:val="nil"/>
            </w:tcBorders>
            <w:shd w:val="clear" w:color="auto" w:fill="auto"/>
            <w:noWrap/>
            <w:vAlign w:val="center"/>
            <w:hideMark/>
          </w:tcPr>
          <w:p w14:paraId="79FBF2E3" w14:textId="7B8C104F"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3460.60</w:t>
            </w:r>
          </w:p>
        </w:tc>
      </w:tr>
      <w:tr w:rsidR="00364C3E" w:rsidRPr="0084045A" w14:paraId="42988134" w14:textId="77777777" w:rsidTr="00512905">
        <w:trPr>
          <w:trHeight w:val="402"/>
          <w:jc w:val="center"/>
        </w:trPr>
        <w:tc>
          <w:tcPr>
            <w:tcW w:w="886" w:type="pct"/>
            <w:tcBorders>
              <w:top w:val="nil"/>
              <w:bottom w:val="nil"/>
              <w:right w:val="nil"/>
            </w:tcBorders>
            <w:shd w:val="clear" w:color="auto" w:fill="auto"/>
            <w:noWrap/>
            <w:vAlign w:val="center"/>
            <w:hideMark/>
          </w:tcPr>
          <w:p w14:paraId="4B37147D" w14:textId="475AAE18" w:rsidR="00364C3E" w:rsidRPr="0084045A" w:rsidRDefault="00364C3E" w:rsidP="00F82804">
            <w:pPr>
              <w:spacing w:after="0" w:line="240" w:lineRule="auto"/>
              <w:jc w:val="center"/>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2016</w:t>
            </w:r>
            <w:r w:rsidR="00F40E1D" w:rsidRPr="0084045A">
              <w:rPr>
                <w:rFonts w:ascii="Arial" w:eastAsia="Times New Roman" w:hAnsi="Arial" w:cs="Arial"/>
                <w:b/>
                <w:noProof/>
                <w:color w:val="000000"/>
                <w:lang w:val="en-GB" w:eastAsia="es-MX"/>
              </w:rPr>
              <w:t>–</w:t>
            </w:r>
            <w:r w:rsidRPr="0084045A">
              <w:rPr>
                <w:rFonts w:ascii="Arial" w:eastAsia="Times New Roman" w:hAnsi="Arial" w:cs="Arial"/>
                <w:b/>
                <w:noProof/>
                <w:color w:val="000000"/>
                <w:lang w:val="en-GB" w:eastAsia="es-MX"/>
              </w:rPr>
              <w:t>2017</w:t>
            </w:r>
          </w:p>
        </w:tc>
        <w:tc>
          <w:tcPr>
            <w:tcW w:w="823" w:type="pct"/>
            <w:tcBorders>
              <w:top w:val="nil"/>
              <w:left w:val="nil"/>
              <w:bottom w:val="nil"/>
              <w:right w:val="nil"/>
            </w:tcBorders>
            <w:shd w:val="clear" w:color="auto" w:fill="auto"/>
            <w:noWrap/>
            <w:vAlign w:val="center"/>
            <w:hideMark/>
          </w:tcPr>
          <w:p w14:paraId="1B19D07C"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11,478.30</w:t>
            </w:r>
          </w:p>
        </w:tc>
        <w:tc>
          <w:tcPr>
            <w:tcW w:w="823" w:type="pct"/>
            <w:tcBorders>
              <w:top w:val="nil"/>
              <w:left w:val="nil"/>
              <w:bottom w:val="nil"/>
              <w:right w:val="nil"/>
            </w:tcBorders>
            <w:shd w:val="clear" w:color="auto" w:fill="auto"/>
            <w:noWrap/>
            <w:vAlign w:val="center"/>
            <w:hideMark/>
          </w:tcPr>
          <w:p w14:paraId="485FED0E"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11,083.30</w:t>
            </w:r>
          </w:p>
        </w:tc>
        <w:tc>
          <w:tcPr>
            <w:tcW w:w="823" w:type="pct"/>
            <w:tcBorders>
              <w:top w:val="nil"/>
              <w:left w:val="nil"/>
              <w:bottom w:val="nil"/>
              <w:right w:val="nil"/>
            </w:tcBorders>
            <w:shd w:val="clear" w:color="auto" w:fill="auto"/>
            <w:noWrap/>
            <w:vAlign w:val="center"/>
            <w:hideMark/>
          </w:tcPr>
          <w:p w14:paraId="2315FAEB" w14:textId="7CD5B13F"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6227.90</w:t>
            </w:r>
          </w:p>
        </w:tc>
        <w:tc>
          <w:tcPr>
            <w:tcW w:w="823" w:type="pct"/>
            <w:tcBorders>
              <w:top w:val="nil"/>
              <w:left w:val="nil"/>
              <w:bottom w:val="nil"/>
              <w:right w:val="nil"/>
            </w:tcBorders>
            <w:shd w:val="clear" w:color="auto" w:fill="auto"/>
            <w:noWrap/>
            <w:vAlign w:val="center"/>
            <w:hideMark/>
          </w:tcPr>
          <w:p w14:paraId="1D47D221"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13,654.80</w:t>
            </w:r>
          </w:p>
        </w:tc>
        <w:tc>
          <w:tcPr>
            <w:tcW w:w="822" w:type="pct"/>
            <w:tcBorders>
              <w:top w:val="nil"/>
              <w:left w:val="nil"/>
              <w:bottom w:val="nil"/>
            </w:tcBorders>
            <w:shd w:val="clear" w:color="auto" w:fill="auto"/>
            <w:noWrap/>
            <w:vAlign w:val="center"/>
            <w:hideMark/>
          </w:tcPr>
          <w:p w14:paraId="6754FDC6" w14:textId="2CFDB89F"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9013.80</w:t>
            </w:r>
          </w:p>
        </w:tc>
      </w:tr>
      <w:tr w:rsidR="00364C3E" w:rsidRPr="0084045A" w14:paraId="4E5DE4CD" w14:textId="77777777" w:rsidTr="00512905">
        <w:trPr>
          <w:trHeight w:val="402"/>
          <w:jc w:val="center"/>
        </w:trPr>
        <w:tc>
          <w:tcPr>
            <w:tcW w:w="886" w:type="pct"/>
            <w:tcBorders>
              <w:top w:val="nil"/>
              <w:bottom w:val="nil"/>
              <w:right w:val="nil"/>
            </w:tcBorders>
            <w:shd w:val="clear" w:color="auto" w:fill="auto"/>
            <w:noWrap/>
            <w:vAlign w:val="center"/>
            <w:hideMark/>
          </w:tcPr>
          <w:p w14:paraId="6FA16D6C" w14:textId="1CA07378" w:rsidR="00364C3E" w:rsidRPr="0084045A" w:rsidRDefault="00364C3E" w:rsidP="00F82804">
            <w:pPr>
              <w:spacing w:after="0" w:line="240" w:lineRule="auto"/>
              <w:jc w:val="center"/>
              <w:rPr>
                <w:rFonts w:ascii="Arial" w:eastAsia="Times New Roman" w:hAnsi="Arial" w:cs="Arial"/>
                <w:b/>
                <w:noProof/>
                <w:color w:val="000000"/>
                <w:lang w:val="en-GB" w:eastAsia="es-MX"/>
              </w:rPr>
            </w:pPr>
            <w:r w:rsidRPr="0084045A">
              <w:rPr>
                <w:rFonts w:ascii="Arial" w:eastAsia="Times New Roman" w:hAnsi="Arial" w:cs="Arial"/>
                <w:b/>
                <w:noProof/>
                <w:color w:val="000000"/>
                <w:lang w:val="en-GB" w:eastAsia="es-MX"/>
              </w:rPr>
              <w:t>2017</w:t>
            </w:r>
            <w:r w:rsidR="00F40E1D" w:rsidRPr="0084045A">
              <w:rPr>
                <w:rFonts w:ascii="Arial" w:eastAsia="Times New Roman" w:hAnsi="Arial" w:cs="Arial"/>
                <w:b/>
                <w:noProof/>
                <w:color w:val="000000"/>
                <w:lang w:val="en-GB" w:eastAsia="es-MX"/>
              </w:rPr>
              <w:t>–</w:t>
            </w:r>
            <w:r w:rsidRPr="0084045A">
              <w:rPr>
                <w:rFonts w:ascii="Arial" w:eastAsia="Times New Roman" w:hAnsi="Arial" w:cs="Arial"/>
                <w:b/>
                <w:noProof/>
                <w:color w:val="000000"/>
                <w:lang w:val="en-GB" w:eastAsia="es-MX"/>
              </w:rPr>
              <w:t>2018</w:t>
            </w:r>
          </w:p>
        </w:tc>
        <w:tc>
          <w:tcPr>
            <w:tcW w:w="823" w:type="pct"/>
            <w:tcBorders>
              <w:top w:val="nil"/>
              <w:left w:val="nil"/>
              <w:bottom w:val="nil"/>
              <w:right w:val="nil"/>
            </w:tcBorders>
            <w:shd w:val="clear" w:color="auto" w:fill="auto"/>
            <w:noWrap/>
            <w:vAlign w:val="center"/>
            <w:hideMark/>
          </w:tcPr>
          <w:p w14:paraId="1EEFB7A8"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19,983.70</w:t>
            </w:r>
          </w:p>
        </w:tc>
        <w:tc>
          <w:tcPr>
            <w:tcW w:w="823" w:type="pct"/>
            <w:tcBorders>
              <w:top w:val="nil"/>
              <w:left w:val="nil"/>
              <w:bottom w:val="nil"/>
              <w:right w:val="nil"/>
            </w:tcBorders>
            <w:shd w:val="clear" w:color="auto" w:fill="auto"/>
            <w:noWrap/>
            <w:vAlign w:val="center"/>
            <w:hideMark/>
          </w:tcPr>
          <w:p w14:paraId="6D655F67"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13,985.60</w:t>
            </w:r>
          </w:p>
        </w:tc>
        <w:tc>
          <w:tcPr>
            <w:tcW w:w="823" w:type="pct"/>
            <w:tcBorders>
              <w:top w:val="nil"/>
              <w:left w:val="nil"/>
              <w:bottom w:val="nil"/>
              <w:right w:val="nil"/>
            </w:tcBorders>
            <w:shd w:val="clear" w:color="auto" w:fill="auto"/>
            <w:noWrap/>
            <w:vAlign w:val="center"/>
            <w:hideMark/>
          </w:tcPr>
          <w:p w14:paraId="6509D52C"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10,469.70</w:t>
            </w:r>
          </w:p>
        </w:tc>
        <w:tc>
          <w:tcPr>
            <w:tcW w:w="823" w:type="pct"/>
            <w:tcBorders>
              <w:top w:val="nil"/>
              <w:left w:val="nil"/>
              <w:bottom w:val="nil"/>
              <w:right w:val="nil"/>
            </w:tcBorders>
            <w:shd w:val="clear" w:color="auto" w:fill="auto"/>
            <w:noWrap/>
            <w:vAlign w:val="center"/>
            <w:hideMark/>
          </w:tcPr>
          <w:p w14:paraId="4543E269"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24,588.10</w:t>
            </w:r>
          </w:p>
        </w:tc>
        <w:tc>
          <w:tcPr>
            <w:tcW w:w="822" w:type="pct"/>
            <w:tcBorders>
              <w:top w:val="nil"/>
              <w:left w:val="nil"/>
              <w:bottom w:val="nil"/>
            </w:tcBorders>
            <w:shd w:val="clear" w:color="auto" w:fill="auto"/>
            <w:noWrap/>
            <w:vAlign w:val="center"/>
            <w:hideMark/>
          </w:tcPr>
          <w:p w14:paraId="58519F6C"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14,371.40</w:t>
            </w:r>
          </w:p>
        </w:tc>
      </w:tr>
      <w:tr w:rsidR="00364C3E" w:rsidRPr="0084045A" w14:paraId="04D4DED7" w14:textId="77777777" w:rsidTr="00512905">
        <w:trPr>
          <w:trHeight w:val="402"/>
          <w:jc w:val="center"/>
        </w:trPr>
        <w:tc>
          <w:tcPr>
            <w:tcW w:w="886" w:type="pct"/>
            <w:tcBorders>
              <w:top w:val="nil"/>
              <w:right w:val="nil"/>
            </w:tcBorders>
            <w:shd w:val="clear" w:color="auto" w:fill="auto"/>
            <w:noWrap/>
            <w:vAlign w:val="center"/>
            <w:hideMark/>
          </w:tcPr>
          <w:p w14:paraId="031F5BE7" w14:textId="057A568B" w:rsidR="00364C3E" w:rsidRPr="0084045A" w:rsidRDefault="00364C3E" w:rsidP="00F82804">
            <w:pPr>
              <w:spacing w:after="0" w:line="240" w:lineRule="auto"/>
              <w:jc w:val="center"/>
              <w:rPr>
                <w:rFonts w:ascii="Arial" w:eastAsia="Times New Roman" w:hAnsi="Arial" w:cs="Arial"/>
                <w:b/>
                <w:noProof/>
                <w:color w:val="000000"/>
                <w:vertAlign w:val="superscript"/>
                <w:lang w:val="en-GB" w:eastAsia="es-MX"/>
              </w:rPr>
            </w:pPr>
            <w:r w:rsidRPr="0084045A">
              <w:rPr>
                <w:rFonts w:ascii="Arial" w:eastAsia="Times New Roman" w:hAnsi="Arial" w:cs="Arial"/>
                <w:b/>
                <w:noProof/>
                <w:color w:val="000000"/>
                <w:lang w:val="en-GB" w:eastAsia="es-MX"/>
              </w:rPr>
              <w:t>2018–2019</w:t>
            </w:r>
            <w:r w:rsidR="00666F4C" w:rsidRPr="0084045A">
              <w:rPr>
                <w:rFonts w:ascii="Arial" w:eastAsia="Times New Roman" w:hAnsi="Arial" w:cs="Arial"/>
                <w:b/>
                <w:noProof/>
                <w:color w:val="000000"/>
                <w:vertAlign w:val="superscript"/>
                <w:lang w:val="en-GB" w:eastAsia="es-MX"/>
              </w:rPr>
              <w:t>a</w:t>
            </w:r>
          </w:p>
        </w:tc>
        <w:tc>
          <w:tcPr>
            <w:tcW w:w="823" w:type="pct"/>
            <w:tcBorders>
              <w:top w:val="nil"/>
              <w:left w:val="nil"/>
              <w:right w:val="nil"/>
            </w:tcBorders>
            <w:shd w:val="clear" w:color="auto" w:fill="auto"/>
            <w:noWrap/>
            <w:vAlign w:val="center"/>
            <w:hideMark/>
          </w:tcPr>
          <w:p w14:paraId="65154EB5"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13,508.64</w:t>
            </w:r>
          </w:p>
        </w:tc>
        <w:tc>
          <w:tcPr>
            <w:tcW w:w="823" w:type="pct"/>
            <w:tcBorders>
              <w:top w:val="nil"/>
              <w:left w:val="nil"/>
              <w:right w:val="nil"/>
            </w:tcBorders>
            <w:shd w:val="clear" w:color="auto" w:fill="auto"/>
            <w:noWrap/>
            <w:vAlign w:val="center"/>
            <w:hideMark/>
          </w:tcPr>
          <w:p w14:paraId="7D7972E2" w14:textId="4156C021"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9602.71</w:t>
            </w:r>
          </w:p>
        </w:tc>
        <w:tc>
          <w:tcPr>
            <w:tcW w:w="823" w:type="pct"/>
            <w:tcBorders>
              <w:top w:val="nil"/>
              <w:left w:val="nil"/>
              <w:right w:val="nil"/>
            </w:tcBorders>
            <w:shd w:val="clear" w:color="auto" w:fill="auto"/>
            <w:noWrap/>
            <w:vAlign w:val="center"/>
            <w:hideMark/>
          </w:tcPr>
          <w:p w14:paraId="373945FB" w14:textId="38157D38"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7050.51</w:t>
            </w:r>
          </w:p>
        </w:tc>
        <w:tc>
          <w:tcPr>
            <w:tcW w:w="823" w:type="pct"/>
            <w:tcBorders>
              <w:top w:val="nil"/>
              <w:left w:val="nil"/>
              <w:right w:val="nil"/>
            </w:tcBorders>
            <w:shd w:val="clear" w:color="auto" w:fill="auto"/>
            <w:noWrap/>
            <w:vAlign w:val="center"/>
            <w:hideMark/>
          </w:tcPr>
          <w:p w14:paraId="2B3E8E05" w14:textId="77777777"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12,382.13</w:t>
            </w:r>
          </w:p>
        </w:tc>
        <w:tc>
          <w:tcPr>
            <w:tcW w:w="822" w:type="pct"/>
            <w:tcBorders>
              <w:top w:val="nil"/>
              <w:left w:val="nil"/>
            </w:tcBorders>
            <w:shd w:val="clear" w:color="auto" w:fill="auto"/>
            <w:noWrap/>
            <w:vAlign w:val="center"/>
            <w:hideMark/>
          </w:tcPr>
          <w:p w14:paraId="19DB1582" w14:textId="2B718EE8" w:rsidR="00364C3E" w:rsidRPr="0084045A" w:rsidRDefault="00364C3E" w:rsidP="00F82804">
            <w:pPr>
              <w:spacing w:after="0" w:line="240" w:lineRule="auto"/>
              <w:jc w:val="right"/>
              <w:rPr>
                <w:rFonts w:ascii="Arial" w:eastAsia="Times New Roman" w:hAnsi="Arial" w:cs="Arial"/>
                <w:noProof/>
                <w:color w:val="000000"/>
                <w:lang w:val="en-GB" w:eastAsia="es-MX"/>
              </w:rPr>
            </w:pPr>
            <w:r w:rsidRPr="0084045A">
              <w:rPr>
                <w:rFonts w:ascii="Arial" w:eastAsia="Times New Roman" w:hAnsi="Arial" w:cs="Arial"/>
                <w:noProof/>
                <w:color w:val="000000"/>
                <w:lang w:val="en-GB" w:eastAsia="es-MX"/>
              </w:rPr>
              <w:t>7169.01</w:t>
            </w:r>
          </w:p>
        </w:tc>
      </w:tr>
    </w:tbl>
    <w:p w14:paraId="7575A3F0" w14:textId="77777777" w:rsidR="00364C3E" w:rsidRPr="0084045A" w:rsidRDefault="00364C3E" w:rsidP="00364C3E">
      <w:pPr>
        <w:spacing w:after="0" w:line="240" w:lineRule="auto"/>
        <w:jc w:val="center"/>
        <w:rPr>
          <w:rFonts w:ascii="Arial" w:hAnsi="Arial" w:cs="Arial"/>
          <w:noProof/>
          <w:color w:val="000000" w:themeColor="text1"/>
          <w:sz w:val="16"/>
          <w:szCs w:val="16"/>
          <w:lang w:val="en-GB"/>
        </w:rPr>
      </w:pPr>
    </w:p>
    <w:p w14:paraId="06D60E47" w14:textId="205B9A5C" w:rsidR="003063CA" w:rsidRPr="003B2744" w:rsidRDefault="00666F4C" w:rsidP="00512905">
      <w:pPr>
        <w:spacing w:after="0" w:line="240" w:lineRule="auto"/>
        <w:rPr>
          <w:rFonts w:ascii="Arial" w:hAnsi="Arial" w:cs="Arial"/>
          <w:noProof/>
          <w:color w:val="000000" w:themeColor="text1"/>
          <w:sz w:val="16"/>
          <w:szCs w:val="16"/>
          <w:lang w:val="en-GB"/>
        </w:rPr>
      </w:pPr>
      <w:r w:rsidRPr="003B2744">
        <w:rPr>
          <w:rFonts w:ascii="Arial" w:hAnsi="Arial" w:cs="Arial"/>
          <w:noProof/>
          <w:color w:val="000000" w:themeColor="text1"/>
          <w:sz w:val="16"/>
          <w:szCs w:val="16"/>
          <w:vertAlign w:val="superscript"/>
          <w:lang w:val="en-GB"/>
        </w:rPr>
        <w:t>a</w:t>
      </w:r>
      <w:r w:rsidR="003063CA" w:rsidRPr="003B2744">
        <w:rPr>
          <w:rFonts w:ascii="Arial" w:hAnsi="Arial" w:cs="Arial"/>
          <w:noProof/>
          <w:color w:val="000000" w:themeColor="text1"/>
          <w:sz w:val="16"/>
          <w:szCs w:val="16"/>
          <w:lang w:val="en-GB"/>
        </w:rPr>
        <w:t xml:space="preserve">Incidence for season 2018–2019 was estimated </w:t>
      </w:r>
      <w:r w:rsidR="00A335CD" w:rsidRPr="003B2744">
        <w:rPr>
          <w:rFonts w:ascii="Arial" w:hAnsi="Arial" w:cs="Arial"/>
          <w:noProof/>
          <w:color w:val="000000" w:themeColor="text1"/>
          <w:sz w:val="16"/>
          <w:szCs w:val="16"/>
          <w:lang w:val="en-GB"/>
        </w:rPr>
        <w:t xml:space="preserve">for each age group </w:t>
      </w:r>
      <w:r w:rsidR="003063CA" w:rsidRPr="003B2744">
        <w:rPr>
          <w:rFonts w:ascii="Arial" w:hAnsi="Arial" w:cs="Arial"/>
          <w:noProof/>
          <w:color w:val="000000" w:themeColor="text1"/>
          <w:sz w:val="16"/>
          <w:szCs w:val="16"/>
          <w:lang w:val="en-GB"/>
        </w:rPr>
        <w:t>as the average of seasons 2010–2011 to 2017–2018.</w:t>
      </w:r>
    </w:p>
    <w:p w14:paraId="6C2D3326" w14:textId="77777777" w:rsidR="00364C3E" w:rsidRPr="0084045A" w:rsidRDefault="00364C3E" w:rsidP="00364C3E">
      <w:pPr>
        <w:spacing w:after="0" w:line="240" w:lineRule="auto"/>
        <w:jc w:val="both"/>
        <w:rPr>
          <w:rFonts w:ascii="Arial" w:hAnsi="Arial" w:cs="Arial"/>
          <w:noProof/>
          <w:color w:val="000000" w:themeColor="text1"/>
          <w:sz w:val="20"/>
          <w:szCs w:val="20"/>
          <w:lang w:val="en-GB"/>
        </w:rPr>
      </w:pPr>
    </w:p>
    <w:p w14:paraId="0E37A3CA" w14:textId="79F9C181" w:rsidR="00364C3E" w:rsidRPr="00626DDA" w:rsidRDefault="00EB5CAC" w:rsidP="003B2744">
      <w:pPr>
        <w:spacing w:after="0" w:line="240" w:lineRule="auto"/>
        <w:jc w:val="right"/>
        <w:rPr>
          <w:rFonts w:ascii="Arial" w:hAnsi="Arial" w:cs="Arial"/>
          <w:noProof/>
          <w:color w:val="000000" w:themeColor="text1"/>
          <w:sz w:val="24"/>
          <w:szCs w:val="24"/>
          <w:lang w:val="en-GB"/>
        </w:rPr>
      </w:pPr>
      <w:r w:rsidRPr="0084045A">
        <w:rPr>
          <w:rFonts w:ascii="Arial" w:hAnsi="Arial" w:cs="Arial"/>
          <w:i/>
          <w:noProof/>
          <w:color w:val="000000" w:themeColor="text1"/>
          <w:sz w:val="20"/>
          <w:szCs w:val="20"/>
          <w:lang w:val="en-GB"/>
        </w:rPr>
        <w:t xml:space="preserve">Source: </w:t>
      </w:r>
      <w:r w:rsidRPr="003B2744">
        <w:rPr>
          <w:rFonts w:ascii="Arial" w:hAnsi="Arial" w:cs="Arial"/>
          <w:noProof/>
          <w:color w:val="000000" w:themeColor="text1"/>
          <w:sz w:val="20"/>
          <w:szCs w:val="20"/>
          <w:lang w:val="en-GB"/>
        </w:rPr>
        <w:t>Centers for Disease Control and Prevention. Disease Burden of Influenza.  https://www.cdc.gov/flu/about/burden/index.html. Accessed 18 May 2019.</w:t>
      </w:r>
    </w:p>
    <w:p w14:paraId="3709E0CA" w14:textId="77777777" w:rsidR="00364C3E" w:rsidRPr="0084045A" w:rsidRDefault="00364C3E" w:rsidP="00364C3E">
      <w:pPr>
        <w:spacing w:after="0" w:line="240" w:lineRule="auto"/>
        <w:jc w:val="both"/>
        <w:rPr>
          <w:rFonts w:ascii="Arial" w:hAnsi="Arial" w:cs="Arial"/>
          <w:noProof/>
          <w:color w:val="000000" w:themeColor="text1"/>
          <w:sz w:val="24"/>
          <w:szCs w:val="24"/>
          <w:lang w:val="en-GB"/>
        </w:rPr>
      </w:pPr>
    </w:p>
    <w:p w14:paraId="0879F68B" w14:textId="77777777" w:rsidR="004A1075" w:rsidRPr="0084045A" w:rsidRDefault="004A1075">
      <w:pPr>
        <w:rPr>
          <w:rFonts w:ascii="Arial" w:hAnsi="Arial" w:cs="Arial"/>
          <w:b/>
          <w:noProof/>
          <w:color w:val="000000" w:themeColor="text1"/>
          <w:sz w:val="24"/>
          <w:szCs w:val="24"/>
          <w:lang w:val="en-GB"/>
        </w:rPr>
      </w:pPr>
      <w:r w:rsidRPr="0084045A">
        <w:rPr>
          <w:rFonts w:ascii="Arial" w:hAnsi="Arial" w:cs="Arial"/>
          <w:b/>
          <w:noProof/>
          <w:color w:val="000000" w:themeColor="text1"/>
          <w:sz w:val="24"/>
          <w:szCs w:val="24"/>
          <w:lang w:val="en-GB"/>
        </w:rPr>
        <w:br w:type="page"/>
      </w:r>
    </w:p>
    <w:p w14:paraId="00DC667F" w14:textId="05B0A4C7" w:rsidR="00364C3E" w:rsidRPr="0084045A" w:rsidRDefault="002E3C09" w:rsidP="00512905">
      <w:pPr>
        <w:pStyle w:val="Ttulo2"/>
        <w:rPr>
          <w:noProof/>
          <w:lang w:val="en-GB"/>
        </w:rPr>
      </w:pPr>
      <w:r w:rsidRPr="0084045A">
        <w:rPr>
          <w:noProof/>
          <w:lang w:val="en-GB"/>
        </w:rPr>
        <w:lastRenderedPageBreak/>
        <w:t>Table S1.</w:t>
      </w:r>
      <w:r w:rsidR="001B7D46" w:rsidRPr="0084045A">
        <w:rPr>
          <w:noProof/>
          <w:lang w:val="en-GB"/>
        </w:rPr>
        <w:t>3</w:t>
      </w:r>
      <w:r w:rsidRPr="0084045A">
        <w:rPr>
          <w:noProof/>
          <w:lang w:val="en-GB"/>
        </w:rPr>
        <w:t>. Estim</w:t>
      </w:r>
      <w:r w:rsidR="0001137D" w:rsidRPr="0084045A">
        <w:rPr>
          <w:noProof/>
          <w:lang w:val="en-GB"/>
        </w:rPr>
        <w:t>a</w:t>
      </w:r>
      <w:r w:rsidRPr="0084045A">
        <w:rPr>
          <w:noProof/>
          <w:lang w:val="en-GB"/>
        </w:rPr>
        <w:t>tion of influenza cases in Mexico</w:t>
      </w:r>
    </w:p>
    <w:p w14:paraId="2254C5A5" w14:textId="77777777" w:rsidR="00364C3E" w:rsidRPr="0084045A" w:rsidRDefault="00364C3E" w:rsidP="00364C3E">
      <w:pPr>
        <w:spacing w:after="0" w:line="240" w:lineRule="auto"/>
        <w:jc w:val="center"/>
        <w:rPr>
          <w:rFonts w:ascii="Arial" w:hAnsi="Arial" w:cs="Arial"/>
          <w:noProof/>
          <w:color w:val="000000" w:themeColor="text1"/>
          <w:sz w:val="16"/>
          <w:szCs w:val="16"/>
          <w:lang w:val="en-GB"/>
        </w:rPr>
      </w:pPr>
    </w:p>
    <w:tbl>
      <w:tblPr>
        <w:tblW w:w="6501"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624"/>
        <w:gridCol w:w="1468"/>
        <w:gridCol w:w="1623"/>
        <w:gridCol w:w="1786"/>
      </w:tblGrid>
      <w:tr w:rsidR="00364C3E" w:rsidRPr="0084045A" w14:paraId="34C400F0" w14:textId="77777777" w:rsidTr="00512905">
        <w:trPr>
          <w:trHeight w:val="452"/>
        </w:trPr>
        <w:tc>
          <w:tcPr>
            <w:tcW w:w="1624" w:type="dxa"/>
            <w:tcBorders>
              <w:bottom w:val="single" w:sz="4" w:space="0" w:color="auto"/>
            </w:tcBorders>
            <w:shd w:val="clear" w:color="auto" w:fill="auto"/>
            <w:noWrap/>
            <w:vAlign w:val="center"/>
            <w:hideMark/>
          </w:tcPr>
          <w:p w14:paraId="3EB6FA89" w14:textId="0DA65049" w:rsidR="00364C3E" w:rsidRPr="0084045A" w:rsidRDefault="00F244EF"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Season</w:t>
            </w:r>
          </w:p>
        </w:tc>
        <w:tc>
          <w:tcPr>
            <w:tcW w:w="1467" w:type="dxa"/>
            <w:tcBorders>
              <w:bottom w:val="single" w:sz="4" w:space="0" w:color="auto"/>
            </w:tcBorders>
            <w:shd w:val="clear" w:color="auto" w:fill="auto"/>
            <w:noWrap/>
            <w:vAlign w:val="center"/>
            <w:hideMark/>
          </w:tcPr>
          <w:p w14:paraId="0CB62470" w14:textId="34B1BC99" w:rsidR="00364C3E" w:rsidRPr="0084045A" w:rsidRDefault="00F244EF" w:rsidP="00F82804">
            <w:pPr>
              <w:spacing w:after="0" w:line="240" w:lineRule="auto"/>
              <w:ind w:left="-341" w:firstLine="341"/>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Population</w:t>
            </w:r>
          </w:p>
        </w:tc>
        <w:tc>
          <w:tcPr>
            <w:tcW w:w="1623" w:type="dxa"/>
            <w:tcBorders>
              <w:bottom w:val="single" w:sz="4" w:space="0" w:color="auto"/>
            </w:tcBorders>
            <w:shd w:val="clear" w:color="auto" w:fill="auto"/>
            <w:noWrap/>
            <w:vAlign w:val="center"/>
            <w:hideMark/>
          </w:tcPr>
          <w:p w14:paraId="42A0A392" w14:textId="0CD724F7" w:rsidR="00364C3E" w:rsidRPr="0084045A" w:rsidRDefault="00F244EF"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Estimated cases</w:t>
            </w:r>
          </w:p>
        </w:tc>
        <w:tc>
          <w:tcPr>
            <w:tcW w:w="1786" w:type="dxa"/>
            <w:tcBorders>
              <w:bottom w:val="single" w:sz="4" w:space="0" w:color="auto"/>
            </w:tcBorders>
            <w:vAlign w:val="center"/>
          </w:tcPr>
          <w:p w14:paraId="049C8820" w14:textId="77777777" w:rsidR="00F244EF" w:rsidRPr="0084045A" w:rsidRDefault="00F244EF"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 xml:space="preserve">Cases </w:t>
            </w:r>
          </w:p>
          <w:p w14:paraId="22E7E189" w14:textId="041EE322" w:rsidR="00364C3E" w:rsidRPr="0084045A" w:rsidRDefault="00F244EF"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per 100,000</w:t>
            </w:r>
          </w:p>
        </w:tc>
      </w:tr>
      <w:tr w:rsidR="00364C3E" w:rsidRPr="0084045A" w14:paraId="293F5C7A" w14:textId="77777777" w:rsidTr="00512905">
        <w:trPr>
          <w:trHeight w:val="474"/>
        </w:trPr>
        <w:tc>
          <w:tcPr>
            <w:tcW w:w="1624" w:type="dxa"/>
            <w:tcBorders>
              <w:bottom w:val="nil"/>
              <w:right w:val="nil"/>
            </w:tcBorders>
            <w:shd w:val="clear" w:color="auto" w:fill="auto"/>
            <w:noWrap/>
            <w:vAlign w:val="center"/>
            <w:hideMark/>
          </w:tcPr>
          <w:p w14:paraId="5E64CB8E" w14:textId="6AAA9040"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2010</w:t>
            </w:r>
            <w:r w:rsidR="009E54AF" w:rsidRPr="0084045A">
              <w:rPr>
                <w:rFonts w:ascii="Arial" w:eastAsia="Times New Roman" w:hAnsi="Arial" w:cs="Arial"/>
                <w:b/>
                <w:bCs/>
                <w:noProof/>
                <w:color w:val="000000"/>
                <w:sz w:val="20"/>
                <w:szCs w:val="20"/>
                <w:lang w:val="en-GB" w:eastAsia="es-MX"/>
              </w:rPr>
              <w:t>–</w:t>
            </w:r>
            <w:r w:rsidRPr="0084045A">
              <w:rPr>
                <w:rFonts w:ascii="Arial" w:eastAsia="Times New Roman" w:hAnsi="Arial" w:cs="Arial"/>
                <w:b/>
                <w:bCs/>
                <w:noProof/>
                <w:color w:val="000000"/>
                <w:sz w:val="20"/>
                <w:szCs w:val="20"/>
                <w:lang w:val="en-GB" w:eastAsia="es-MX"/>
              </w:rPr>
              <w:t>2011</w:t>
            </w:r>
          </w:p>
        </w:tc>
        <w:tc>
          <w:tcPr>
            <w:tcW w:w="1467" w:type="dxa"/>
            <w:tcBorders>
              <w:left w:val="nil"/>
              <w:bottom w:val="nil"/>
              <w:right w:val="nil"/>
            </w:tcBorders>
            <w:shd w:val="clear" w:color="auto" w:fill="auto"/>
            <w:noWrap/>
            <w:vAlign w:val="center"/>
            <w:hideMark/>
          </w:tcPr>
          <w:p w14:paraId="5BE1F4A7"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114,551,762</w:t>
            </w:r>
          </w:p>
        </w:tc>
        <w:tc>
          <w:tcPr>
            <w:tcW w:w="1623" w:type="dxa"/>
            <w:tcBorders>
              <w:left w:val="nil"/>
              <w:bottom w:val="nil"/>
              <w:right w:val="nil"/>
            </w:tcBorders>
            <w:shd w:val="clear" w:color="auto" w:fill="auto"/>
            <w:noWrap/>
            <w:vAlign w:val="center"/>
            <w:hideMark/>
          </w:tcPr>
          <w:p w14:paraId="0673A45B"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8,275,119</w:t>
            </w:r>
          </w:p>
        </w:tc>
        <w:tc>
          <w:tcPr>
            <w:tcW w:w="1786" w:type="dxa"/>
            <w:tcBorders>
              <w:left w:val="nil"/>
              <w:bottom w:val="nil"/>
            </w:tcBorders>
            <w:vAlign w:val="center"/>
          </w:tcPr>
          <w:p w14:paraId="1D74E9F0" w14:textId="2C6CD41F"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hAnsi="Arial" w:cs="Arial"/>
                <w:noProof/>
                <w:sz w:val="20"/>
                <w:szCs w:val="20"/>
                <w:lang w:val="en-GB"/>
              </w:rPr>
              <w:t>7223.91</w:t>
            </w:r>
          </w:p>
        </w:tc>
      </w:tr>
      <w:tr w:rsidR="00364C3E" w:rsidRPr="0084045A" w14:paraId="37543E8A" w14:textId="77777777" w:rsidTr="00512905">
        <w:trPr>
          <w:trHeight w:val="452"/>
        </w:trPr>
        <w:tc>
          <w:tcPr>
            <w:tcW w:w="1624" w:type="dxa"/>
            <w:tcBorders>
              <w:top w:val="nil"/>
              <w:bottom w:val="nil"/>
              <w:right w:val="nil"/>
            </w:tcBorders>
            <w:shd w:val="clear" w:color="auto" w:fill="auto"/>
            <w:noWrap/>
            <w:vAlign w:val="center"/>
            <w:hideMark/>
          </w:tcPr>
          <w:p w14:paraId="7ECB8850" w14:textId="6612802D"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2011</w:t>
            </w:r>
            <w:r w:rsidR="009E54AF" w:rsidRPr="0084045A">
              <w:rPr>
                <w:rFonts w:ascii="Arial" w:eastAsia="Times New Roman" w:hAnsi="Arial" w:cs="Arial"/>
                <w:b/>
                <w:bCs/>
                <w:noProof/>
                <w:color w:val="000000"/>
                <w:sz w:val="20"/>
                <w:szCs w:val="20"/>
                <w:lang w:val="en-GB" w:eastAsia="es-MX"/>
              </w:rPr>
              <w:t>–</w:t>
            </w:r>
            <w:r w:rsidRPr="0084045A">
              <w:rPr>
                <w:rFonts w:ascii="Arial" w:eastAsia="Times New Roman" w:hAnsi="Arial" w:cs="Arial"/>
                <w:b/>
                <w:bCs/>
                <w:noProof/>
                <w:color w:val="000000"/>
                <w:sz w:val="20"/>
                <w:szCs w:val="20"/>
                <w:lang w:val="en-GB" w:eastAsia="es-MX"/>
              </w:rPr>
              <w:t>2012</w:t>
            </w:r>
          </w:p>
        </w:tc>
        <w:tc>
          <w:tcPr>
            <w:tcW w:w="1467" w:type="dxa"/>
            <w:tcBorders>
              <w:top w:val="nil"/>
              <w:left w:val="nil"/>
              <w:bottom w:val="nil"/>
              <w:right w:val="nil"/>
            </w:tcBorders>
            <w:shd w:val="clear" w:color="auto" w:fill="auto"/>
            <w:noWrap/>
            <w:vAlign w:val="center"/>
            <w:hideMark/>
          </w:tcPr>
          <w:p w14:paraId="613956A7"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116,179,714</w:t>
            </w:r>
          </w:p>
        </w:tc>
        <w:tc>
          <w:tcPr>
            <w:tcW w:w="1623" w:type="dxa"/>
            <w:tcBorders>
              <w:top w:val="nil"/>
              <w:left w:val="nil"/>
              <w:bottom w:val="nil"/>
              <w:right w:val="nil"/>
            </w:tcBorders>
            <w:shd w:val="clear" w:color="auto" w:fill="auto"/>
            <w:noWrap/>
            <w:vAlign w:val="center"/>
            <w:hideMark/>
          </w:tcPr>
          <w:p w14:paraId="6FBE2C97"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3,616,140</w:t>
            </w:r>
          </w:p>
        </w:tc>
        <w:tc>
          <w:tcPr>
            <w:tcW w:w="1786" w:type="dxa"/>
            <w:tcBorders>
              <w:top w:val="nil"/>
              <w:left w:val="nil"/>
              <w:bottom w:val="nil"/>
            </w:tcBorders>
            <w:vAlign w:val="center"/>
          </w:tcPr>
          <w:p w14:paraId="6DC19A95" w14:textId="6ECC3329"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hAnsi="Arial" w:cs="Arial"/>
                <w:noProof/>
                <w:sz w:val="20"/>
                <w:szCs w:val="20"/>
                <w:lang w:val="en-GB"/>
              </w:rPr>
              <w:t>3112.54</w:t>
            </w:r>
          </w:p>
        </w:tc>
      </w:tr>
      <w:tr w:rsidR="00364C3E" w:rsidRPr="0084045A" w14:paraId="79E326CB" w14:textId="77777777" w:rsidTr="00512905">
        <w:trPr>
          <w:trHeight w:val="452"/>
        </w:trPr>
        <w:tc>
          <w:tcPr>
            <w:tcW w:w="1624" w:type="dxa"/>
            <w:tcBorders>
              <w:top w:val="nil"/>
              <w:bottom w:val="nil"/>
              <w:right w:val="nil"/>
            </w:tcBorders>
            <w:shd w:val="clear" w:color="auto" w:fill="auto"/>
            <w:noWrap/>
            <w:vAlign w:val="center"/>
            <w:hideMark/>
          </w:tcPr>
          <w:p w14:paraId="35F00A14" w14:textId="2AD38C8E"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2012</w:t>
            </w:r>
            <w:r w:rsidR="009E54AF" w:rsidRPr="0084045A">
              <w:rPr>
                <w:rFonts w:ascii="Arial" w:eastAsia="Times New Roman" w:hAnsi="Arial" w:cs="Arial"/>
                <w:b/>
                <w:bCs/>
                <w:noProof/>
                <w:color w:val="000000"/>
                <w:sz w:val="20"/>
                <w:szCs w:val="20"/>
                <w:lang w:val="en-GB" w:eastAsia="es-MX"/>
              </w:rPr>
              <w:t>–</w:t>
            </w:r>
            <w:r w:rsidRPr="0084045A">
              <w:rPr>
                <w:rFonts w:ascii="Arial" w:eastAsia="Times New Roman" w:hAnsi="Arial" w:cs="Arial"/>
                <w:b/>
                <w:bCs/>
                <w:noProof/>
                <w:color w:val="000000"/>
                <w:sz w:val="20"/>
                <w:szCs w:val="20"/>
                <w:lang w:val="en-GB" w:eastAsia="es-MX"/>
              </w:rPr>
              <w:t>2013</w:t>
            </w:r>
          </w:p>
        </w:tc>
        <w:tc>
          <w:tcPr>
            <w:tcW w:w="1467" w:type="dxa"/>
            <w:tcBorders>
              <w:top w:val="nil"/>
              <w:left w:val="nil"/>
              <w:bottom w:val="nil"/>
              <w:right w:val="nil"/>
            </w:tcBorders>
            <w:shd w:val="clear" w:color="auto" w:fill="auto"/>
            <w:noWrap/>
            <w:vAlign w:val="center"/>
            <w:hideMark/>
          </w:tcPr>
          <w:p w14:paraId="54BF61DA"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117,668,241</w:t>
            </w:r>
          </w:p>
        </w:tc>
        <w:tc>
          <w:tcPr>
            <w:tcW w:w="1623" w:type="dxa"/>
            <w:tcBorders>
              <w:top w:val="nil"/>
              <w:left w:val="nil"/>
              <w:bottom w:val="nil"/>
              <w:right w:val="nil"/>
            </w:tcBorders>
            <w:shd w:val="clear" w:color="auto" w:fill="auto"/>
            <w:noWrap/>
            <w:vAlign w:val="center"/>
            <w:hideMark/>
          </w:tcPr>
          <w:p w14:paraId="4D19D810"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12,803,672</w:t>
            </w:r>
          </w:p>
        </w:tc>
        <w:tc>
          <w:tcPr>
            <w:tcW w:w="1786" w:type="dxa"/>
            <w:tcBorders>
              <w:top w:val="nil"/>
              <w:left w:val="nil"/>
              <w:bottom w:val="nil"/>
            </w:tcBorders>
            <w:vAlign w:val="center"/>
          </w:tcPr>
          <w:p w14:paraId="7382BEEB" w14:textId="10C3E334"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hAnsi="Arial" w:cs="Arial"/>
                <w:noProof/>
                <w:sz w:val="20"/>
                <w:szCs w:val="20"/>
                <w:lang w:val="en-GB"/>
              </w:rPr>
              <w:t>10881.16</w:t>
            </w:r>
          </w:p>
        </w:tc>
      </w:tr>
      <w:tr w:rsidR="00364C3E" w:rsidRPr="0084045A" w14:paraId="535B9E1B" w14:textId="77777777" w:rsidTr="00512905">
        <w:trPr>
          <w:trHeight w:val="452"/>
        </w:trPr>
        <w:tc>
          <w:tcPr>
            <w:tcW w:w="1624" w:type="dxa"/>
            <w:tcBorders>
              <w:top w:val="nil"/>
              <w:bottom w:val="nil"/>
              <w:right w:val="nil"/>
            </w:tcBorders>
            <w:shd w:val="clear" w:color="auto" w:fill="auto"/>
            <w:noWrap/>
            <w:vAlign w:val="center"/>
            <w:hideMark/>
          </w:tcPr>
          <w:p w14:paraId="1A542978" w14:textId="45EFFD89"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2013</w:t>
            </w:r>
            <w:r w:rsidR="009E54AF" w:rsidRPr="0084045A">
              <w:rPr>
                <w:rFonts w:ascii="Arial" w:eastAsia="Times New Roman" w:hAnsi="Arial" w:cs="Arial"/>
                <w:b/>
                <w:bCs/>
                <w:noProof/>
                <w:color w:val="000000"/>
                <w:sz w:val="20"/>
                <w:szCs w:val="20"/>
                <w:lang w:val="en-GB" w:eastAsia="es-MX"/>
              </w:rPr>
              <w:t>–</w:t>
            </w:r>
            <w:r w:rsidRPr="0084045A">
              <w:rPr>
                <w:rFonts w:ascii="Arial" w:eastAsia="Times New Roman" w:hAnsi="Arial" w:cs="Arial"/>
                <w:b/>
                <w:bCs/>
                <w:noProof/>
                <w:color w:val="000000"/>
                <w:sz w:val="20"/>
                <w:szCs w:val="20"/>
                <w:lang w:val="en-GB" w:eastAsia="es-MX"/>
              </w:rPr>
              <w:t>2014</w:t>
            </w:r>
          </w:p>
        </w:tc>
        <w:tc>
          <w:tcPr>
            <w:tcW w:w="1467" w:type="dxa"/>
            <w:tcBorders>
              <w:top w:val="nil"/>
              <w:left w:val="nil"/>
              <w:bottom w:val="nil"/>
              <w:right w:val="nil"/>
            </w:tcBorders>
            <w:shd w:val="clear" w:color="auto" w:fill="auto"/>
            <w:noWrap/>
            <w:vAlign w:val="center"/>
            <w:hideMark/>
          </w:tcPr>
          <w:p w14:paraId="29C78D7A"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119,216,240</w:t>
            </w:r>
          </w:p>
        </w:tc>
        <w:tc>
          <w:tcPr>
            <w:tcW w:w="1623" w:type="dxa"/>
            <w:tcBorders>
              <w:top w:val="nil"/>
              <w:left w:val="nil"/>
              <w:bottom w:val="nil"/>
              <w:right w:val="nil"/>
            </w:tcBorders>
            <w:shd w:val="clear" w:color="auto" w:fill="auto"/>
            <w:noWrap/>
            <w:vAlign w:val="center"/>
            <w:hideMark/>
          </w:tcPr>
          <w:p w14:paraId="678B5397"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11,281,198</w:t>
            </w:r>
          </w:p>
        </w:tc>
        <w:tc>
          <w:tcPr>
            <w:tcW w:w="1786" w:type="dxa"/>
            <w:tcBorders>
              <w:top w:val="nil"/>
              <w:left w:val="nil"/>
              <w:bottom w:val="nil"/>
            </w:tcBorders>
            <w:vAlign w:val="center"/>
          </w:tcPr>
          <w:p w14:paraId="6712B2A0" w14:textId="22DE3ABA"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hAnsi="Arial" w:cs="Arial"/>
                <w:noProof/>
                <w:sz w:val="20"/>
                <w:szCs w:val="20"/>
                <w:lang w:val="en-GB"/>
              </w:rPr>
              <w:t>9462.80</w:t>
            </w:r>
          </w:p>
        </w:tc>
      </w:tr>
      <w:tr w:rsidR="00364C3E" w:rsidRPr="0084045A" w14:paraId="3E60C930" w14:textId="77777777" w:rsidTr="00512905">
        <w:trPr>
          <w:trHeight w:val="452"/>
        </w:trPr>
        <w:tc>
          <w:tcPr>
            <w:tcW w:w="1624" w:type="dxa"/>
            <w:tcBorders>
              <w:top w:val="nil"/>
              <w:bottom w:val="nil"/>
              <w:right w:val="nil"/>
            </w:tcBorders>
            <w:shd w:val="clear" w:color="auto" w:fill="auto"/>
            <w:noWrap/>
            <w:vAlign w:val="center"/>
            <w:hideMark/>
          </w:tcPr>
          <w:p w14:paraId="7CCD66EB" w14:textId="427FAFC3"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2014</w:t>
            </w:r>
            <w:r w:rsidR="009E54AF" w:rsidRPr="0084045A">
              <w:rPr>
                <w:rFonts w:ascii="Arial" w:eastAsia="Times New Roman" w:hAnsi="Arial" w:cs="Arial"/>
                <w:b/>
                <w:bCs/>
                <w:noProof/>
                <w:color w:val="000000"/>
                <w:sz w:val="20"/>
                <w:szCs w:val="20"/>
                <w:lang w:val="en-GB" w:eastAsia="es-MX"/>
              </w:rPr>
              <w:t>–</w:t>
            </w:r>
            <w:r w:rsidRPr="0084045A">
              <w:rPr>
                <w:rFonts w:ascii="Arial" w:eastAsia="Times New Roman" w:hAnsi="Arial" w:cs="Arial"/>
                <w:b/>
                <w:bCs/>
                <w:noProof/>
                <w:color w:val="000000"/>
                <w:sz w:val="20"/>
                <w:szCs w:val="20"/>
                <w:lang w:val="en-GB" w:eastAsia="es-MX"/>
              </w:rPr>
              <w:t>2015</w:t>
            </w:r>
          </w:p>
        </w:tc>
        <w:tc>
          <w:tcPr>
            <w:tcW w:w="1467" w:type="dxa"/>
            <w:tcBorders>
              <w:top w:val="nil"/>
              <w:left w:val="nil"/>
              <w:bottom w:val="nil"/>
              <w:right w:val="nil"/>
            </w:tcBorders>
            <w:shd w:val="clear" w:color="auto" w:fill="auto"/>
            <w:noWrap/>
            <w:vAlign w:val="center"/>
            <w:hideMark/>
          </w:tcPr>
          <w:p w14:paraId="6EF241E6"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120,653,293</w:t>
            </w:r>
          </w:p>
        </w:tc>
        <w:tc>
          <w:tcPr>
            <w:tcW w:w="1623" w:type="dxa"/>
            <w:tcBorders>
              <w:top w:val="nil"/>
              <w:left w:val="nil"/>
              <w:bottom w:val="nil"/>
              <w:right w:val="nil"/>
            </w:tcBorders>
            <w:shd w:val="clear" w:color="auto" w:fill="auto"/>
            <w:noWrap/>
            <w:vAlign w:val="center"/>
            <w:hideMark/>
          </w:tcPr>
          <w:p w14:paraId="5ED7108F"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11,413,739</w:t>
            </w:r>
          </w:p>
        </w:tc>
        <w:tc>
          <w:tcPr>
            <w:tcW w:w="1786" w:type="dxa"/>
            <w:tcBorders>
              <w:top w:val="nil"/>
              <w:left w:val="nil"/>
              <w:bottom w:val="nil"/>
            </w:tcBorders>
            <w:vAlign w:val="center"/>
          </w:tcPr>
          <w:p w14:paraId="7BA32F76" w14:textId="37869C8A"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hAnsi="Arial" w:cs="Arial"/>
                <w:noProof/>
                <w:sz w:val="20"/>
                <w:szCs w:val="20"/>
                <w:lang w:val="en-GB"/>
              </w:rPr>
              <w:t>9459.95</w:t>
            </w:r>
          </w:p>
        </w:tc>
      </w:tr>
      <w:tr w:rsidR="00364C3E" w:rsidRPr="0084045A" w14:paraId="10E55A86" w14:textId="77777777" w:rsidTr="00512905">
        <w:trPr>
          <w:trHeight w:val="452"/>
        </w:trPr>
        <w:tc>
          <w:tcPr>
            <w:tcW w:w="1624" w:type="dxa"/>
            <w:tcBorders>
              <w:top w:val="nil"/>
              <w:bottom w:val="nil"/>
              <w:right w:val="nil"/>
            </w:tcBorders>
            <w:shd w:val="clear" w:color="auto" w:fill="auto"/>
            <w:noWrap/>
            <w:vAlign w:val="center"/>
            <w:hideMark/>
          </w:tcPr>
          <w:p w14:paraId="22131214" w14:textId="423025A9"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2015</w:t>
            </w:r>
            <w:r w:rsidR="009E54AF" w:rsidRPr="0084045A">
              <w:rPr>
                <w:rFonts w:ascii="Arial" w:eastAsia="Times New Roman" w:hAnsi="Arial" w:cs="Arial"/>
                <w:b/>
                <w:bCs/>
                <w:noProof/>
                <w:color w:val="000000"/>
                <w:sz w:val="20"/>
                <w:szCs w:val="20"/>
                <w:lang w:val="en-GB" w:eastAsia="es-MX"/>
              </w:rPr>
              <w:t>–</w:t>
            </w:r>
            <w:r w:rsidRPr="0084045A">
              <w:rPr>
                <w:rFonts w:ascii="Arial" w:eastAsia="Times New Roman" w:hAnsi="Arial" w:cs="Arial"/>
                <w:b/>
                <w:bCs/>
                <w:noProof/>
                <w:color w:val="000000"/>
                <w:sz w:val="20"/>
                <w:szCs w:val="20"/>
                <w:lang w:val="en-GB" w:eastAsia="es-MX"/>
              </w:rPr>
              <w:t>2016</w:t>
            </w:r>
          </w:p>
        </w:tc>
        <w:tc>
          <w:tcPr>
            <w:tcW w:w="1467" w:type="dxa"/>
            <w:tcBorders>
              <w:top w:val="nil"/>
              <w:left w:val="nil"/>
              <w:bottom w:val="nil"/>
              <w:right w:val="nil"/>
            </w:tcBorders>
            <w:shd w:val="clear" w:color="auto" w:fill="auto"/>
            <w:noWrap/>
            <w:vAlign w:val="center"/>
            <w:hideMark/>
          </w:tcPr>
          <w:p w14:paraId="50A9425C"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122,038,924</w:t>
            </w:r>
          </w:p>
        </w:tc>
        <w:tc>
          <w:tcPr>
            <w:tcW w:w="1623" w:type="dxa"/>
            <w:tcBorders>
              <w:top w:val="nil"/>
              <w:left w:val="nil"/>
              <w:bottom w:val="nil"/>
              <w:right w:val="nil"/>
            </w:tcBorders>
            <w:shd w:val="clear" w:color="auto" w:fill="auto"/>
            <w:noWrap/>
            <w:vAlign w:val="center"/>
            <w:hideMark/>
          </w:tcPr>
          <w:p w14:paraId="0863AD00"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9,928,898</w:t>
            </w:r>
          </w:p>
        </w:tc>
        <w:tc>
          <w:tcPr>
            <w:tcW w:w="1786" w:type="dxa"/>
            <w:tcBorders>
              <w:top w:val="nil"/>
              <w:left w:val="nil"/>
              <w:bottom w:val="nil"/>
            </w:tcBorders>
            <w:vAlign w:val="center"/>
          </w:tcPr>
          <w:p w14:paraId="72F089DA" w14:textId="4C21A1D4"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hAnsi="Arial" w:cs="Arial"/>
                <w:noProof/>
                <w:sz w:val="20"/>
                <w:szCs w:val="20"/>
                <w:lang w:val="en-GB"/>
              </w:rPr>
              <w:t>8135.85</w:t>
            </w:r>
          </w:p>
        </w:tc>
      </w:tr>
      <w:tr w:rsidR="00364C3E" w:rsidRPr="0084045A" w14:paraId="3DA07220" w14:textId="77777777" w:rsidTr="00512905">
        <w:trPr>
          <w:trHeight w:val="452"/>
        </w:trPr>
        <w:tc>
          <w:tcPr>
            <w:tcW w:w="1624" w:type="dxa"/>
            <w:tcBorders>
              <w:top w:val="nil"/>
              <w:bottom w:val="nil"/>
              <w:right w:val="nil"/>
            </w:tcBorders>
            <w:shd w:val="clear" w:color="auto" w:fill="auto"/>
            <w:noWrap/>
            <w:vAlign w:val="center"/>
            <w:hideMark/>
          </w:tcPr>
          <w:p w14:paraId="49CE7090" w14:textId="414A2F43"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2016</w:t>
            </w:r>
            <w:r w:rsidR="009E54AF" w:rsidRPr="0084045A">
              <w:rPr>
                <w:rFonts w:ascii="Arial" w:eastAsia="Times New Roman" w:hAnsi="Arial" w:cs="Arial"/>
                <w:b/>
                <w:bCs/>
                <w:noProof/>
                <w:color w:val="000000"/>
                <w:sz w:val="20"/>
                <w:szCs w:val="20"/>
                <w:lang w:val="en-GB" w:eastAsia="es-MX"/>
              </w:rPr>
              <w:t>–</w:t>
            </w:r>
            <w:r w:rsidRPr="0084045A">
              <w:rPr>
                <w:rFonts w:ascii="Arial" w:eastAsia="Times New Roman" w:hAnsi="Arial" w:cs="Arial"/>
                <w:b/>
                <w:bCs/>
                <w:noProof/>
                <w:color w:val="000000"/>
                <w:sz w:val="20"/>
                <w:szCs w:val="20"/>
                <w:lang w:val="en-GB" w:eastAsia="es-MX"/>
              </w:rPr>
              <w:t>2017</w:t>
            </w:r>
          </w:p>
        </w:tc>
        <w:tc>
          <w:tcPr>
            <w:tcW w:w="1467" w:type="dxa"/>
            <w:tcBorders>
              <w:top w:val="nil"/>
              <w:left w:val="nil"/>
              <w:bottom w:val="nil"/>
              <w:right w:val="nil"/>
            </w:tcBorders>
            <w:shd w:val="clear" w:color="auto" w:fill="auto"/>
            <w:noWrap/>
            <w:vAlign w:val="center"/>
            <w:hideMark/>
          </w:tcPr>
          <w:p w14:paraId="0FC132C3"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123,388,022</w:t>
            </w:r>
          </w:p>
        </w:tc>
        <w:tc>
          <w:tcPr>
            <w:tcW w:w="1623" w:type="dxa"/>
            <w:tcBorders>
              <w:top w:val="nil"/>
              <w:left w:val="nil"/>
              <w:bottom w:val="nil"/>
              <w:right w:val="nil"/>
            </w:tcBorders>
            <w:shd w:val="clear" w:color="auto" w:fill="auto"/>
            <w:noWrap/>
            <w:vAlign w:val="center"/>
            <w:hideMark/>
          </w:tcPr>
          <w:p w14:paraId="01C50C48"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11,074,556</w:t>
            </w:r>
          </w:p>
        </w:tc>
        <w:tc>
          <w:tcPr>
            <w:tcW w:w="1786" w:type="dxa"/>
            <w:tcBorders>
              <w:top w:val="nil"/>
              <w:left w:val="nil"/>
              <w:bottom w:val="nil"/>
            </w:tcBorders>
            <w:vAlign w:val="center"/>
          </w:tcPr>
          <w:p w14:paraId="7F74C46C" w14:textId="5603F0BC"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hAnsi="Arial" w:cs="Arial"/>
                <w:noProof/>
                <w:sz w:val="20"/>
                <w:szCs w:val="20"/>
                <w:lang w:val="en-GB"/>
              </w:rPr>
              <w:t>8975.39</w:t>
            </w:r>
          </w:p>
        </w:tc>
      </w:tr>
      <w:tr w:rsidR="00364C3E" w:rsidRPr="0084045A" w14:paraId="1B2EA382" w14:textId="77777777" w:rsidTr="00512905">
        <w:trPr>
          <w:trHeight w:val="452"/>
        </w:trPr>
        <w:tc>
          <w:tcPr>
            <w:tcW w:w="1624" w:type="dxa"/>
            <w:tcBorders>
              <w:top w:val="nil"/>
              <w:bottom w:val="nil"/>
              <w:right w:val="nil"/>
            </w:tcBorders>
            <w:shd w:val="clear" w:color="auto" w:fill="auto"/>
            <w:noWrap/>
            <w:vAlign w:val="center"/>
            <w:hideMark/>
          </w:tcPr>
          <w:p w14:paraId="4F470F04" w14:textId="70373C81"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2017</w:t>
            </w:r>
            <w:r w:rsidR="009E54AF" w:rsidRPr="0084045A">
              <w:rPr>
                <w:rFonts w:ascii="Arial" w:eastAsia="Times New Roman" w:hAnsi="Arial" w:cs="Arial"/>
                <w:b/>
                <w:bCs/>
                <w:noProof/>
                <w:color w:val="000000"/>
                <w:sz w:val="20"/>
                <w:szCs w:val="20"/>
                <w:lang w:val="en-GB" w:eastAsia="es-MX"/>
              </w:rPr>
              <w:t>–</w:t>
            </w:r>
            <w:r w:rsidRPr="0084045A">
              <w:rPr>
                <w:rFonts w:ascii="Arial" w:eastAsia="Times New Roman" w:hAnsi="Arial" w:cs="Arial"/>
                <w:b/>
                <w:bCs/>
                <w:noProof/>
                <w:color w:val="000000"/>
                <w:sz w:val="20"/>
                <w:szCs w:val="20"/>
                <w:lang w:val="en-GB" w:eastAsia="es-MX"/>
              </w:rPr>
              <w:t>2018</w:t>
            </w:r>
          </w:p>
        </w:tc>
        <w:tc>
          <w:tcPr>
            <w:tcW w:w="1467" w:type="dxa"/>
            <w:tcBorders>
              <w:top w:val="nil"/>
              <w:left w:val="nil"/>
              <w:bottom w:val="nil"/>
              <w:right w:val="nil"/>
            </w:tcBorders>
            <w:shd w:val="clear" w:color="auto" w:fill="auto"/>
            <w:noWrap/>
            <w:vAlign w:val="center"/>
            <w:hideMark/>
          </w:tcPr>
          <w:p w14:paraId="7417DAAD"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124,692,044</w:t>
            </w:r>
          </w:p>
        </w:tc>
        <w:tc>
          <w:tcPr>
            <w:tcW w:w="1623" w:type="dxa"/>
            <w:tcBorders>
              <w:top w:val="nil"/>
              <w:left w:val="nil"/>
              <w:bottom w:val="nil"/>
              <w:right w:val="nil"/>
            </w:tcBorders>
            <w:shd w:val="clear" w:color="auto" w:fill="auto"/>
            <w:noWrap/>
            <w:vAlign w:val="center"/>
            <w:hideMark/>
          </w:tcPr>
          <w:p w14:paraId="522D10F6"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17,749,078</w:t>
            </w:r>
          </w:p>
        </w:tc>
        <w:tc>
          <w:tcPr>
            <w:tcW w:w="1786" w:type="dxa"/>
            <w:tcBorders>
              <w:top w:val="nil"/>
              <w:left w:val="nil"/>
              <w:bottom w:val="nil"/>
            </w:tcBorders>
            <w:vAlign w:val="center"/>
          </w:tcPr>
          <w:p w14:paraId="25F09FC9" w14:textId="77777777"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hAnsi="Arial" w:cs="Arial"/>
                <w:noProof/>
                <w:sz w:val="20"/>
                <w:szCs w:val="20"/>
                <w:lang w:val="en-GB"/>
              </w:rPr>
              <w:t>14,234.33</w:t>
            </w:r>
          </w:p>
        </w:tc>
      </w:tr>
      <w:tr w:rsidR="00364C3E" w:rsidRPr="0084045A" w14:paraId="7B4A7F14" w14:textId="77777777" w:rsidTr="00512905">
        <w:trPr>
          <w:trHeight w:val="452"/>
        </w:trPr>
        <w:tc>
          <w:tcPr>
            <w:tcW w:w="1624" w:type="dxa"/>
            <w:tcBorders>
              <w:top w:val="nil"/>
              <w:right w:val="nil"/>
            </w:tcBorders>
            <w:shd w:val="clear" w:color="auto" w:fill="auto"/>
            <w:noWrap/>
            <w:vAlign w:val="center"/>
            <w:hideMark/>
          </w:tcPr>
          <w:p w14:paraId="6743829F" w14:textId="64A40E22"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2018–2019</w:t>
            </w:r>
          </w:p>
        </w:tc>
        <w:tc>
          <w:tcPr>
            <w:tcW w:w="1467" w:type="dxa"/>
            <w:tcBorders>
              <w:top w:val="nil"/>
              <w:left w:val="nil"/>
              <w:right w:val="nil"/>
            </w:tcBorders>
            <w:shd w:val="clear" w:color="auto" w:fill="auto"/>
            <w:noWrap/>
            <w:vAlign w:val="center"/>
            <w:hideMark/>
          </w:tcPr>
          <w:p w14:paraId="23F70A25"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125,960,168</w:t>
            </w:r>
          </w:p>
        </w:tc>
        <w:tc>
          <w:tcPr>
            <w:tcW w:w="1623" w:type="dxa"/>
            <w:tcBorders>
              <w:top w:val="nil"/>
              <w:left w:val="nil"/>
              <w:right w:val="nil"/>
            </w:tcBorders>
            <w:shd w:val="clear" w:color="auto" w:fill="auto"/>
            <w:noWrap/>
            <w:vAlign w:val="center"/>
            <w:hideMark/>
          </w:tcPr>
          <w:p w14:paraId="574CF4FF" w14:textId="77777777" w:rsidR="00364C3E" w:rsidRPr="0084045A" w:rsidRDefault="00364C3E" w:rsidP="00F82804">
            <w:pPr>
              <w:spacing w:after="0" w:line="240" w:lineRule="auto"/>
              <w:jc w:val="center"/>
              <w:rPr>
                <w:rFonts w:ascii="Arial" w:eastAsia="Times New Roman" w:hAnsi="Arial" w:cs="Arial"/>
                <w:noProof/>
                <w:color w:val="000000"/>
                <w:sz w:val="20"/>
                <w:szCs w:val="20"/>
                <w:lang w:val="en-GB" w:eastAsia="es-MX"/>
              </w:rPr>
            </w:pPr>
            <w:r w:rsidRPr="0084045A">
              <w:rPr>
                <w:rFonts w:ascii="Arial" w:hAnsi="Arial" w:cs="Arial"/>
                <w:noProof/>
                <w:sz w:val="20"/>
                <w:szCs w:val="20"/>
                <w:lang w:val="en-GB"/>
              </w:rPr>
              <w:t>11,223,972</w:t>
            </w:r>
          </w:p>
        </w:tc>
        <w:tc>
          <w:tcPr>
            <w:tcW w:w="1786" w:type="dxa"/>
            <w:tcBorders>
              <w:top w:val="nil"/>
              <w:left w:val="nil"/>
            </w:tcBorders>
            <w:vAlign w:val="center"/>
          </w:tcPr>
          <w:p w14:paraId="3E5FC662" w14:textId="04BF2365"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hAnsi="Arial" w:cs="Arial"/>
                <w:noProof/>
                <w:sz w:val="20"/>
                <w:szCs w:val="20"/>
                <w:lang w:val="en-GB"/>
              </w:rPr>
              <w:t>8910.73</w:t>
            </w:r>
          </w:p>
        </w:tc>
      </w:tr>
      <w:tr w:rsidR="00364C3E" w:rsidRPr="0084045A" w14:paraId="20E6F876" w14:textId="77777777" w:rsidTr="00512905">
        <w:trPr>
          <w:trHeight w:val="474"/>
        </w:trPr>
        <w:tc>
          <w:tcPr>
            <w:tcW w:w="3092" w:type="dxa"/>
            <w:gridSpan w:val="2"/>
            <w:shd w:val="clear" w:color="auto" w:fill="auto"/>
            <w:noWrap/>
            <w:vAlign w:val="center"/>
            <w:hideMark/>
          </w:tcPr>
          <w:p w14:paraId="73FA2E87" w14:textId="77777777"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r w:rsidRPr="0084045A">
              <w:rPr>
                <w:rFonts w:ascii="Arial" w:eastAsia="Times New Roman" w:hAnsi="Arial" w:cs="Arial"/>
                <w:b/>
                <w:bCs/>
                <w:noProof/>
                <w:color w:val="000000"/>
                <w:sz w:val="20"/>
                <w:szCs w:val="20"/>
                <w:lang w:val="en-GB" w:eastAsia="es-MX"/>
              </w:rPr>
              <w:t>TOTAL</w:t>
            </w:r>
          </w:p>
        </w:tc>
        <w:tc>
          <w:tcPr>
            <w:tcW w:w="1623" w:type="dxa"/>
            <w:shd w:val="clear" w:color="auto" w:fill="auto"/>
            <w:noWrap/>
            <w:vAlign w:val="center"/>
            <w:hideMark/>
          </w:tcPr>
          <w:p w14:paraId="5FD7F271" w14:textId="77777777" w:rsidR="00364C3E" w:rsidRPr="0084045A" w:rsidRDefault="00364C3E" w:rsidP="00F82804">
            <w:pPr>
              <w:spacing w:after="0" w:line="240" w:lineRule="auto"/>
              <w:jc w:val="center"/>
              <w:rPr>
                <w:rFonts w:ascii="Arial" w:eastAsia="Times New Roman" w:hAnsi="Arial" w:cs="Arial"/>
                <w:b/>
                <w:noProof/>
                <w:color w:val="000000"/>
                <w:sz w:val="20"/>
                <w:szCs w:val="20"/>
                <w:lang w:val="en-GB" w:eastAsia="es-MX"/>
              </w:rPr>
            </w:pPr>
            <w:r w:rsidRPr="0084045A">
              <w:rPr>
                <w:rFonts w:ascii="Arial" w:eastAsia="Times New Roman" w:hAnsi="Arial" w:cs="Arial"/>
                <w:b/>
                <w:noProof/>
                <w:color w:val="000000"/>
                <w:sz w:val="20"/>
                <w:szCs w:val="20"/>
                <w:lang w:val="en-GB" w:eastAsia="es-MX"/>
              </w:rPr>
              <w:t>97,366,372</w:t>
            </w:r>
          </w:p>
        </w:tc>
        <w:tc>
          <w:tcPr>
            <w:tcW w:w="1786" w:type="dxa"/>
            <w:vAlign w:val="center"/>
          </w:tcPr>
          <w:p w14:paraId="7A7CCD90" w14:textId="77777777" w:rsidR="00364C3E" w:rsidRPr="0084045A" w:rsidRDefault="00364C3E" w:rsidP="00F82804">
            <w:pPr>
              <w:spacing w:after="0" w:line="240" w:lineRule="auto"/>
              <w:jc w:val="center"/>
              <w:rPr>
                <w:rFonts w:ascii="Arial" w:eastAsia="Times New Roman" w:hAnsi="Arial" w:cs="Arial"/>
                <w:b/>
                <w:bCs/>
                <w:noProof/>
                <w:color w:val="000000"/>
                <w:sz w:val="20"/>
                <w:szCs w:val="20"/>
                <w:lang w:val="en-GB" w:eastAsia="es-MX"/>
              </w:rPr>
            </w:pPr>
          </w:p>
        </w:tc>
      </w:tr>
    </w:tbl>
    <w:p w14:paraId="57D6971D" w14:textId="77777777" w:rsidR="00364C3E" w:rsidRPr="0084045A" w:rsidRDefault="00364C3E" w:rsidP="00364C3E">
      <w:pPr>
        <w:spacing w:after="0" w:line="240" w:lineRule="auto"/>
        <w:jc w:val="center"/>
        <w:rPr>
          <w:rFonts w:ascii="Arial" w:hAnsi="Arial" w:cs="Arial"/>
          <w:noProof/>
          <w:color w:val="000000" w:themeColor="text1"/>
          <w:sz w:val="16"/>
          <w:szCs w:val="16"/>
          <w:lang w:val="en-GB"/>
        </w:rPr>
      </w:pPr>
    </w:p>
    <w:p w14:paraId="49F8348C" w14:textId="1876839B" w:rsidR="00364C3E" w:rsidRPr="0084045A" w:rsidRDefault="00364C3E" w:rsidP="00364C3E">
      <w:pPr>
        <w:spacing w:after="0" w:line="240" w:lineRule="auto"/>
        <w:jc w:val="both"/>
        <w:rPr>
          <w:rFonts w:ascii="Arial" w:hAnsi="Arial" w:cs="Arial"/>
          <w:noProof/>
          <w:lang w:val="en-GB"/>
        </w:rPr>
      </w:pPr>
    </w:p>
    <w:p w14:paraId="5405924D" w14:textId="77777777" w:rsidR="00F14C9B" w:rsidRPr="0084045A" w:rsidRDefault="00F14C9B">
      <w:pPr>
        <w:rPr>
          <w:rFonts w:ascii="Arial" w:hAnsi="Arial" w:cs="Arial"/>
          <w:noProof/>
          <w:lang w:val="en-GB"/>
        </w:rPr>
      </w:pPr>
      <w:r w:rsidRPr="0084045A">
        <w:rPr>
          <w:rFonts w:ascii="Arial" w:hAnsi="Arial" w:cs="Arial"/>
          <w:noProof/>
          <w:lang w:val="en-GB"/>
        </w:rPr>
        <w:br w:type="page"/>
      </w:r>
    </w:p>
    <w:p w14:paraId="421C9AD6" w14:textId="794718A5" w:rsidR="00F14C9B" w:rsidRPr="0084045A" w:rsidRDefault="00F14C9B" w:rsidP="00512905">
      <w:pPr>
        <w:pStyle w:val="Ttulo2"/>
        <w:rPr>
          <w:noProof/>
          <w:lang w:val="en-GB"/>
        </w:rPr>
      </w:pPr>
      <w:r w:rsidRPr="0084045A">
        <w:rPr>
          <w:noProof/>
          <w:lang w:val="en-GB"/>
        </w:rPr>
        <w:lastRenderedPageBreak/>
        <w:t xml:space="preserve">Table </w:t>
      </w:r>
      <w:r w:rsidR="00E7590C" w:rsidRPr="0084045A">
        <w:rPr>
          <w:noProof/>
          <w:lang w:val="en-GB"/>
        </w:rPr>
        <w:t>S1.</w:t>
      </w:r>
      <w:r w:rsidR="001B7D46" w:rsidRPr="0084045A">
        <w:rPr>
          <w:noProof/>
          <w:lang w:val="en-GB"/>
        </w:rPr>
        <w:t>4</w:t>
      </w:r>
      <w:r w:rsidRPr="0084045A">
        <w:rPr>
          <w:noProof/>
          <w:lang w:val="en-GB"/>
        </w:rPr>
        <w:t>. Estimation of influenza cases in Mexico by state</w:t>
      </w:r>
    </w:p>
    <w:p w14:paraId="19CCC119" w14:textId="77777777" w:rsidR="00364C3E" w:rsidRPr="0084045A" w:rsidRDefault="00364C3E" w:rsidP="00364C3E">
      <w:pPr>
        <w:spacing w:after="0" w:line="240" w:lineRule="auto"/>
        <w:jc w:val="both"/>
        <w:rPr>
          <w:rFonts w:ascii="Arial" w:hAnsi="Arial" w:cs="Arial"/>
          <w:noProof/>
          <w:lang w:val="en-GB"/>
        </w:rPr>
      </w:pPr>
    </w:p>
    <w:tbl>
      <w:tblPr>
        <w:tblW w:w="1041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602"/>
        <w:gridCol w:w="763"/>
        <w:gridCol w:w="852"/>
        <w:gridCol w:w="941"/>
        <w:gridCol w:w="941"/>
        <w:gridCol w:w="941"/>
        <w:gridCol w:w="852"/>
        <w:gridCol w:w="941"/>
        <w:gridCol w:w="941"/>
        <w:gridCol w:w="941"/>
        <w:gridCol w:w="941"/>
      </w:tblGrid>
      <w:tr w:rsidR="00364C3E" w:rsidRPr="0084045A" w14:paraId="2D77D567" w14:textId="77777777" w:rsidTr="0015649E">
        <w:trPr>
          <w:trHeight w:val="1107"/>
          <w:jc w:val="center"/>
        </w:trPr>
        <w:tc>
          <w:tcPr>
            <w:tcW w:w="1602" w:type="dxa"/>
            <w:shd w:val="clear" w:color="auto" w:fill="auto"/>
            <w:noWrap/>
            <w:vAlign w:val="center"/>
            <w:hideMark/>
          </w:tcPr>
          <w:p w14:paraId="5302834A" w14:textId="28E229C5" w:rsidR="00364C3E" w:rsidRPr="0084045A" w:rsidRDefault="009A04F9" w:rsidP="009A04F9">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State</w:t>
            </w:r>
          </w:p>
        </w:tc>
        <w:tc>
          <w:tcPr>
            <w:tcW w:w="525" w:type="dxa"/>
            <w:shd w:val="clear" w:color="auto" w:fill="auto"/>
            <w:noWrap/>
            <w:textDirection w:val="btLr"/>
            <w:vAlign w:val="center"/>
            <w:hideMark/>
          </w:tcPr>
          <w:p w14:paraId="227383E7" w14:textId="37896568" w:rsidR="00364C3E" w:rsidRPr="0084045A" w:rsidRDefault="00364C3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 xml:space="preserve">2010 </w:t>
            </w:r>
            <w:r w:rsidR="009E54AF" w:rsidRPr="0084045A">
              <w:rPr>
                <w:rFonts w:ascii="Arial" w:eastAsia="Times New Roman" w:hAnsi="Arial" w:cs="Arial"/>
                <w:b/>
                <w:bCs/>
                <w:noProof/>
                <w:color w:val="000000"/>
                <w:sz w:val="14"/>
                <w:szCs w:val="14"/>
                <w:lang w:val="en-GB" w:eastAsia="es-MX"/>
              </w:rPr>
              <w:t>–</w:t>
            </w:r>
            <w:r w:rsidRPr="0084045A">
              <w:rPr>
                <w:rFonts w:ascii="Arial" w:eastAsia="Times New Roman" w:hAnsi="Arial" w:cs="Arial"/>
                <w:b/>
                <w:bCs/>
                <w:noProof/>
                <w:color w:val="000000"/>
                <w:sz w:val="14"/>
                <w:szCs w:val="14"/>
                <w:lang w:val="en-GB" w:eastAsia="es-MX"/>
              </w:rPr>
              <w:t>2011</w:t>
            </w:r>
          </w:p>
        </w:tc>
        <w:tc>
          <w:tcPr>
            <w:tcW w:w="852" w:type="dxa"/>
            <w:shd w:val="clear" w:color="auto" w:fill="auto"/>
            <w:noWrap/>
            <w:textDirection w:val="btLr"/>
            <w:vAlign w:val="center"/>
            <w:hideMark/>
          </w:tcPr>
          <w:p w14:paraId="4497FC79" w14:textId="2D041D2D" w:rsidR="00364C3E" w:rsidRPr="0084045A" w:rsidRDefault="00364C3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2011</w:t>
            </w:r>
            <w:r w:rsidR="00F317B9" w:rsidRPr="0084045A">
              <w:rPr>
                <w:rFonts w:ascii="Arial" w:eastAsia="Times New Roman" w:hAnsi="Arial" w:cs="Arial"/>
                <w:b/>
                <w:bCs/>
                <w:noProof/>
                <w:color w:val="000000"/>
                <w:sz w:val="14"/>
                <w:szCs w:val="14"/>
                <w:lang w:val="en-GB" w:eastAsia="es-MX"/>
              </w:rPr>
              <w:t>–</w:t>
            </w:r>
            <w:r w:rsidRPr="0084045A">
              <w:rPr>
                <w:rFonts w:ascii="Arial" w:eastAsia="Times New Roman" w:hAnsi="Arial" w:cs="Arial"/>
                <w:b/>
                <w:bCs/>
                <w:noProof/>
                <w:color w:val="000000"/>
                <w:sz w:val="14"/>
                <w:szCs w:val="14"/>
                <w:lang w:val="en-GB" w:eastAsia="es-MX"/>
              </w:rPr>
              <w:t>2012</w:t>
            </w:r>
          </w:p>
        </w:tc>
        <w:tc>
          <w:tcPr>
            <w:tcW w:w="941" w:type="dxa"/>
            <w:shd w:val="clear" w:color="auto" w:fill="auto"/>
            <w:noWrap/>
            <w:textDirection w:val="btLr"/>
            <w:vAlign w:val="center"/>
            <w:hideMark/>
          </w:tcPr>
          <w:p w14:paraId="15BD99B5" w14:textId="11E00B63" w:rsidR="00364C3E" w:rsidRPr="0084045A" w:rsidRDefault="00364C3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2012</w:t>
            </w:r>
            <w:r w:rsidR="00F317B9" w:rsidRPr="0084045A">
              <w:rPr>
                <w:rFonts w:ascii="Arial" w:eastAsia="Times New Roman" w:hAnsi="Arial" w:cs="Arial"/>
                <w:b/>
                <w:bCs/>
                <w:noProof/>
                <w:color w:val="000000"/>
                <w:sz w:val="14"/>
                <w:szCs w:val="14"/>
                <w:lang w:val="en-GB" w:eastAsia="es-MX"/>
              </w:rPr>
              <w:t>–</w:t>
            </w:r>
            <w:r w:rsidRPr="0084045A">
              <w:rPr>
                <w:rFonts w:ascii="Arial" w:eastAsia="Times New Roman" w:hAnsi="Arial" w:cs="Arial"/>
                <w:b/>
                <w:bCs/>
                <w:noProof/>
                <w:color w:val="000000"/>
                <w:sz w:val="14"/>
                <w:szCs w:val="14"/>
                <w:lang w:val="en-GB" w:eastAsia="es-MX"/>
              </w:rPr>
              <w:t>2013</w:t>
            </w:r>
          </w:p>
        </w:tc>
        <w:tc>
          <w:tcPr>
            <w:tcW w:w="941" w:type="dxa"/>
            <w:shd w:val="clear" w:color="auto" w:fill="auto"/>
            <w:noWrap/>
            <w:textDirection w:val="btLr"/>
            <w:vAlign w:val="center"/>
            <w:hideMark/>
          </w:tcPr>
          <w:p w14:paraId="25BE6FE0" w14:textId="5B2185BE" w:rsidR="00364C3E" w:rsidRPr="0084045A" w:rsidRDefault="00364C3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2013</w:t>
            </w:r>
            <w:r w:rsidR="00F317B9" w:rsidRPr="0084045A">
              <w:rPr>
                <w:rFonts w:ascii="Arial" w:eastAsia="Times New Roman" w:hAnsi="Arial" w:cs="Arial"/>
                <w:b/>
                <w:bCs/>
                <w:noProof/>
                <w:color w:val="000000"/>
                <w:sz w:val="14"/>
                <w:szCs w:val="14"/>
                <w:lang w:val="en-GB" w:eastAsia="es-MX"/>
              </w:rPr>
              <w:t>–</w:t>
            </w:r>
            <w:r w:rsidRPr="0084045A">
              <w:rPr>
                <w:rFonts w:ascii="Arial" w:eastAsia="Times New Roman" w:hAnsi="Arial" w:cs="Arial"/>
                <w:b/>
                <w:bCs/>
                <w:noProof/>
                <w:color w:val="000000"/>
                <w:sz w:val="14"/>
                <w:szCs w:val="14"/>
                <w:lang w:val="en-GB" w:eastAsia="es-MX"/>
              </w:rPr>
              <w:t>2014</w:t>
            </w:r>
          </w:p>
        </w:tc>
        <w:tc>
          <w:tcPr>
            <w:tcW w:w="941" w:type="dxa"/>
            <w:shd w:val="clear" w:color="auto" w:fill="auto"/>
            <w:noWrap/>
            <w:textDirection w:val="btLr"/>
            <w:vAlign w:val="center"/>
            <w:hideMark/>
          </w:tcPr>
          <w:p w14:paraId="15D6A3EB" w14:textId="3014AD61" w:rsidR="00364C3E" w:rsidRPr="0084045A" w:rsidRDefault="00364C3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2014</w:t>
            </w:r>
            <w:r w:rsidR="00F317B9" w:rsidRPr="0084045A">
              <w:rPr>
                <w:rFonts w:ascii="Arial" w:eastAsia="Times New Roman" w:hAnsi="Arial" w:cs="Arial"/>
                <w:b/>
                <w:bCs/>
                <w:noProof/>
                <w:color w:val="000000"/>
                <w:sz w:val="14"/>
                <w:szCs w:val="14"/>
                <w:lang w:val="en-GB" w:eastAsia="es-MX"/>
              </w:rPr>
              <w:t>–</w:t>
            </w:r>
            <w:r w:rsidRPr="0084045A">
              <w:rPr>
                <w:rFonts w:ascii="Arial" w:eastAsia="Times New Roman" w:hAnsi="Arial" w:cs="Arial"/>
                <w:b/>
                <w:bCs/>
                <w:noProof/>
                <w:color w:val="000000"/>
                <w:sz w:val="14"/>
                <w:szCs w:val="14"/>
                <w:lang w:val="en-GB" w:eastAsia="es-MX"/>
              </w:rPr>
              <w:t>2015</w:t>
            </w:r>
          </w:p>
        </w:tc>
        <w:tc>
          <w:tcPr>
            <w:tcW w:w="852" w:type="dxa"/>
            <w:shd w:val="clear" w:color="auto" w:fill="auto"/>
            <w:noWrap/>
            <w:textDirection w:val="btLr"/>
            <w:vAlign w:val="center"/>
            <w:hideMark/>
          </w:tcPr>
          <w:p w14:paraId="665B230B" w14:textId="244C3689" w:rsidR="00364C3E" w:rsidRPr="0084045A" w:rsidRDefault="00364C3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2015</w:t>
            </w:r>
            <w:r w:rsidR="00F317B9" w:rsidRPr="0084045A">
              <w:rPr>
                <w:rFonts w:ascii="Arial" w:eastAsia="Times New Roman" w:hAnsi="Arial" w:cs="Arial"/>
                <w:b/>
                <w:bCs/>
                <w:noProof/>
                <w:color w:val="000000"/>
                <w:sz w:val="14"/>
                <w:szCs w:val="14"/>
                <w:lang w:val="en-GB" w:eastAsia="es-MX"/>
              </w:rPr>
              <w:t>–</w:t>
            </w:r>
            <w:r w:rsidRPr="0084045A">
              <w:rPr>
                <w:rFonts w:ascii="Arial" w:eastAsia="Times New Roman" w:hAnsi="Arial" w:cs="Arial"/>
                <w:b/>
                <w:bCs/>
                <w:noProof/>
                <w:color w:val="000000"/>
                <w:sz w:val="14"/>
                <w:szCs w:val="14"/>
                <w:lang w:val="en-GB" w:eastAsia="es-MX"/>
              </w:rPr>
              <w:t>2016</w:t>
            </w:r>
          </w:p>
        </w:tc>
        <w:tc>
          <w:tcPr>
            <w:tcW w:w="941" w:type="dxa"/>
            <w:shd w:val="clear" w:color="auto" w:fill="auto"/>
            <w:noWrap/>
            <w:textDirection w:val="btLr"/>
            <w:vAlign w:val="center"/>
            <w:hideMark/>
          </w:tcPr>
          <w:p w14:paraId="515C516F" w14:textId="1AD4E683" w:rsidR="00364C3E" w:rsidRPr="0084045A" w:rsidRDefault="00364C3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2016</w:t>
            </w:r>
            <w:r w:rsidR="00F317B9" w:rsidRPr="0084045A">
              <w:rPr>
                <w:rFonts w:ascii="Arial" w:eastAsia="Times New Roman" w:hAnsi="Arial" w:cs="Arial"/>
                <w:b/>
                <w:bCs/>
                <w:noProof/>
                <w:color w:val="000000"/>
                <w:sz w:val="14"/>
                <w:szCs w:val="14"/>
                <w:lang w:val="en-GB" w:eastAsia="es-MX"/>
              </w:rPr>
              <w:t>–</w:t>
            </w:r>
            <w:r w:rsidRPr="0084045A">
              <w:rPr>
                <w:rFonts w:ascii="Arial" w:eastAsia="Times New Roman" w:hAnsi="Arial" w:cs="Arial"/>
                <w:b/>
                <w:bCs/>
                <w:noProof/>
                <w:color w:val="000000"/>
                <w:sz w:val="14"/>
                <w:szCs w:val="14"/>
                <w:lang w:val="en-GB" w:eastAsia="es-MX"/>
              </w:rPr>
              <w:t>2017</w:t>
            </w:r>
          </w:p>
        </w:tc>
        <w:tc>
          <w:tcPr>
            <w:tcW w:w="941" w:type="dxa"/>
            <w:shd w:val="clear" w:color="auto" w:fill="auto"/>
            <w:noWrap/>
            <w:textDirection w:val="btLr"/>
            <w:vAlign w:val="center"/>
            <w:hideMark/>
          </w:tcPr>
          <w:p w14:paraId="5DACF380" w14:textId="1B06D8FD" w:rsidR="00364C3E" w:rsidRPr="0084045A" w:rsidRDefault="00364C3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2017</w:t>
            </w:r>
            <w:r w:rsidR="00F317B9" w:rsidRPr="0084045A">
              <w:rPr>
                <w:rFonts w:ascii="Arial" w:eastAsia="Times New Roman" w:hAnsi="Arial" w:cs="Arial"/>
                <w:b/>
                <w:bCs/>
                <w:noProof/>
                <w:color w:val="000000"/>
                <w:sz w:val="14"/>
                <w:szCs w:val="14"/>
                <w:lang w:val="en-GB" w:eastAsia="es-MX"/>
              </w:rPr>
              <w:t>–</w:t>
            </w:r>
            <w:r w:rsidRPr="0084045A">
              <w:rPr>
                <w:rFonts w:ascii="Arial" w:eastAsia="Times New Roman" w:hAnsi="Arial" w:cs="Arial"/>
                <w:b/>
                <w:bCs/>
                <w:noProof/>
                <w:color w:val="000000"/>
                <w:sz w:val="14"/>
                <w:szCs w:val="14"/>
                <w:lang w:val="en-GB" w:eastAsia="es-MX"/>
              </w:rPr>
              <w:t>2018</w:t>
            </w:r>
          </w:p>
        </w:tc>
        <w:tc>
          <w:tcPr>
            <w:tcW w:w="941" w:type="dxa"/>
            <w:shd w:val="clear" w:color="auto" w:fill="auto"/>
            <w:noWrap/>
            <w:textDirection w:val="btLr"/>
            <w:vAlign w:val="center"/>
            <w:hideMark/>
          </w:tcPr>
          <w:p w14:paraId="4F067015" w14:textId="70BF25B8" w:rsidR="00364C3E" w:rsidRPr="0084045A" w:rsidRDefault="00364C3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2018</w:t>
            </w:r>
            <w:r w:rsidR="00F317B9" w:rsidRPr="0084045A">
              <w:rPr>
                <w:rFonts w:ascii="Arial" w:eastAsia="Times New Roman" w:hAnsi="Arial" w:cs="Arial"/>
                <w:b/>
                <w:bCs/>
                <w:noProof/>
                <w:color w:val="000000"/>
                <w:sz w:val="14"/>
                <w:szCs w:val="14"/>
                <w:lang w:val="en-GB" w:eastAsia="es-MX"/>
              </w:rPr>
              <w:t>–</w:t>
            </w:r>
            <w:r w:rsidRPr="0084045A">
              <w:rPr>
                <w:rFonts w:ascii="Arial" w:eastAsia="Times New Roman" w:hAnsi="Arial" w:cs="Arial"/>
                <w:b/>
                <w:bCs/>
                <w:noProof/>
                <w:color w:val="000000"/>
                <w:sz w:val="14"/>
                <w:szCs w:val="14"/>
                <w:lang w:val="en-GB" w:eastAsia="es-MX"/>
              </w:rPr>
              <w:t>2019</w:t>
            </w:r>
          </w:p>
        </w:tc>
        <w:tc>
          <w:tcPr>
            <w:tcW w:w="941" w:type="dxa"/>
            <w:shd w:val="clear" w:color="auto" w:fill="auto"/>
            <w:noWrap/>
            <w:vAlign w:val="center"/>
            <w:hideMark/>
          </w:tcPr>
          <w:p w14:paraId="4506B5C3" w14:textId="719C6F93" w:rsidR="00364C3E" w:rsidRPr="0084045A" w:rsidRDefault="009A04F9"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Total</w:t>
            </w:r>
          </w:p>
        </w:tc>
      </w:tr>
      <w:tr w:rsidR="00364C3E" w:rsidRPr="0084045A" w14:paraId="62DCF99C" w14:textId="77777777" w:rsidTr="0015649E">
        <w:trPr>
          <w:trHeight w:hRule="exact" w:val="284"/>
          <w:jc w:val="center"/>
        </w:trPr>
        <w:tc>
          <w:tcPr>
            <w:tcW w:w="1602" w:type="dxa"/>
            <w:shd w:val="clear" w:color="auto" w:fill="auto"/>
            <w:noWrap/>
            <w:vAlign w:val="center"/>
            <w:hideMark/>
          </w:tcPr>
          <w:p w14:paraId="6942A8E8"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Aguascalientes</w:t>
            </w:r>
          </w:p>
        </w:tc>
        <w:tc>
          <w:tcPr>
            <w:tcW w:w="525" w:type="dxa"/>
            <w:shd w:val="clear" w:color="auto" w:fill="auto"/>
            <w:noWrap/>
            <w:vAlign w:val="center"/>
            <w:hideMark/>
          </w:tcPr>
          <w:p w14:paraId="3D56B9F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88,468</w:t>
            </w:r>
          </w:p>
        </w:tc>
        <w:tc>
          <w:tcPr>
            <w:tcW w:w="852" w:type="dxa"/>
            <w:shd w:val="clear" w:color="auto" w:fill="auto"/>
            <w:noWrap/>
            <w:vAlign w:val="center"/>
            <w:hideMark/>
          </w:tcPr>
          <w:p w14:paraId="432982A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38,893</w:t>
            </w:r>
          </w:p>
        </w:tc>
        <w:tc>
          <w:tcPr>
            <w:tcW w:w="941" w:type="dxa"/>
            <w:shd w:val="clear" w:color="auto" w:fill="auto"/>
            <w:noWrap/>
            <w:vAlign w:val="center"/>
            <w:hideMark/>
          </w:tcPr>
          <w:p w14:paraId="2A867B3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138,436</w:t>
            </w:r>
          </w:p>
        </w:tc>
        <w:tc>
          <w:tcPr>
            <w:tcW w:w="941" w:type="dxa"/>
            <w:shd w:val="clear" w:color="auto" w:fill="auto"/>
            <w:noWrap/>
            <w:vAlign w:val="center"/>
            <w:hideMark/>
          </w:tcPr>
          <w:p w14:paraId="0432B7F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122,290</w:t>
            </w:r>
          </w:p>
        </w:tc>
        <w:tc>
          <w:tcPr>
            <w:tcW w:w="941" w:type="dxa"/>
            <w:shd w:val="clear" w:color="auto" w:fill="auto"/>
            <w:noWrap/>
            <w:vAlign w:val="center"/>
            <w:hideMark/>
          </w:tcPr>
          <w:p w14:paraId="28C757C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125,380</w:t>
            </w:r>
          </w:p>
        </w:tc>
        <w:tc>
          <w:tcPr>
            <w:tcW w:w="852" w:type="dxa"/>
            <w:shd w:val="clear" w:color="auto" w:fill="auto"/>
            <w:noWrap/>
            <w:vAlign w:val="center"/>
            <w:hideMark/>
          </w:tcPr>
          <w:p w14:paraId="027FC5E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109,946</w:t>
            </w:r>
          </w:p>
        </w:tc>
        <w:tc>
          <w:tcPr>
            <w:tcW w:w="941" w:type="dxa"/>
            <w:shd w:val="clear" w:color="auto" w:fill="auto"/>
            <w:noWrap/>
            <w:vAlign w:val="center"/>
            <w:hideMark/>
          </w:tcPr>
          <w:p w14:paraId="7AD85A3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122,417</w:t>
            </w:r>
          </w:p>
        </w:tc>
        <w:tc>
          <w:tcPr>
            <w:tcW w:w="941" w:type="dxa"/>
            <w:shd w:val="clear" w:color="auto" w:fill="auto"/>
            <w:noWrap/>
            <w:vAlign w:val="center"/>
            <w:hideMark/>
          </w:tcPr>
          <w:p w14:paraId="59095F9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195,709</w:t>
            </w:r>
          </w:p>
        </w:tc>
        <w:tc>
          <w:tcPr>
            <w:tcW w:w="941" w:type="dxa"/>
            <w:shd w:val="clear" w:color="auto" w:fill="auto"/>
            <w:noWrap/>
            <w:vAlign w:val="center"/>
            <w:hideMark/>
          </w:tcPr>
          <w:p w14:paraId="57A45D5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125,224</w:t>
            </w:r>
          </w:p>
        </w:tc>
        <w:tc>
          <w:tcPr>
            <w:tcW w:w="941" w:type="dxa"/>
            <w:shd w:val="clear" w:color="auto" w:fill="auto"/>
            <w:noWrap/>
            <w:vAlign w:val="center"/>
            <w:hideMark/>
          </w:tcPr>
          <w:p w14:paraId="579DFC18"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1,066,763</w:t>
            </w:r>
          </w:p>
        </w:tc>
      </w:tr>
      <w:tr w:rsidR="00364C3E" w:rsidRPr="0084045A" w14:paraId="25E23554" w14:textId="77777777" w:rsidTr="0015649E">
        <w:trPr>
          <w:trHeight w:hRule="exact" w:val="284"/>
          <w:jc w:val="center"/>
        </w:trPr>
        <w:tc>
          <w:tcPr>
            <w:tcW w:w="1602" w:type="dxa"/>
            <w:shd w:val="clear" w:color="auto" w:fill="auto"/>
            <w:noWrap/>
            <w:vAlign w:val="center"/>
            <w:hideMark/>
          </w:tcPr>
          <w:p w14:paraId="5260CE28"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Baja California</w:t>
            </w:r>
          </w:p>
        </w:tc>
        <w:tc>
          <w:tcPr>
            <w:tcW w:w="525" w:type="dxa"/>
            <w:shd w:val="clear" w:color="auto" w:fill="auto"/>
            <w:noWrap/>
            <w:vAlign w:val="center"/>
            <w:hideMark/>
          </w:tcPr>
          <w:p w14:paraId="66D1B15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230,535</w:t>
            </w:r>
          </w:p>
        </w:tc>
        <w:tc>
          <w:tcPr>
            <w:tcW w:w="852" w:type="dxa"/>
            <w:shd w:val="clear" w:color="auto" w:fill="auto"/>
            <w:noWrap/>
            <w:vAlign w:val="center"/>
            <w:hideMark/>
          </w:tcPr>
          <w:p w14:paraId="158E3F0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100,611</w:t>
            </w:r>
          </w:p>
        </w:tc>
        <w:tc>
          <w:tcPr>
            <w:tcW w:w="941" w:type="dxa"/>
            <w:shd w:val="clear" w:color="auto" w:fill="auto"/>
            <w:noWrap/>
            <w:vAlign w:val="center"/>
            <w:hideMark/>
          </w:tcPr>
          <w:p w14:paraId="0D14241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353,751</w:t>
            </w:r>
          </w:p>
        </w:tc>
        <w:tc>
          <w:tcPr>
            <w:tcW w:w="941" w:type="dxa"/>
            <w:shd w:val="clear" w:color="auto" w:fill="auto"/>
            <w:noWrap/>
            <w:vAlign w:val="center"/>
            <w:hideMark/>
          </w:tcPr>
          <w:p w14:paraId="58B9639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315,400</w:t>
            </w:r>
          </w:p>
        </w:tc>
        <w:tc>
          <w:tcPr>
            <w:tcW w:w="941" w:type="dxa"/>
            <w:shd w:val="clear" w:color="auto" w:fill="auto"/>
            <w:noWrap/>
            <w:vAlign w:val="center"/>
            <w:hideMark/>
          </w:tcPr>
          <w:p w14:paraId="5B2D8A0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312,199</w:t>
            </w:r>
          </w:p>
        </w:tc>
        <w:tc>
          <w:tcPr>
            <w:tcW w:w="852" w:type="dxa"/>
            <w:shd w:val="clear" w:color="auto" w:fill="auto"/>
            <w:noWrap/>
            <w:vAlign w:val="center"/>
            <w:hideMark/>
          </w:tcPr>
          <w:p w14:paraId="7D149B3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275,482</w:t>
            </w:r>
          </w:p>
        </w:tc>
        <w:tc>
          <w:tcPr>
            <w:tcW w:w="941" w:type="dxa"/>
            <w:shd w:val="clear" w:color="auto" w:fill="auto"/>
            <w:noWrap/>
            <w:vAlign w:val="center"/>
            <w:hideMark/>
          </w:tcPr>
          <w:p w14:paraId="1A9345B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305,179</w:t>
            </w:r>
          </w:p>
        </w:tc>
        <w:tc>
          <w:tcPr>
            <w:tcW w:w="941" w:type="dxa"/>
            <w:shd w:val="clear" w:color="auto" w:fill="auto"/>
            <w:noWrap/>
            <w:vAlign w:val="center"/>
            <w:hideMark/>
          </w:tcPr>
          <w:p w14:paraId="1EE5D13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493,168</w:t>
            </w:r>
          </w:p>
        </w:tc>
        <w:tc>
          <w:tcPr>
            <w:tcW w:w="941" w:type="dxa"/>
            <w:shd w:val="clear" w:color="auto" w:fill="auto"/>
            <w:noWrap/>
            <w:vAlign w:val="center"/>
            <w:hideMark/>
          </w:tcPr>
          <w:p w14:paraId="71975DF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315,036</w:t>
            </w:r>
          </w:p>
        </w:tc>
        <w:tc>
          <w:tcPr>
            <w:tcW w:w="941" w:type="dxa"/>
            <w:shd w:val="clear" w:color="auto" w:fill="auto"/>
            <w:noWrap/>
            <w:vAlign w:val="center"/>
            <w:hideMark/>
          </w:tcPr>
          <w:p w14:paraId="56FC3DF8"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2,701,361</w:t>
            </w:r>
          </w:p>
        </w:tc>
      </w:tr>
      <w:tr w:rsidR="00364C3E" w:rsidRPr="0084045A" w14:paraId="155A0BAC" w14:textId="77777777" w:rsidTr="0015649E">
        <w:trPr>
          <w:trHeight w:hRule="exact" w:val="284"/>
          <w:jc w:val="center"/>
        </w:trPr>
        <w:tc>
          <w:tcPr>
            <w:tcW w:w="1602" w:type="dxa"/>
            <w:shd w:val="clear" w:color="auto" w:fill="auto"/>
            <w:noWrap/>
            <w:vAlign w:val="center"/>
            <w:hideMark/>
          </w:tcPr>
          <w:p w14:paraId="72249002"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Baja California Sur</w:t>
            </w:r>
          </w:p>
        </w:tc>
        <w:tc>
          <w:tcPr>
            <w:tcW w:w="525" w:type="dxa"/>
            <w:shd w:val="clear" w:color="auto" w:fill="auto"/>
            <w:noWrap/>
            <w:vAlign w:val="center"/>
            <w:hideMark/>
          </w:tcPr>
          <w:p w14:paraId="7FB59B4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46,169</w:t>
            </w:r>
          </w:p>
        </w:tc>
        <w:tc>
          <w:tcPr>
            <w:tcW w:w="852" w:type="dxa"/>
            <w:shd w:val="clear" w:color="auto" w:fill="auto"/>
            <w:noWrap/>
            <w:vAlign w:val="center"/>
            <w:hideMark/>
          </w:tcPr>
          <w:p w14:paraId="7512EB0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20,463</w:t>
            </w:r>
          </w:p>
        </w:tc>
        <w:tc>
          <w:tcPr>
            <w:tcW w:w="941" w:type="dxa"/>
            <w:shd w:val="clear" w:color="auto" w:fill="auto"/>
            <w:noWrap/>
            <w:vAlign w:val="center"/>
            <w:hideMark/>
          </w:tcPr>
          <w:p w14:paraId="71D0401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73,047</w:t>
            </w:r>
          </w:p>
        </w:tc>
        <w:tc>
          <w:tcPr>
            <w:tcW w:w="941" w:type="dxa"/>
            <w:shd w:val="clear" w:color="auto" w:fill="auto"/>
            <w:noWrap/>
            <w:vAlign w:val="center"/>
            <w:hideMark/>
          </w:tcPr>
          <w:p w14:paraId="5D37A19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66,271</w:t>
            </w:r>
          </w:p>
        </w:tc>
        <w:tc>
          <w:tcPr>
            <w:tcW w:w="941" w:type="dxa"/>
            <w:shd w:val="clear" w:color="auto" w:fill="auto"/>
            <w:noWrap/>
            <w:vAlign w:val="center"/>
            <w:hideMark/>
          </w:tcPr>
          <w:p w14:paraId="3A4046E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66,337</w:t>
            </w:r>
          </w:p>
        </w:tc>
        <w:tc>
          <w:tcPr>
            <w:tcW w:w="852" w:type="dxa"/>
            <w:shd w:val="clear" w:color="auto" w:fill="auto"/>
            <w:noWrap/>
            <w:vAlign w:val="center"/>
            <w:hideMark/>
          </w:tcPr>
          <w:p w14:paraId="4EEDB6B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59,475</w:t>
            </w:r>
          </w:p>
        </w:tc>
        <w:tc>
          <w:tcPr>
            <w:tcW w:w="941" w:type="dxa"/>
            <w:shd w:val="clear" w:color="auto" w:fill="auto"/>
            <w:noWrap/>
            <w:vAlign w:val="center"/>
            <w:hideMark/>
          </w:tcPr>
          <w:p w14:paraId="10880C7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66,012</w:t>
            </w:r>
          </w:p>
        </w:tc>
        <w:tc>
          <w:tcPr>
            <w:tcW w:w="941" w:type="dxa"/>
            <w:shd w:val="clear" w:color="auto" w:fill="auto"/>
            <w:noWrap/>
            <w:vAlign w:val="center"/>
            <w:hideMark/>
          </w:tcPr>
          <w:p w14:paraId="4E52CD4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107,321</w:t>
            </w:r>
          </w:p>
        </w:tc>
        <w:tc>
          <w:tcPr>
            <w:tcW w:w="941" w:type="dxa"/>
            <w:shd w:val="clear" w:color="auto" w:fill="auto"/>
            <w:noWrap/>
            <w:vAlign w:val="center"/>
            <w:hideMark/>
          </w:tcPr>
          <w:p w14:paraId="59990DE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69,156</w:t>
            </w:r>
          </w:p>
        </w:tc>
        <w:tc>
          <w:tcPr>
            <w:tcW w:w="941" w:type="dxa"/>
            <w:shd w:val="clear" w:color="auto" w:fill="auto"/>
            <w:noWrap/>
            <w:vAlign w:val="center"/>
            <w:hideMark/>
          </w:tcPr>
          <w:p w14:paraId="5FB74835"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574,250</w:t>
            </w:r>
          </w:p>
        </w:tc>
      </w:tr>
      <w:tr w:rsidR="00364C3E" w:rsidRPr="0084045A" w14:paraId="6AC9D67B" w14:textId="77777777" w:rsidTr="0015649E">
        <w:trPr>
          <w:trHeight w:hRule="exact" w:val="284"/>
          <w:jc w:val="center"/>
        </w:trPr>
        <w:tc>
          <w:tcPr>
            <w:tcW w:w="1602" w:type="dxa"/>
            <w:shd w:val="clear" w:color="auto" w:fill="auto"/>
            <w:noWrap/>
            <w:vAlign w:val="center"/>
            <w:hideMark/>
          </w:tcPr>
          <w:p w14:paraId="3A7E86F9"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Campeche</w:t>
            </w:r>
          </w:p>
        </w:tc>
        <w:tc>
          <w:tcPr>
            <w:tcW w:w="525" w:type="dxa"/>
            <w:shd w:val="clear" w:color="auto" w:fill="auto"/>
            <w:noWrap/>
            <w:vAlign w:val="center"/>
            <w:hideMark/>
          </w:tcPr>
          <w:p w14:paraId="230CCED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60,693</w:t>
            </w:r>
          </w:p>
        </w:tc>
        <w:tc>
          <w:tcPr>
            <w:tcW w:w="852" w:type="dxa"/>
            <w:shd w:val="clear" w:color="auto" w:fill="auto"/>
            <w:noWrap/>
            <w:vAlign w:val="center"/>
            <w:hideMark/>
          </w:tcPr>
          <w:p w14:paraId="3D687D9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26,725</w:t>
            </w:r>
          </w:p>
        </w:tc>
        <w:tc>
          <w:tcPr>
            <w:tcW w:w="941" w:type="dxa"/>
            <w:shd w:val="clear" w:color="auto" w:fill="auto"/>
            <w:noWrap/>
            <w:vAlign w:val="center"/>
            <w:hideMark/>
          </w:tcPr>
          <w:p w14:paraId="6CA65E5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95,081</w:t>
            </w:r>
          </w:p>
        </w:tc>
        <w:tc>
          <w:tcPr>
            <w:tcW w:w="941" w:type="dxa"/>
            <w:shd w:val="clear" w:color="auto" w:fill="auto"/>
            <w:noWrap/>
            <w:vAlign w:val="center"/>
            <w:hideMark/>
          </w:tcPr>
          <w:p w14:paraId="457D5B8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84,619</w:t>
            </w:r>
          </w:p>
        </w:tc>
        <w:tc>
          <w:tcPr>
            <w:tcW w:w="941" w:type="dxa"/>
            <w:shd w:val="clear" w:color="auto" w:fill="auto"/>
            <w:noWrap/>
            <w:vAlign w:val="center"/>
            <w:hideMark/>
          </w:tcPr>
          <w:p w14:paraId="752D786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85,695</w:t>
            </w:r>
          </w:p>
        </w:tc>
        <w:tc>
          <w:tcPr>
            <w:tcW w:w="852" w:type="dxa"/>
            <w:shd w:val="clear" w:color="auto" w:fill="auto"/>
            <w:noWrap/>
            <w:vAlign w:val="center"/>
            <w:hideMark/>
          </w:tcPr>
          <w:p w14:paraId="6C70D4E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75,387</w:t>
            </w:r>
          </w:p>
        </w:tc>
        <w:tc>
          <w:tcPr>
            <w:tcW w:w="941" w:type="dxa"/>
            <w:shd w:val="clear" w:color="auto" w:fill="auto"/>
            <w:noWrap/>
            <w:vAlign w:val="center"/>
            <w:hideMark/>
          </w:tcPr>
          <w:p w14:paraId="3FA4282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83,980</w:t>
            </w:r>
          </w:p>
        </w:tc>
        <w:tc>
          <w:tcPr>
            <w:tcW w:w="941" w:type="dxa"/>
            <w:shd w:val="clear" w:color="auto" w:fill="auto"/>
            <w:noWrap/>
            <w:vAlign w:val="center"/>
            <w:hideMark/>
          </w:tcPr>
          <w:p w14:paraId="17A4A38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135,458</w:t>
            </w:r>
          </w:p>
        </w:tc>
        <w:tc>
          <w:tcPr>
            <w:tcW w:w="941" w:type="dxa"/>
            <w:shd w:val="clear" w:color="auto" w:fill="auto"/>
            <w:noWrap/>
            <w:vAlign w:val="center"/>
            <w:hideMark/>
          </w:tcPr>
          <w:p w14:paraId="2223341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86,767</w:t>
            </w:r>
          </w:p>
        </w:tc>
        <w:tc>
          <w:tcPr>
            <w:tcW w:w="941" w:type="dxa"/>
            <w:shd w:val="clear" w:color="auto" w:fill="auto"/>
            <w:noWrap/>
            <w:vAlign w:val="center"/>
            <w:hideMark/>
          </w:tcPr>
          <w:p w14:paraId="3B91FDFE"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734,406</w:t>
            </w:r>
          </w:p>
        </w:tc>
      </w:tr>
      <w:tr w:rsidR="00364C3E" w:rsidRPr="0084045A" w14:paraId="038FF7D3" w14:textId="77777777" w:rsidTr="0015649E">
        <w:trPr>
          <w:trHeight w:hRule="exact" w:val="284"/>
          <w:jc w:val="center"/>
        </w:trPr>
        <w:tc>
          <w:tcPr>
            <w:tcW w:w="1602" w:type="dxa"/>
            <w:shd w:val="clear" w:color="auto" w:fill="auto"/>
            <w:noWrap/>
            <w:vAlign w:val="center"/>
            <w:hideMark/>
          </w:tcPr>
          <w:p w14:paraId="5C362B63"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Chiapas</w:t>
            </w:r>
          </w:p>
        </w:tc>
        <w:tc>
          <w:tcPr>
            <w:tcW w:w="525" w:type="dxa"/>
            <w:shd w:val="clear" w:color="auto" w:fill="auto"/>
            <w:noWrap/>
            <w:vAlign w:val="center"/>
            <w:hideMark/>
          </w:tcPr>
          <w:p w14:paraId="252B54C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365,348</w:t>
            </w:r>
          </w:p>
        </w:tc>
        <w:tc>
          <w:tcPr>
            <w:tcW w:w="852" w:type="dxa"/>
            <w:shd w:val="clear" w:color="auto" w:fill="auto"/>
            <w:noWrap/>
            <w:vAlign w:val="center"/>
            <w:hideMark/>
          </w:tcPr>
          <w:p w14:paraId="0A60FC2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159,527</w:t>
            </w:r>
          </w:p>
        </w:tc>
        <w:tc>
          <w:tcPr>
            <w:tcW w:w="941" w:type="dxa"/>
            <w:shd w:val="clear" w:color="auto" w:fill="auto"/>
            <w:noWrap/>
            <w:vAlign w:val="center"/>
            <w:hideMark/>
          </w:tcPr>
          <w:p w14:paraId="45B699D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566,391</w:t>
            </w:r>
          </w:p>
        </w:tc>
        <w:tc>
          <w:tcPr>
            <w:tcW w:w="941" w:type="dxa"/>
            <w:shd w:val="clear" w:color="auto" w:fill="auto"/>
            <w:noWrap/>
            <w:vAlign w:val="center"/>
            <w:hideMark/>
          </w:tcPr>
          <w:p w14:paraId="0939C5D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488,729</w:t>
            </w:r>
          </w:p>
        </w:tc>
        <w:tc>
          <w:tcPr>
            <w:tcW w:w="941" w:type="dxa"/>
            <w:shd w:val="clear" w:color="auto" w:fill="auto"/>
            <w:noWrap/>
            <w:vAlign w:val="center"/>
            <w:hideMark/>
          </w:tcPr>
          <w:p w14:paraId="0867D46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513,013</w:t>
            </w:r>
          </w:p>
        </w:tc>
        <w:tc>
          <w:tcPr>
            <w:tcW w:w="852" w:type="dxa"/>
            <w:shd w:val="clear" w:color="auto" w:fill="auto"/>
            <w:noWrap/>
            <w:vAlign w:val="center"/>
            <w:hideMark/>
          </w:tcPr>
          <w:p w14:paraId="124C1A3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440,813</w:t>
            </w:r>
          </w:p>
        </w:tc>
        <w:tc>
          <w:tcPr>
            <w:tcW w:w="941" w:type="dxa"/>
            <w:shd w:val="clear" w:color="auto" w:fill="auto"/>
            <w:noWrap/>
            <w:vAlign w:val="center"/>
            <w:hideMark/>
          </w:tcPr>
          <w:p w14:paraId="0C9726B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492,995</w:t>
            </w:r>
          </w:p>
        </w:tc>
        <w:tc>
          <w:tcPr>
            <w:tcW w:w="941" w:type="dxa"/>
            <w:shd w:val="clear" w:color="auto" w:fill="auto"/>
            <w:noWrap/>
            <w:vAlign w:val="center"/>
            <w:hideMark/>
          </w:tcPr>
          <w:p w14:paraId="1DB5402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782,583</w:t>
            </w:r>
          </w:p>
        </w:tc>
        <w:tc>
          <w:tcPr>
            <w:tcW w:w="941" w:type="dxa"/>
            <w:shd w:val="clear" w:color="auto" w:fill="auto"/>
            <w:noWrap/>
            <w:vAlign w:val="center"/>
            <w:hideMark/>
          </w:tcPr>
          <w:p w14:paraId="4D6AF3C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506,517</w:t>
            </w:r>
          </w:p>
        </w:tc>
        <w:tc>
          <w:tcPr>
            <w:tcW w:w="941" w:type="dxa"/>
            <w:shd w:val="clear" w:color="auto" w:fill="auto"/>
            <w:noWrap/>
            <w:vAlign w:val="center"/>
            <w:hideMark/>
          </w:tcPr>
          <w:p w14:paraId="1B18054C"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4,315,916</w:t>
            </w:r>
          </w:p>
        </w:tc>
      </w:tr>
      <w:tr w:rsidR="00364C3E" w:rsidRPr="0084045A" w14:paraId="223D89EC" w14:textId="77777777" w:rsidTr="0015649E">
        <w:trPr>
          <w:trHeight w:hRule="exact" w:val="284"/>
          <w:jc w:val="center"/>
        </w:trPr>
        <w:tc>
          <w:tcPr>
            <w:tcW w:w="1602" w:type="dxa"/>
            <w:shd w:val="clear" w:color="auto" w:fill="auto"/>
            <w:noWrap/>
            <w:vAlign w:val="center"/>
            <w:hideMark/>
          </w:tcPr>
          <w:p w14:paraId="45230A81"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Chihuahua</w:t>
            </w:r>
          </w:p>
        </w:tc>
        <w:tc>
          <w:tcPr>
            <w:tcW w:w="525" w:type="dxa"/>
            <w:shd w:val="clear" w:color="auto" w:fill="auto"/>
            <w:noWrap/>
            <w:vAlign w:val="center"/>
            <w:hideMark/>
          </w:tcPr>
          <w:p w14:paraId="6C56E12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252,216</w:t>
            </w:r>
          </w:p>
        </w:tc>
        <w:tc>
          <w:tcPr>
            <w:tcW w:w="852" w:type="dxa"/>
            <w:shd w:val="clear" w:color="auto" w:fill="auto"/>
            <w:noWrap/>
            <w:vAlign w:val="center"/>
            <w:hideMark/>
          </w:tcPr>
          <w:p w14:paraId="5C09BE9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109,645</w:t>
            </w:r>
          </w:p>
        </w:tc>
        <w:tc>
          <w:tcPr>
            <w:tcW w:w="941" w:type="dxa"/>
            <w:shd w:val="clear" w:color="auto" w:fill="auto"/>
            <w:noWrap/>
            <w:vAlign w:val="center"/>
            <w:hideMark/>
          </w:tcPr>
          <w:p w14:paraId="7CE24E4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386,237</w:t>
            </w:r>
          </w:p>
        </w:tc>
        <w:tc>
          <w:tcPr>
            <w:tcW w:w="941" w:type="dxa"/>
            <w:shd w:val="clear" w:color="auto" w:fill="auto"/>
            <w:noWrap/>
            <w:vAlign w:val="center"/>
            <w:hideMark/>
          </w:tcPr>
          <w:p w14:paraId="10E29B7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339,291</w:t>
            </w:r>
          </w:p>
        </w:tc>
        <w:tc>
          <w:tcPr>
            <w:tcW w:w="941" w:type="dxa"/>
            <w:shd w:val="clear" w:color="auto" w:fill="auto"/>
            <w:noWrap/>
            <w:vAlign w:val="center"/>
            <w:hideMark/>
          </w:tcPr>
          <w:p w14:paraId="607306C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341,191</w:t>
            </w:r>
          </w:p>
        </w:tc>
        <w:tc>
          <w:tcPr>
            <w:tcW w:w="852" w:type="dxa"/>
            <w:shd w:val="clear" w:color="auto" w:fill="auto"/>
            <w:noWrap/>
            <w:vAlign w:val="center"/>
            <w:hideMark/>
          </w:tcPr>
          <w:p w14:paraId="37D73B3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296,272</w:t>
            </w:r>
          </w:p>
        </w:tc>
        <w:tc>
          <w:tcPr>
            <w:tcW w:w="941" w:type="dxa"/>
            <w:shd w:val="clear" w:color="auto" w:fill="auto"/>
            <w:noWrap/>
            <w:vAlign w:val="center"/>
            <w:hideMark/>
          </w:tcPr>
          <w:p w14:paraId="57074E5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329,974</w:t>
            </w:r>
          </w:p>
        </w:tc>
        <w:tc>
          <w:tcPr>
            <w:tcW w:w="941" w:type="dxa"/>
            <w:shd w:val="clear" w:color="auto" w:fill="auto"/>
            <w:noWrap/>
            <w:vAlign w:val="center"/>
            <w:hideMark/>
          </w:tcPr>
          <w:p w14:paraId="4E54997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528,555</w:t>
            </w:r>
          </w:p>
        </w:tc>
        <w:tc>
          <w:tcPr>
            <w:tcW w:w="941" w:type="dxa"/>
            <w:shd w:val="clear" w:color="auto" w:fill="auto"/>
            <w:noWrap/>
            <w:vAlign w:val="center"/>
            <w:hideMark/>
          </w:tcPr>
          <w:p w14:paraId="1E90903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334,465</w:t>
            </w:r>
          </w:p>
        </w:tc>
        <w:tc>
          <w:tcPr>
            <w:tcW w:w="941" w:type="dxa"/>
            <w:shd w:val="clear" w:color="auto" w:fill="auto"/>
            <w:noWrap/>
            <w:vAlign w:val="center"/>
            <w:hideMark/>
          </w:tcPr>
          <w:p w14:paraId="2AF8B4D1"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2,917,846</w:t>
            </w:r>
          </w:p>
        </w:tc>
      </w:tr>
      <w:tr w:rsidR="00364C3E" w:rsidRPr="0084045A" w14:paraId="37655CBB" w14:textId="77777777" w:rsidTr="0015649E">
        <w:trPr>
          <w:trHeight w:hRule="exact" w:val="284"/>
          <w:jc w:val="center"/>
        </w:trPr>
        <w:tc>
          <w:tcPr>
            <w:tcW w:w="1602" w:type="dxa"/>
            <w:shd w:val="clear" w:color="auto" w:fill="auto"/>
            <w:noWrap/>
            <w:vAlign w:val="center"/>
            <w:hideMark/>
          </w:tcPr>
          <w:p w14:paraId="2DE0EDF7"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Coahuila</w:t>
            </w:r>
          </w:p>
        </w:tc>
        <w:tc>
          <w:tcPr>
            <w:tcW w:w="525" w:type="dxa"/>
            <w:shd w:val="clear" w:color="auto" w:fill="auto"/>
            <w:noWrap/>
            <w:vAlign w:val="center"/>
            <w:hideMark/>
          </w:tcPr>
          <w:p w14:paraId="2915DE4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203,331</w:t>
            </w:r>
          </w:p>
        </w:tc>
        <w:tc>
          <w:tcPr>
            <w:tcW w:w="852" w:type="dxa"/>
            <w:shd w:val="clear" w:color="auto" w:fill="auto"/>
            <w:noWrap/>
            <w:vAlign w:val="center"/>
            <w:hideMark/>
          </w:tcPr>
          <w:p w14:paraId="46FDBA9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88,990</w:t>
            </w:r>
          </w:p>
        </w:tc>
        <w:tc>
          <w:tcPr>
            <w:tcW w:w="941" w:type="dxa"/>
            <w:shd w:val="clear" w:color="auto" w:fill="auto"/>
            <w:noWrap/>
            <w:vAlign w:val="center"/>
            <w:hideMark/>
          </w:tcPr>
          <w:p w14:paraId="0EECEAE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315,962</w:t>
            </w:r>
          </w:p>
        </w:tc>
        <w:tc>
          <w:tcPr>
            <w:tcW w:w="941" w:type="dxa"/>
            <w:shd w:val="clear" w:color="auto" w:fill="auto"/>
            <w:noWrap/>
            <w:vAlign w:val="center"/>
            <w:hideMark/>
          </w:tcPr>
          <w:p w14:paraId="31FD9AC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279,440</w:t>
            </w:r>
          </w:p>
        </w:tc>
        <w:tc>
          <w:tcPr>
            <w:tcW w:w="941" w:type="dxa"/>
            <w:shd w:val="clear" w:color="auto" w:fill="auto"/>
            <w:noWrap/>
            <w:vAlign w:val="center"/>
            <w:hideMark/>
          </w:tcPr>
          <w:p w14:paraId="6926C65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283,165</w:t>
            </w:r>
          </w:p>
        </w:tc>
        <w:tc>
          <w:tcPr>
            <w:tcW w:w="852" w:type="dxa"/>
            <w:shd w:val="clear" w:color="auto" w:fill="auto"/>
            <w:noWrap/>
            <w:vAlign w:val="center"/>
            <w:hideMark/>
          </w:tcPr>
          <w:p w14:paraId="0F93C47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247,187</w:t>
            </w:r>
          </w:p>
        </w:tc>
        <w:tc>
          <w:tcPr>
            <w:tcW w:w="941" w:type="dxa"/>
            <w:shd w:val="clear" w:color="auto" w:fill="auto"/>
            <w:noWrap/>
            <w:vAlign w:val="center"/>
            <w:hideMark/>
          </w:tcPr>
          <w:p w14:paraId="32E58A7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276,269</w:t>
            </w:r>
          </w:p>
        </w:tc>
        <w:tc>
          <w:tcPr>
            <w:tcW w:w="941" w:type="dxa"/>
            <w:shd w:val="clear" w:color="auto" w:fill="auto"/>
            <w:noWrap/>
            <w:vAlign w:val="center"/>
            <w:hideMark/>
          </w:tcPr>
          <w:p w14:paraId="2AFD9A4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444,876</w:t>
            </w:r>
          </w:p>
        </w:tc>
        <w:tc>
          <w:tcPr>
            <w:tcW w:w="941" w:type="dxa"/>
            <w:shd w:val="clear" w:color="auto" w:fill="auto"/>
            <w:noWrap/>
            <w:vAlign w:val="center"/>
            <w:hideMark/>
          </w:tcPr>
          <w:p w14:paraId="5E152FB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283,098</w:t>
            </w:r>
          </w:p>
        </w:tc>
        <w:tc>
          <w:tcPr>
            <w:tcW w:w="941" w:type="dxa"/>
            <w:shd w:val="clear" w:color="auto" w:fill="auto"/>
            <w:noWrap/>
            <w:vAlign w:val="center"/>
            <w:hideMark/>
          </w:tcPr>
          <w:p w14:paraId="6DD59FEE"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2,422,318</w:t>
            </w:r>
          </w:p>
        </w:tc>
      </w:tr>
      <w:tr w:rsidR="00364C3E" w:rsidRPr="0084045A" w14:paraId="7AE1FC03" w14:textId="77777777" w:rsidTr="0015649E">
        <w:trPr>
          <w:trHeight w:hRule="exact" w:val="284"/>
          <w:jc w:val="center"/>
        </w:trPr>
        <w:tc>
          <w:tcPr>
            <w:tcW w:w="1602" w:type="dxa"/>
            <w:shd w:val="clear" w:color="auto" w:fill="auto"/>
            <w:noWrap/>
            <w:vAlign w:val="center"/>
            <w:hideMark/>
          </w:tcPr>
          <w:p w14:paraId="46A341BB"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Colima</w:t>
            </w:r>
          </w:p>
        </w:tc>
        <w:tc>
          <w:tcPr>
            <w:tcW w:w="525" w:type="dxa"/>
            <w:shd w:val="clear" w:color="auto" w:fill="auto"/>
            <w:noWrap/>
            <w:vAlign w:val="center"/>
            <w:hideMark/>
          </w:tcPr>
          <w:p w14:paraId="001D8DE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47,408</w:t>
            </w:r>
          </w:p>
        </w:tc>
        <w:tc>
          <w:tcPr>
            <w:tcW w:w="852" w:type="dxa"/>
            <w:shd w:val="clear" w:color="auto" w:fill="auto"/>
            <w:noWrap/>
            <w:vAlign w:val="center"/>
            <w:hideMark/>
          </w:tcPr>
          <w:p w14:paraId="08DACBF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20,906</w:t>
            </w:r>
          </w:p>
        </w:tc>
        <w:tc>
          <w:tcPr>
            <w:tcW w:w="941" w:type="dxa"/>
            <w:shd w:val="clear" w:color="auto" w:fill="auto"/>
            <w:noWrap/>
            <w:vAlign w:val="center"/>
            <w:hideMark/>
          </w:tcPr>
          <w:p w14:paraId="4CD06B4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74,566</w:t>
            </w:r>
          </w:p>
        </w:tc>
        <w:tc>
          <w:tcPr>
            <w:tcW w:w="941" w:type="dxa"/>
            <w:shd w:val="clear" w:color="auto" w:fill="auto"/>
            <w:noWrap/>
            <w:vAlign w:val="center"/>
            <w:hideMark/>
          </w:tcPr>
          <w:p w14:paraId="72B1284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66,673</w:t>
            </w:r>
          </w:p>
        </w:tc>
        <w:tc>
          <w:tcPr>
            <w:tcW w:w="941" w:type="dxa"/>
            <w:shd w:val="clear" w:color="auto" w:fill="auto"/>
            <w:noWrap/>
            <w:vAlign w:val="center"/>
            <w:hideMark/>
          </w:tcPr>
          <w:p w14:paraId="1163090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67,266</w:t>
            </w:r>
          </w:p>
        </w:tc>
        <w:tc>
          <w:tcPr>
            <w:tcW w:w="852" w:type="dxa"/>
            <w:shd w:val="clear" w:color="auto" w:fill="auto"/>
            <w:noWrap/>
            <w:vAlign w:val="center"/>
            <w:hideMark/>
          </w:tcPr>
          <w:p w14:paraId="1F5D43B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59,306</w:t>
            </w:r>
          </w:p>
        </w:tc>
        <w:tc>
          <w:tcPr>
            <w:tcW w:w="941" w:type="dxa"/>
            <w:shd w:val="clear" w:color="auto" w:fill="auto"/>
            <w:noWrap/>
            <w:vAlign w:val="center"/>
            <w:hideMark/>
          </w:tcPr>
          <w:p w14:paraId="57FB302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66,213</w:t>
            </w:r>
          </w:p>
        </w:tc>
        <w:tc>
          <w:tcPr>
            <w:tcW w:w="941" w:type="dxa"/>
            <w:shd w:val="clear" w:color="auto" w:fill="auto"/>
            <w:noWrap/>
            <w:vAlign w:val="center"/>
            <w:hideMark/>
          </w:tcPr>
          <w:p w14:paraId="5A7300E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107,070</w:t>
            </w:r>
          </w:p>
        </w:tc>
        <w:tc>
          <w:tcPr>
            <w:tcW w:w="941" w:type="dxa"/>
            <w:shd w:val="clear" w:color="auto" w:fill="auto"/>
            <w:noWrap/>
            <w:vAlign w:val="center"/>
            <w:hideMark/>
          </w:tcPr>
          <w:p w14:paraId="08F5F19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68,230</w:t>
            </w:r>
          </w:p>
        </w:tc>
        <w:tc>
          <w:tcPr>
            <w:tcW w:w="941" w:type="dxa"/>
            <w:shd w:val="clear" w:color="auto" w:fill="auto"/>
            <w:noWrap/>
            <w:vAlign w:val="center"/>
            <w:hideMark/>
          </w:tcPr>
          <w:p w14:paraId="5E40E6C5"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577,638</w:t>
            </w:r>
          </w:p>
        </w:tc>
      </w:tr>
      <w:tr w:rsidR="00364C3E" w:rsidRPr="0084045A" w14:paraId="343E8273" w14:textId="77777777" w:rsidTr="0015649E">
        <w:trPr>
          <w:trHeight w:hRule="exact" w:val="284"/>
          <w:jc w:val="center"/>
        </w:trPr>
        <w:tc>
          <w:tcPr>
            <w:tcW w:w="1602" w:type="dxa"/>
            <w:shd w:val="clear" w:color="auto" w:fill="auto"/>
            <w:noWrap/>
            <w:vAlign w:val="center"/>
            <w:hideMark/>
          </w:tcPr>
          <w:p w14:paraId="4A8E073C"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Ciudad de México</w:t>
            </w:r>
          </w:p>
        </w:tc>
        <w:tc>
          <w:tcPr>
            <w:tcW w:w="525" w:type="dxa"/>
            <w:shd w:val="clear" w:color="auto" w:fill="auto"/>
            <w:noWrap/>
            <w:vAlign w:val="center"/>
            <w:hideMark/>
          </w:tcPr>
          <w:p w14:paraId="45B8644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626,024</w:t>
            </w:r>
          </w:p>
        </w:tc>
        <w:tc>
          <w:tcPr>
            <w:tcW w:w="852" w:type="dxa"/>
            <w:shd w:val="clear" w:color="auto" w:fill="auto"/>
            <w:noWrap/>
            <w:vAlign w:val="center"/>
            <w:hideMark/>
          </w:tcPr>
          <w:p w14:paraId="4DEC160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272,413</w:t>
            </w:r>
          </w:p>
        </w:tc>
        <w:tc>
          <w:tcPr>
            <w:tcW w:w="941" w:type="dxa"/>
            <w:shd w:val="clear" w:color="auto" w:fill="auto"/>
            <w:noWrap/>
            <w:vAlign w:val="center"/>
            <w:hideMark/>
          </w:tcPr>
          <w:p w14:paraId="75166F7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958,372</w:t>
            </w:r>
          </w:p>
        </w:tc>
        <w:tc>
          <w:tcPr>
            <w:tcW w:w="941" w:type="dxa"/>
            <w:shd w:val="clear" w:color="auto" w:fill="auto"/>
            <w:noWrap/>
            <w:vAlign w:val="center"/>
            <w:hideMark/>
          </w:tcPr>
          <w:p w14:paraId="78BE653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860,627</w:t>
            </w:r>
          </w:p>
        </w:tc>
        <w:tc>
          <w:tcPr>
            <w:tcW w:w="941" w:type="dxa"/>
            <w:shd w:val="clear" w:color="auto" w:fill="auto"/>
            <w:noWrap/>
            <w:vAlign w:val="center"/>
            <w:hideMark/>
          </w:tcPr>
          <w:p w14:paraId="3B3EED0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830,047</w:t>
            </w:r>
          </w:p>
        </w:tc>
        <w:tc>
          <w:tcPr>
            <w:tcW w:w="852" w:type="dxa"/>
            <w:shd w:val="clear" w:color="auto" w:fill="auto"/>
            <w:noWrap/>
            <w:vAlign w:val="center"/>
            <w:hideMark/>
          </w:tcPr>
          <w:p w14:paraId="781879A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725,357</w:t>
            </w:r>
          </w:p>
        </w:tc>
        <w:tc>
          <w:tcPr>
            <w:tcW w:w="941" w:type="dxa"/>
            <w:shd w:val="clear" w:color="auto" w:fill="auto"/>
            <w:noWrap/>
            <w:vAlign w:val="center"/>
            <w:hideMark/>
          </w:tcPr>
          <w:p w14:paraId="5E00513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805,871</w:t>
            </w:r>
          </w:p>
        </w:tc>
        <w:tc>
          <w:tcPr>
            <w:tcW w:w="941" w:type="dxa"/>
            <w:shd w:val="clear" w:color="auto" w:fill="auto"/>
            <w:noWrap/>
            <w:vAlign w:val="center"/>
            <w:hideMark/>
          </w:tcPr>
          <w:p w14:paraId="4D38788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1,302,691</w:t>
            </w:r>
          </w:p>
        </w:tc>
        <w:tc>
          <w:tcPr>
            <w:tcW w:w="941" w:type="dxa"/>
            <w:shd w:val="clear" w:color="auto" w:fill="auto"/>
            <w:noWrap/>
            <w:vAlign w:val="center"/>
            <w:hideMark/>
          </w:tcPr>
          <w:p w14:paraId="0A74D32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793,820</w:t>
            </w:r>
          </w:p>
        </w:tc>
        <w:tc>
          <w:tcPr>
            <w:tcW w:w="941" w:type="dxa"/>
            <w:shd w:val="clear" w:color="auto" w:fill="auto"/>
            <w:noWrap/>
            <w:vAlign w:val="center"/>
            <w:hideMark/>
          </w:tcPr>
          <w:p w14:paraId="3ED609B0"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7,175,222</w:t>
            </w:r>
          </w:p>
        </w:tc>
      </w:tr>
      <w:tr w:rsidR="00364C3E" w:rsidRPr="0084045A" w14:paraId="18571C2B" w14:textId="77777777" w:rsidTr="0015649E">
        <w:trPr>
          <w:trHeight w:hRule="exact" w:val="284"/>
          <w:jc w:val="center"/>
        </w:trPr>
        <w:tc>
          <w:tcPr>
            <w:tcW w:w="1602" w:type="dxa"/>
            <w:shd w:val="clear" w:color="auto" w:fill="auto"/>
            <w:noWrap/>
            <w:vAlign w:val="center"/>
            <w:hideMark/>
          </w:tcPr>
          <w:p w14:paraId="5D1F43A0"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Durango</w:t>
            </w:r>
          </w:p>
        </w:tc>
        <w:tc>
          <w:tcPr>
            <w:tcW w:w="525" w:type="dxa"/>
            <w:shd w:val="clear" w:color="auto" w:fill="auto"/>
            <w:noWrap/>
            <w:vAlign w:val="center"/>
            <w:hideMark/>
          </w:tcPr>
          <w:p w14:paraId="137246C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121,719</w:t>
            </w:r>
          </w:p>
        </w:tc>
        <w:tc>
          <w:tcPr>
            <w:tcW w:w="852" w:type="dxa"/>
            <w:shd w:val="clear" w:color="auto" w:fill="auto"/>
            <w:noWrap/>
            <w:vAlign w:val="center"/>
            <w:hideMark/>
          </w:tcPr>
          <w:p w14:paraId="2211876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53,215</w:t>
            </w:r>
          </w:p>
        </w:tc>
        <w:tc>
          <w:tcPr>
            <w:tcW w:w="941" w:type="dxa"/>
            <w:shd w:val="clear" w:color="auto" w:fill="auto"/>
            <w:noWrap/>
            <w:vAlign w:val="center"/>
            <w:hideMark/>
          </w:tcPr>
          <w:p w14:paraId="1585193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188,964</w:t>
            </w:r>
          </w:p>
        </w:tc>
        <w:tc>
          <w:tcPr>
            <w:tcW w:w="941" w:type="dxa"/>
            <w:shd w:val="clear" w:color="auto" w:fill="auto"/>
            <w:noWrap/>
            <w:vAlign w:val="center"/>
            <w:hideMark/>
          </w:tcPr>
          <w:p w14:paraId="2E2645A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164,776</w:t>
            </w:r>
          </w:p>
        </w:tc>
        <w:tc>
          <w:tcPr>
            <w:tcW w:w="941" w:type="dxa"/>
            <w:shd w:val="clear" w:color="auto" w:fill="auto"/>
            <w:noWrap/>
            <w:vAlign w:val="center"/>
            <w:hideMark/>
          </w:tcPr>
          <w:p w14:paraId="0D4AE14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169,746</w:t>
            </w:r>
          </w:p>
        </w:tc>
        <w:tc>
          <w:tcPr>
            <w:tcW w:w="852" w:type="dxa"/>
            <w:shd w:val="clear" w:color="auto" w:fill="auto"/>
            <w:noWrap/>
            <w:vAlign w:val="center"/>
            <w:hideMark/>
          </w:tcPr>
          <w:p w14:paraId="0CB015F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146,398</w:t>
            </w:r>
          </w:p>
        </w:tc>
        <w:tc>
          <w:tcPr>
            <w:tcW w:w="941" w:type="dxa"/>
            <w:shd w:val="clear" w:color="auto" w:fill="auto"/>
            <w:noWrap/>
            <w:vAlign w:val="center"/>
            <w:hideMark/>
          </w:tcPr>
          <w:p w14:paraId="5A4763A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163,687</w:t>
            </w:r>
          </w:p>
        </w:tc>
        <w:tc>
          <w:tcPr>
            <w:tcW w:w="941" w:type="dxa"/>
            <w:shd w:val="clear" w:color="auto" w:fill="auto"/>
            <w:noWrap/>
            <w:vAlign w:val="center"/>
            <w:hideMark/>
          </w:tcPr>
          <w:p w14:paraId="7FC7872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260,589</w:t>
            </w:r>
          </w:p>
        </w:tc>
        <w:tc>
          <w:tcPr>
            <w:tcW w:w="941" w:type="dxa"/>
            <w:shd w:val="clear" w:color="auto" w:fill="auto"/>
            <w:noWrap/>
            <w:vAlign w:val="center"/>
            <w:hideMark/>
          </w:tcPr>
          <w:p w14:paraId="249838C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165,172</w:t>
            </w:r>
          </w:p>
        </w:tc>
        <w:tc>
          <w:tcPr>
            <w:tcW w:w="941" w:type="dxa"/>
            <w:shd w:val="clear" w:color="auto" w:fill="auto"/>
            <w:noWrap/>
            <w:vAlign w:val="center"/>
            <w:hideMark/>
          </w:tcPr>
          <w:p w14:paraId="7EC64BCE"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1,434,266</w:t>
            </w:r>
          </w:p>
        </w:tc>
      </w:tr>
      <w:tr w:rsidR="00364C3E" w:rsidRPr="0084045A" w14:paraId="72F1A725" w14:textId="77777777" w:rsidTr="0015649E">
        <w:trPr>
          <w:trHeight w:hRule="exact" w:val="284"/>
          <w:jc w:val="center"/>
        </w:trPr>
        <w:tc>
          <w:tcPr>
            <w:tcW w:w="1602" w:type="dxa"/>
            <w:shd w:val="clear" w:color="auto" w:fill="auto"/>
            <w:noWrap/>
            <w:vAlign w:val="center"/>
            <w:hideMark/>
          </w:tcPr>
          <w:p w14:paraId="60E05AB0"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Guerrero</w:t>
            </w:r>
          </w:p>
        </w:tc>
        <w:tc>
          <w:tcPr>
            <w:tcW w:w="525" w:type="dxa"/>
            <w:shd w:val="clear" w:color="auto" w:fill="auto"/>
            <w:noWrap/>
            <w:vAlign w:val="center"/>
            <w:hideMark/>
          </w:tcPr>
          <w:p w14:paraId="1A03ED3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254,561</w:t>
            </w:r>
          </w:p>
        </w:tc>
        <w:tc>
          <w:tcPr>
            <w:tcW w:w="852" w:type="dxa"/>
            <w:shd w:val="clear" w:color="auto" w:fill="auto"/>
            <w:noWrap/>
            <w:vAlign w:val="center"/>
            <w:hideMark/>
          </w:tcPr>
          <w:p w14:paraId="23AFA08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110,243</w:t>
            </w:r>
          </w:p>
        </w:tc>
        <w:tc>
          <w:tcPr>
            <w:tcW w:w="941" w:type="dxa"/>
            <w:shd w:val="clear" w:color="auto" w:fill="auto"/>
            <w:noWrap/>
            <w:vAlign w:val="center"/>
            <w:hideMark/>
          </w:tcPr>
          <w:p w14:paraId="23AD730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388,873</w:t>
            </w:r>
          </w:p>
        </w:tc>
        <w:tc>
          <w:tcPr>
            <w:tcW w:w="941" w:type="dxa"/>
            <w:shd w:val="clear" w:color="auto" w:fill="auto"/>
            <w:noWrap/>
            <w:vAlign w:val="center"/>
            <w:hideMark/>
          </w:tcPr>
          <w:p w14:paraId="5023425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331,818</w:t>
            </w:r>
          </w:p>
        </w:tc>
        <w:tc>
          <w:tcPr>
            <w:tcW w:w="941" w:type="dxa"/>
            <w:shd w:val="clear" w:color="auto" w:fill="auto"/>
            <w:noWrap/>
            <w:vAlign w:val="center"/>
            <w:hideMark/>
          </w:tcPr>
          <w:p w14:paraId="73B4D92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345,836</w:t>
            </w:r>
          </w:p>
        </w:tc>
        <w:tc>
          <w:tcPr>
            <w:tcW w:w="852" w:type="dxa"/>
            <w:shd w:val="clear" w:color="auto" w:fill="auto"/>
            <w:noWrap/>
            <w:vAlign w:val="center"/>
            <w:hideMark/>
          </w:tcPr>
          <w:p w14:paraId="7BFC577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292,568</w:t>
            </w:r>
          </w:p>
        </w:tc>
        <w:tc>
          <w:tcPr>
            <w:tcW w:w="941" w:type="dxa"/>
            <w:shd w:val="clear" w:color="auto" w:fill="auto"/>
            <w:noWrap/>
            <w:vAlign w:val="center"/>
            <w:hideMark/>
          </w:tcPr>
          <w:p w14:paraId="1AB401B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328,247</w:t>
            </w:r>
          </w:p>
        </w:tc>
        <w:tc>
          <w:tcPr>
            <w:tcW w:w="941" w:type="dxa"/>
            <w:shd w:val="clear" w:color="auto" w:fill="auto"/>
            <w:noWrap/>
            <w:vAlign w:val="center"/>
            <w:hideMark/>
          </w:tcPr>
          <w:p w14:paraId="06B1A33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517,711</w:t>
            </w:r>
          </w:p>
        </w:tc>
        <w:tc>
          <w:tcPr>
            <w:tcW w:w="941" w:type="dxa"/>
            <w:shd w:val="clear" w:color="auto" w:fill="auto"/>
            <w:noWrap/>
            <w:vAlign w:val="center"/>
            <w:hideMark/>
          </w:tcPr>
          <w:p w14:paraId="67CF4C7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326,742</w:t>
            </w:r>
          </w:p>
        </w:tc>
        <w:tc>
          <w:tcPr>
            <w:tcW w:w="941" w:type="dxa"/>
            <w:shd w:val="clear" w:color="auto" w:fill="auto"/>
            <w:noWrap/>
            <w:vAlign w:val="center"/>
            <w:hideMark/>
          </w:tcPr>
          <w:p w14:paraId="16B683F9"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2,896,598</w:t>
            </w:r>
          </w:p>
        </w:tc>
      </w:tr>
      <w:tr w:rsidR="00364C3E" w:rsidRPr="0084045A" w14:paraId="00C6E8BA" w14:textId="77777777" w:rsidTr="0015649E">
        <w:trPr>
          <w:trHeight w:hRule="exact" w:val="284"/>
          <w:jc w:val="center"/>
        </w:trPr>
        <w:tc>
          <w:tcPr>
            <w:tcW w:w="1602" w:type="dxa"/>
            <w:shd w:val="clear" w:color="auto" w:fill="auto"/>
            <w:noWrap/>
            <w:vAlign w:val="center"/>
            <w:hideMark/>
          </w:tcPr>
          <w:p w14:paraId="3BA61F6B"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Guanajuato</w:t>
            </w:r>
          </w:p>
        </w:tc>
        <w:tc>
          <w:tcPr>
            <w:tcW w:w="525" w:type="dxa"/>
            <w:shd w:val="clear" w:color="auto" w:fill="auto"/>
            <w:noWrap/>
            <w:vAlign w:val="center"/>
            <w:hideMark/>
          </w:tcPr>
          <w:p w14:paraId="6F1011C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407,406</w:t>
            </w:r>
          </w:p>
        </w:tc>
        <w:tc>
          <w:tcPr>
            <w:tcW w:w="852" w:type="dxa"/>
            <w:shd w:val="clear" w:color="auto" w:fill="auto"/>
            <w:noWrap/>
            <w:vAlign w:val="center"/>
            <w:hideMark/>
          </w:tcPr>
          <w:p w14:paraId="5686EB3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177,793</w:t>
            </w:r>
          </w:p>
        </w:tc>
        <w:tc>
          <w:tcPr>
            <w:tcW w:w="941" w:type="dxa"/>
            <w:shd w:val="clear" w:color="auto" w:fill="auto"/>
            <w:noWrap/>
            <w:vAlign w:val="center"/>
            <w:hideMark/>
          </w:tcPr>
          <w:p w14:paraId="10F97FD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628,644</w:t>
            </w:r>
          </w:p>
        </w:tc>
        <w:tc>
          <w:tcPr>
            <w:tcW w:w="941" w:type="dxa"/>
            <w:shd w:val="clear" w:color="auto" w:fill="auto"/>
            <w:noWrap/>
            <w:vAlign w:val="center"/>
            <w:hideMark/>
          </w:tcPr>
          <w:p w14:paraId="4EAAD23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549,226</w:t>
            </w:r>
          </w:p>
        </w:tc>
        <w:tc>
          <w:tcPr>
            <w:tcW w:w="941" w:type="dxa"/>
            <w:shd w:val="clear" w:color="auto" w:fill="auto"/>
            <w:noWrap/>
            <w:vAlign w:val="center"/>
            <w:hideMark/>
          </w:tcPr>
          <w:p w14:paraId="0A4F8A2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560,887</w:t>
            </w:r>
          </w:p>
        </w:tc>
        <w:tc>
          <w:tcPr>
            <w:tcW w:w="852" w:type="dxa"/>
            <w:shd w:val="clear" w:color="auto" w:fill="auto"/>
            <w:noWrap/>
            <w:vAlign w:val="center"/>
            <w:hideMark/>
          </w:tcPr>
          <w:p w14:paraId="2873016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486,267</w:t>
            </w:r>
          </w:p>
        </w:tc>
        <w:tc>
          <w:tcPr>
            <w:tcW w:w="941" w:type="dxa"/>
            <w:shd w:val="clear" w:color="auto" w:fill="auto"/>
            <w:noWrap/>
            <w:vAlign w:val="center"/>
            <w:hideMark/>
          </w:tcPr>
          <w:p w14:paraId="5F08EDE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540,340</w:t>
            </w:r>
          </w:p>
        </w:tc>
        <w:tc>
          <w:tcPr>
            <w:tcW w:w="941" w:type="dxa"/>
            <w:shd w:val="clear" w:color="auto" w:fill="auto"/>
            <w:noWrap/>
            <w:vAlign w:val="center"/>
            <w:hideMark/>
          </w:tcPr>
          <w:p w14:paraId="749CC1C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861,232</w:t>
            </w:r>
          </w:p>
        </w:tc>
        <w:tc>
          <w:tcPr>
            <w:tcW w:w="941" w:type="dxa"/>
            <w:shd w:val="clear" w:color="auto" w:fill="auto"/>
            <w:noWrap/>
            <w:vAlign w:val="center"/>
            <w:hideMark/>
          </w:tcPr>
          <w:p w14:paraId="3CC345A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548,143</w:t>
            </w:r>
          </w:p>
        </w:tc>
        <w:tc>
          <w:tcPr>
            <w:tcW w:w="941" w:type="dxa"/>
            <w:shd w:val="clear" w:color="auto" w:fill="auto"/>
            <w:noWrap/>
            <w:vAlign w:val="center"/>
            <w:hideMark/>
          </w:tcPr>
          <w:p w14:paraId="2A545829"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4,759,938</w:t>
            </w:r>
          </w:p>
        </w:tc>
      </w:tr>
      <w:tr w:rsidR="00364C3E" w:rsidRPr="0084045A" w14:paraId="12509A94" w14:textId="77777777" w:rsidTr="0015649E">
        <w:trPr>
          <w:trHeight w:hRule="exact" w:val="284"/>
          <w:jc w:val="center"/>
        </w:trPr>
        <w:tc>
          <w:tcPr>
            <w:tcW w:w="1602" w:type="dxa"/>
            <w:shd w:val="clear" w:color="auto" w:fill="auto"/>
            <w:noWrap/>
            <w:vAlign w:val="center"/>
            <w:hideMark/>
          </w:tcPr>
          <w:p w14:paraId="69DAD427"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Hidalgo</w:t>
            </w:r>
          </w:p>
        </w:tc>
        <w:tc>
          <w:tcPr>
            <w:tcW w:w="525" w:type="dxa"/>
            <w:shd w:val="clear" w:color="auto" w:fill="auto"/>
            <w:noWrap/>
            <w:vAlign w:val="center"/>
            <w:hideMark/>
          </w:tcPr>
          <w:p w14:paraId="0B09B8E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196,532</w:t>
            </w:r>
          </w:p>
        </w:tc>
        <w:tc>
          <w:tcPr>
            <w:tcW w:w="852" w:type="dxa"/>
            <w:shd w:val="clear" w:color="auto" w:fill="auto"/>
            <w:noWrap/>
            <w:vAlign w:val="center"/>
            <w:hideMark/>
          </w:tcPr>
          <w:p w14:paraId="0F0862D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85,981</w:t>
            </w:r>
          </w:p>
        </w:tc>
        <w:tc>
          <w:tcPr>
            <w:tcW w:w="941" w:type="dxa"/>
            <w:shd w:val="clear" w:color="auto" w:fill="auto"/>
            <w:noWrap/>
            <w:vAlign w:val="center"/>
            <w:hideMark/>
          </w:tcPr>
          <w:p w14:paraId="4FC3DC6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305,480</w:t>
            </w:r>
          </w:p>
        </w:tc>
        <w:tc>
          <w:tcPr>
            <w:tcW w:w="941" w:type="dxa"/>
            <w:shd w:val="clear" w:color="auto" w:fill="auto"/>
            <w:noWrap/>
            <w:vAlign w:val="center"/>
            <w:hideMark/>
          </w:tcPr>
          <w:p w14:paraId="27EADAD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268,000</w:t>
            </w:r>
          </w:p>
        </w:tc>
        <w:tc>
          <w:tcPr>
            <w:tcW w:w="941" w:type="dxa"/>
            <w:shd w:val="clear" w:color="auto" w:fill="auto"/>
            <w:noWrap/>
            <w:vAlign w:val="center"/>
            <w:hideMark/>
          </w:tcPr>
          <w:p w14:paraId="77D972B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274,224</w:t>
            </w:r>
          </w:p>
        </w:tc>
        <w:tc>
          <w:tcPr>
            <w:tcW w:w="852" w:type="dxa"/>
            <w:shd w:val="clear" w:color="auto" w:fill="auto"/>
            <w:noWrap/>
            <w:vAlign w:val="center"/>
            <w:hideMark/>
          </w:tcPr>
          <w:p w14:paraId="6C13D5A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237,469</w:t>
            </w:r>
          </w:p>
        </w:tc>
        <w:tc>
          <w:tcPr>
            <w:tcW w:w="941" w:type="dxa"/>
            <w:shd w:val="clear" w:color="auto" w:fill="auto"/>
            <w:noWrap/>
            <w:vAlign w:val="center"/>
            <w:hideMark/>
          </w:tcPr>
          <w:p w14:paraId="4FF8B14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267,063</w:t>
            </w:r>
          </w:p>
        </w:tc>
        <w:tc>
          <w:tcPr>
            <w:tcW w:w="941" w:type="dxa"/>
            <w:shd w:val="clear" w:color="auto" w:fill="auto"/>
            <w:noWrap/>
            <w:vAlign w:val="center"/>
            <w:hideMark/>
          </w:tcPr>
          <w:p w14:paraId="12B6A90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428,214</w:t>
            </w:r>
          </w:p>
        </w:tc>
        <w:tc>
          <w:tcPr>
            <w:tcW w:w="941" w:type="dxa"/>
            <w:shd w:val="clear" w:color="auto" w:fill="auto"/>
            <w:noWrap/>
            <w:vAlign w:val="center"/>
            <w:hideMark/>
          </w:tcPr>
          <w:p w14:paraId="047EFAB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271,118</w:t>
            </w:r>
          </w:p>
        </w:tc>
        <w:tc>
          <w:tcPr>
            <w:tcW w:w="941" w:type="dxa"/>
            <w:shd w:val="clear" w:color="auto" w:fill="auto"/>
            <w:noWrap/>
            <w:vAlign w:val="center"/>
            <w:hideMark/>
          </w:tcPr>
          <w:p w14:paraId="1663EB8F"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2,334,079</w:t>
            </w:r>
          </w:p>
        </w:tc>
      </w:tr>
      <w:tr w:rsidR="00364C3E" w:rsidRPr="0084045A" w14:paraId="284A344D" w14:textId="77777777" w:rsidTr="0015649E">
        <w:trPr>
          <w:trHeight w:hRule="exact" w:val="284"/>
          <w:jc w:val="center"/>
        </w:trPr>
        <w:tc>
          <w:tcPr>
            <w:tcW w:w="1602" w:type="dxa"/>
            <w:shd w:val="clear" w:color="auto" w:fill="auto"/>
            <w:noWrap/>
            <w:vAlign w:val="center"/>
            <w:hideMark/>
          </w:tcPr>
          <w:p w14:paraId="3946DA23"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Jalisco</w:t>
            </w:r>
          </w:p>
        </w:tc>
        <w:tc>
          <w:tcPr>
            <w:tcW w:w="525" w:type="dxa"/>
            <w:shd w:val="clear" w:color="auto" w:fill="auto"/>
            <w:noWrap/>
            <w:vAlign w:val="center"/>
            <w:hideMark/>
          </w:tcPr>
          <w:p w14:paraId="6E2B374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544,764</w:t>
            </w:r>
          </w:p>
        </w:tc>
        <w:tc>
          <w:tcPr>
            <w:tcW w:w="852" w:type="dxa"/>
            <w:shd w:val="clear" w:color="auto" w:fill="auto"/>
            <w:noWrap/>
            <w:vAlign w:val="center"/>
            <w:hideMark/>
          </w:tcPr>
          <w:p w14:paraId="0AF53C8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237,777</w:t>
            </w:r>
          </w:p>
        </w:tc>
        <w:tc>
          <w:tcPr>
            <w:tcW w:w="941" w:type="dxa"/>
            <w:shd w:val="clear" w:color="auto" w:fill="auto"/>
            <w:noWrap/>
            <w:vAlign w:val="center"/>
            <w:hideMark/>
          </w:tcPr>
          <w:p w14:paraId="7D1E9E8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841,824</w:t>
            </w:r>
          </w:p>
        </w:tc>
        <w:tc>
          <w:tcPr>
            <w:tcW w:w="941" w:type="dxa"/>
            <w:shd w:val="clear" w:color="auto" w:fill="auto"/>
            <w:noWrap/>
            <w:vAlign w:val="center"/>
            <w:hideMark/>
          </w:tcPr>
          <w:p w14:paraId="1AB4FC2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739,591</w:t>
            </w:r>
          </w:p>
        </w:tc>
        <w:tc>
          <w:tcPr>
            <w:tcW w:w="941" w:type="dxa"/>
            <w:shd w:val="clear" w:color="auto" w:fill="auto"/>
            <w:noWrap/>
            <w:vAlign w:val="center"/>
            <w:hideMark/>
          </w:tcPr>
          <w:p w14:paraId="2C3982B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750,109</w:t>
            </w:r>
          </w:p>
        </w:tc>
        <w:tc>
          <w:tcPr>
            <w:tcW w:w="852" w:type="dxa"/>
            <w:shd w:val="clear" w:color="auto" w:fill="auto"/>
            <w:noWrap/>
            <w:vAlign w:val="center"/>
            <w:hideMark/>
          </w:tcPr>
          <w:p w14:paraId="355767B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651,298</w:t>
            </w:r>
          </w:p>
        </w:tc>
        <w:tc>
          <w:tcPr>
            <w:tcW w:w="941" w:type="dxa"/>
            <w:shd w:val="clear" w:color="auto" w:fill="auto"/>
            <w:noWrap/>
            <w:vAlign w:val="center"/>
            <w:hideMark/>
          </w:tcPr>
          <w:p w14:paraId="75329FC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726,082</w:t>
            </w:r>
          </w:p>
        </w:tc>
        <w:tc>
          <w:tcPr>
            <w:tcW w:w="941" w:type="dxa"/>
            <w:shd w:val="clear" w:color="auto" w:fill="auto"/>
            <w:noWrap/>
            <w:vAlign w:val="center"/>
            <w:hideMark/>
          </w:tcPr>
          <w:p w14:paraId="3228C6B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1,162,135</w:t>
            </w:r>
          </w:p>
        </w:tc>
        <w:tc>
          <w:tcPr>
            <w:tcW w:w="941" w:type="dxa"/>
            <w:shd w:val="clear" w:color="auto" w:fill="auto"/>
            <w:noWrap/>
            <w:vAlign w:val="center"/>
            <w:hideMark/>
          </w:tcPr>
          <w:p w14:paraId="615C85D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737,133</w:t>
            </w:r>
          </w:p>
        </w:tc>
        <w:tc>
          <w:tcPr>
            <w:tcW w:w="941" w:type="dxa"/>
            <w:shd w:val="clear" w:color="auto" w:fill="auto"/>
            <w:noWrap/>
            <w:vAlign w:val="center"/>
            <w:hideMark/>
          </w:tcPr>
          <w:p w14:paraId="358772C1"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6,390,713</w:t>
            </w:r>
          </w:p>
        </w:tc>
      </w:tr>
      <w:tr w:rsidR="00364C3E" w:rsidRPr="0084045A" w14:paraId="3F21AB52" w14:textId="77777777" w:rsidTr="0015649E">
        <w:trPr>
          <w:trHeight w:hRule="exact" w:val="284"/>
          <w:jc w:val="center"/>
        </w:trPr>
        <w:tc>
          <w:tcPr>
            <w:tcW w:w="1602" w:type="dxa"/>
            <w:shd w:val="clear" w:color="auto" w:fill="auto"/>
            <w:noWrap/>
            <w:vAlign w:val="center"/>
            <w:hideMark/>
          </w:tcPr>
          <w:p w14:paraId="41C52DD0"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México</w:t>
            </w:r>
          </w:p>
        </w:tc>
        <w:tc>
          <w:tcPr>
            <w:tcW w:w="525" w:type="dxa"/>
            <w:shd w:val="clear" w:color="auto" w:fill="auto"/>
            <w:noWrap/>
            <w:vAlign w:val="center"/>
            <w:hideMark/>
          </w:tcPr>
          <w:p w14:paraId="447B551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1,116,748</w:t>
            </w:r>
          </w:p>
        </w:tc>
        <w:tc>
          <w:tcPr>
            <w:tcW w:w="852" w:type="dxa"/>
            <w:shd w:val="clear" w:color="auto" w:fill="auto"/>
            <w:noWrap/>
            <w:vAlign w:val="center"/>
            <w:hideMark/>
          </w:tcPr>
          <w:p w14:paraId="4A7CF72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488,023</w:t>
            </w:r>
          </w:p>
        </w:tc>
        <w:tc>
          <w:tcPr>
            <w:tcW w:w="941" w:type="dxa"/>
            <w:shd w:val="clear" w:color="auto" w:fill="auto"/>
            <w:noWrap/>
            <w:vAlign w:val="center"/>
            <w:hideMark/>
          </w:tcPr>
          <w:p w14:paraId="37216C4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1,723,417</w:t>
            </w:r>
          </w:p>
        </w:tc>
        <w:tc>
          <w:tcPr>
            <w:tcW w:w="941" w:type="dxa"/>
            <w:shd w:val="clear" w:color="auto" w:fill="auto"/>
            <w:noWrap/>
            <w:vAlign w:val="center"/>
            <w:hideMark/>
          </w:tcPr>
          <w:p w14:paraId="1844B27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1,536,580</w:t>
            </w:r>
          </w:p>
        </w:tc>
        <w:tc>
          <w:tcPr>
            <w:tcW w:w="941" w:type="dxa"/>
            <w:shd w:val="clear" w:color="auto" w:fill="auto"/>
            <w:noWrap/>
            <w:vAlign w:val="center"/>
            <w:hideMark/>
          </w:tcPr>
          <w:p w14:paraId="1E7F800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1,530,724</w:t>
            </w:r>
          </w:p>
        </w:tc>
        <w:tc>
          <w:tcPr>
            <w:tcW w:w="852" w:type="dxa"/>
            <w:shd w:val="clear" w:color="auto" w:fill="auto"/>
            <w:noWrap/>
            <w:vAlign w:val="center"/>
            <w:hideMark/>
          </w:tcPr>
          <w:p w14:paraId="1C5F95F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1,349,312</w:t>
            </w:r>
          </w:p>
        </w:tc>
        <w:tc>
          <w:tcPr>
            <w:tcW w:w="941" w:type="dxa"/>
            <w:shd w:val="clear" w:color="auto" w:fill="auto"/>
            <w:noWrap/>
            <w:vAlign w:val="center"/>
            <w:hideMark/>
          </w:tcPr>
          <w:p w14:paraId="1A08DD2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1,495,462</w:t>
            </w:r>
          </w:p>
        </w:tc>
        <w:tc>
          <w:tcPr>
            <w:tcW w:w="941" w:type="dxa"/>
            <w:shd w:val="clear" w:color="auto" w:fill="auto"/>
            <w:noWrap/>
            <w:vAlign w:val="center"/>
            <w:hideMark/>
          </w:tcPr>
          <w:p w14:paraId="6118F26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2,407,674</w:t>
            </w:r>
          </w:p>
        </w:tc>
        <w:tc>
          <w:tcPr>
            <w:tcW w:w="941" w:type="dxa"/>
            <w:shd w:val="clear" w:color="auto" w:fill="auto"/>
            <w:noWrap/>
            <w:vAlign w:val="center"/>
            <w:hideMark/>
          </w:tcPr>
          <w:p w14:paraId="1517BC4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1,523,682</w:t>
            </w:r>
          </w:p>
        </w:tc>
        <w:tc>
          <w:tcPr>
            <w:tcW w:w="941" w:type="dxa"/>
            <w:shd w:val="clear" w:color="auto" w:fill="auto"/>
            <w:noWrap/>
            <w:vAlign w:val="center"/>
            <w:hideMark/>
          </w:tcPr>
          <w:p w14:paraId="4A9E8A04"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13,171,621</w:t>
            </w:r>
          </w:p>
        </w:tc>
      </w:tr>
      <w:tr w:rsidR="00364C3E" w:rsidRPr="0084045A" w14:paraId="33806765" w14:textId="77777777" w:rsidTr="0015649E">
        <w:trPr>
          <w:trHeight w:hRule="exact" w:val="284"/>
          <w:jc w:val="center"/>
        </w:trPr>
        <w:tc>
          <w:tcPr>
            <w:tcW w:w="1602" w:type="dxa"/>
            <w:shd w:val="clear" w:color="auto" w:fill="auto"/>
            <w:noWrap/>
            <w:vAlign w:val="center"/>
            <w:hideMark/>
          </w:tcPr>
          <w:p w14:paraId="09B649E6"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Michoacán</w:t>
            </w:r>
          </w:p>
        </w:tc>
        <w:tc>
          <w:tcPr>
            <w:tcW w:w="525" w:type="dxa"/>
            <w:shd w:val="clear" w:color="auto" w:fill="auto"/>
            <w:noWrap/>
            <w:vAlign w:val="center"/>
            <w:hideMark/>
          </w:tcPr>
          <w:p w14:paraId="313DBF9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321,865</w:t>
            </w:r>
          </w:p>
        </w:tc>
        <w:tc>
          <w:tcPr>
            <w:tcW w:w="852" w:type="dxa"/>
            <w:shd w:val="clear" w:color="auto" w:fill="auto"/>
            <w:noWrap/>
            <w:vAlign w:val="center"/>
            <w:hideMark/>
          </w:tcPr>
          <w:p w14:paraId="28ECD9A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140,325</w:t>
            </w:r>
          </w:p>
        </w:tc>
        <w:tc>
          <w:tcPr>
            <w:tcW w:w="941" w:type="dxa"/>
            <w:shd w:val="clear" w:color="auto" w:fill="auto"/>
            <w:noWrap/>
            <w:vAlign w:val="center"/>
            <w:hideMark/>
          </w:tcPr>
          <w:p w14:paraId="2167B46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497,058</w:t>
            </w:r>
          </w:p>
        </w:tc>
        <w:tc>
          <w:tcPr>
            <w:tcW w:w="941" w:type="dxa"/>
            <w:shd w:val="clear" w:color="auto" w:fill="auto"/>
            <w:noWrap/>
            <w:vAlign w:val="center"/>
            <w:hideMark/>
          </w:tcPr>
          <w:p w14:paraId="228115E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430,590</w:t>
            </w:r>
          </w:p>
        </w:tc>
        <w:tc>
          <w:tcPr>
            <w:tcW w:w="941" w:type="dxa"/>
            <w:shd w:val="clear" w:color="auto" w:fill="auto"/>
            <w:noWrap/>
            <w:vAlign w:val="center"/>
            <w:hideMark/>
          </w:tcPr>
          <w:p w14:paraId="4D3339F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443,671</w:t>
            </w:r>
          </w:p>
        </w:tc>
        <w:tc>
          <w:tcPr>
            <w:tcW w:w="852" w:type="dxa"/>
            <w:shd w:val="clear" w:color="auto" w:fill="auto"/>
            <w:noWrap/>
            <w:vAlign w:val="center"/>
            <w:hideMark/>
          </w:tcPr>
          <w:p w14:paraId="414428F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379,657</w:t>
            </w:r>
          </w:p>
        </w:tc>
        <w:tc>
          <w:tcPr>
            <w:tcW w:w="941" w:type="dxa"/>
            <w:shd w:val="clear" w:color="auto" w:fill="auto"/>
            <w:noWrap/>
            <w:vAlign w:val="center"/>
            <w:hideMark/>
          </w:tcPr>
          <w:p w14:paraId="6EE3D92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425,372</w:t>
            </w:r>
          </w:p>
        </w:tc>
        <w:tc>
          <w:tcPr>
            <w:tcW w:w="941" w:type="dxa"/>
            <w:shd w:val="clear" w:color="auto" w:fill="auto"/>
            <w:noWrap/>
            <w:vAlign w:val="center"/>
            <w:hideMark/>
          </w:tcPr>
          <w:p w14:paraId="360E961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676,765</w:t>
            </w:r>
          </w:p>
        </w:tc>
        <w:tc>
          <w:tcPr>
            <w:tcW w:w="941" w:type="dxa"/>
            <w:shd w:val="clear" w:color="auto" w:fill="auto"/>
            <w:noWrap/>
            <w:vAlign w:val="center"/>
            <w:hideMark/>
          </w:tcPr>
          <w:p w14:paraId="689FEF6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427,974</w:t>
            </w:r>
          </w:p>
        </w:tc>
        <w:tc>
          <w:tcPr>
            <w:tcW w:w="941" w:type="dxa"/>
            <w:shd w:val="clear" w:color="auto" w:fill="auto"/>
            <w:noWrap/>
            <w:vAlign w:val="center"/>
            <w:hideMark/>
          </w:tcPr>
          <w:p w14:paraId="5AB02B77"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3,743,277</w:t>
            </w:r>
          </w:p>
        </w:tc>
      </w:tr>
      <w:tr w:rsidR="00364C3E" w:rsidRPr="0084045A" w14:paraId="34CB6F6C" w14:textId="77777777" w:rsidTr="0015649E">
        <w:trPr>
          <w:trHeight w:hRule="exact" w:val="284"/>
          <w:jc w:val="center"/>
        </w:trPr>
        <w:tc>
          <w:tcPr>
            <w:tcW w:w="1602" w:type="dxa"/>
            <w:shd w:val="clear" w:color="auto" w:fill="auto"/>
            <w:noWrap/>
            <w:vAlign w:val="center"/>
            <w:hideMark/>
          </w:tcPr>
          <w:p w14:paraId="600B6E7F"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Morelos</w:t>
            </w:r>
          </w:p>
        </w:tc>
        <w:tc>
          <w:tcPr>
            <w:tcW w:w="525" w:type="dxa"/>
            <w:shd w:val="clear" w:color="auto" w:fill="auto"/>
            <w:noWrap/>
            <w:vAlign w:val="center"/>
            <w:hideMark/>
          </w:tcPr>
          <w:p w14:paraId="319AF20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129,869</w:t>
            </w:r>
          </w:p>
        </w:tc>
        <w:tc>
          <w:tcPr>
            <w:tcW w:w="852" w:type="dxa"/>
            <w:shd w:val="clear" w:color="auto" w:fill="auto"/>
            <w:noWrap/>
            <w:vAlign w:val="center"/>
            <w:hideMark/>
          </w:tcPr>
          <w:p w14:paraId="2044B67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56,918</w:t>
            </w:r>
          </w:p>
        </w:tc>
        <w:tc>
          <w:tcPr>
            <w:tcW w:w="941" w:type="dxa"/>
            <w:shd w:val="clear" w:color="auto" w:fill="auto"/>
            <w:noWrap/>
            <w:vAlign w:val="center"/>
            <w:hideMark/>
          </w:tcPr>
          <w:p w14:paraId="0719A41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202,305</w:t>
            </w:r>
          </w:p>
        </w:tc>
        <w:tc>
          <w:tcPr>
            <w:tcW w:w="941" w:type="dxa"/>
            <w:shd w:val="clear" w:color="auto" w:fill="auto"/>
            <w:noWrap/>
            <w:vAlign w:val="center"/>
            <w:hideMark/>
          </w:tcPr>
          <w:p w14:paraId="7DB9CA0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178,719</w:t>
            </w:r>
          </w:p>
        </w:tc>
        <w:tc>
          <w:tcPr>
            <w:tcW w:w="941" w:type="dxa"/>
            <w:shd w:val="clear" w:color="auto" w:fill="auto"/>
            <w:noWrap/>
            <w:vAlign w:val="center"/>
            <w:hideMark/>
          </w:tcPr>
          <w:p w14:paraId="5B88FC3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181,070</w:t>
            </w:r>
          </w:p>
        </w:tc>
        <w:tc>
          <w:tcPr>
            <w:tcW w:w="852" w:type="dxa"/>
            <w:shd w:val="clear" w:color="auto" w:fill="auto"/>
            <w:noWrap/>
            <w:vAlign w:val="center"/>
            <w:hideMark/>
          </w:tcPr>
          <w:p w14:paraId="314072F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157,340</w:t>
            </w:r>
          </w:p>
        </w:tc>
        <w:tc>
          <w:tcPr>
            <w:tcW w:w="941" w:type="dxa"/>
            <w:shd w:val="clear" w:color="auto" w:fill="auto"/>
            <w:noWrap/>
            <w:vAlign w:val="center"/>
            <w:hideMark/>
          </w:tcPr>
          <w:p w14:paraId="1087554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176,832</w:t>
            </w:r>
          </w:p>
        </w:tc>
        <w:tc>
          <w:tcPr>
            <w:tcW w:w="941" w:type="dxa"/>
            <w:shd w:val="clear" w:color="auto" w:fill="auto"/>
            <w:noWrap/>
            <w:vAlign w:val="center"/>
            <w:hideMark/>
          </w:tcPr>
          <w:p w14:paraId="32DF860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284,736</w:t>
            </w:r>
          </w:p>
        </w:tc>
        <w:tc>
          <w:tcPr>
            <w:tcW w:w="941" w:type="dxa"/>
            <w:shd w:val="clear" w:color="auto" w:fill="auto"/>
            <w:noWrap/>
            <w:vAlign w:val="center"/>
            <w:hideMark/>
          </w:tcPr>
          <w:p w14:paraId="44263A8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179,177</w:t>
            </w:r>
          </w:p>
        </w:tc>
        <w:tc>
          <w:tcPr>
            <w:tcW w:w="941" w:type="dxa"/>
            <w:shd w:val="clear" w:color="auto" w:fill="auto"/>
            <w:noWrap/>
            <w:vAlign w:val="center"/>
            <w:hideMark/>
          </w:tcPr>
          <w:p w14:paraId="099F0690"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1,546,967</w:t>
            </w:r>
          </w:p>
        </w:tc>
      </w:tr>
      <w:tr w:rsidR="00364C3E" w:rsidRPr="0084045A" w14:paraId="0C109DB6" w14:textId="77777777" w:rsidTr="0015649E">
        <w:trPr>
          <w:trHeight w:hRule="exact" w:val="284"/>
          <w:jc w:val="center"/>
        </w:trPr>
        <w:tc>
          <w:tcPr>
            <w:tcW w:w="1602" w:type="dxa"/>
            <w:shd w:val="clear" w:color="auto" w:fill="auto"/>
            <w:noWrap/>
            <w:vAlign w:val="center"/>
            <w:hideMark/>
          </w:tcPr>
          <w:p w14:paraId="7B7E430B"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Nayarit</w:t>
            </w:r>
          </w:p>
        </w:tc>
        <w:tc>
          <w:tcPr>
            <w:tcW w:w="525" w:type="dxa"/>
            <w:shd w:val="clear" w:color="auto" w:fill="auto"/>
            <w:noWrap/>
            <w:vAlign w:val="center"/>
            <w:hideMark/>
          </w:tcPr>
          <w:p w14:paraId="35DF01C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80,088</w:t>
            </w:r>
          </w:p>
        </w:tc>
        <w:tc>
          <w:tcPr>
            <w:tcW w:w="852" w:type="dxa"/>
            <w:shd w:val="clear" w:color="auto" w:fill="auto"/>
            <w:noWrap/>
            <w:vAlign w:val="center"/>
            <w:hideMark/>
          </w:tcPr>
          <w:p w14:paraId="4753B74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35,145</w:t>
            </w:r>
          </w:p>
        </w:tc>
        <w:tc>
          <w:tcPr>
            <w:tcW w:w="941" w:type="dxa"/>
            <w:shd w:val="clear" w:color="auto" w:fill="auto"/>
            <w:noWrap/>
            <w:vAlign w:val="center"/>
            <w:hideMark/>
          </w:tcPr>
          <w:p w14:paraId="71AC3C3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125,448</w:t>
            </w:r>
          </w:p>
        </w:tc>
        <w:tc>
          <w:tcPr>
            <w:tcW w:w="941" w:type="dxa"/>
            <w:shd w:val="clear" w:color="auto" w:fill="auto"/>
            <w:noWrap/>
            <w:vAlign w:val="center"/>
            <w:hideMark/>
          </w:tcPr>
          <w:p w14:paraId="779021F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110,111</w:t>
            </w:r>
          </w:p>
        </w:tc>
        <w:tc>
          <w:tcPr>
            <w:tcW w:w="941" w:type="dxa"/>
            <w:shd w:val="clear" w:color="auto" w:fill="auto"/>
            <w:noWrap/>
            <w:vAlign w:val="center"/>
            <w:hideMark/>
          </w:tcPr>
          <w:p w14:paraId="6F73DBE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113,351</w:t>
            </w:r>
          </w:p>
        </w:tc>
        <w:tc>
          <w:tcPr>
            <w:tcW w:w="852" w:type="dxa"/>
            <w:shd w:val="clear" w:color="auto" w:fill="auto"/>
            <w:noWrap/>
            <w:vAlign w:val="center"/>
            <w:hideMark/>
          </w:tcPr>
          <w:p w14:paraId="4AC8A27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98,143</w:t>
            </w:r>
          </w:p>
        </w:tc>
        <w:tc>
          <w:tcPr>
            <w:tcW w:w="941" w:type="dxa"/>
            <w:shd w:val="clear" w:color="auto" w:fill="auto"/>
            <w:noWrap/>
            <w:vAlign w:val="center"/>
            <w:hideMark/>
          </w:tcPr>
          <w:p w14:paraId="0E0D457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110,434</w:t>
            </w:r>
          </w:p>
        </w:tc>
        <w:tc>
          <w:tcPr>
            <w:tcW w:w="941" w:type="dxa"/>
            <w:shd w:val="clear" w:color="auto" w:fill="auto"/>
            <w:noWrap/>
            <w:vAlign w:val="center"/>
            <w:hideMark/>
          </w:tcPr>
          <w:p w14:paraId="2E2F7DD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177,291</w:t>
            </w:r>
          </w:p>
        </w:tc>
        <w:tc>
          <w:tcPr>
            <w:tcW w:w="941" w:type="dxa"/>
            <w:shd w:val="clear" w:color="auto" w:fill="auto"/>
            <w:noWrap/>
            <w:vAlign w:val="center"/>
            <w:hideMark/>
          </w:tcPr>
          <w:p w14:paraId="6EFC5CA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112,856</w:t>
            </w:r>
          </w:p>
        </w:tc>
        <w:tc>
          <w:tcPr>
            <w:tcW w:w="941" w:type="dxa"/>
            <w:shd w:val="clear" w:color="auto" w:fill="auto"/>
            <w:noWrap/>
            <w:vAlign w:val="center"/>
            <w:hideMark/>
          </w:tcPr>
          <w:p w14:paraId="627A620E"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962,868</w:t>
            </w:r>
          </w:p>
        </w:tc>
      </w:tr>
      <w:tr w:rsidR="00364C3E" w:rsidRPr="0084045A" w14:paraId="0B873DB5" w14:textId="77777777" w:rsidTr="0015649E">
        <w:trPr>
          <w:trHeight w:hRule="exact" w:val="284"/>
          <w:jc w:val="center"/>
        </w:trPr>
        <w:tc>
          <w:tcPr>
            <w:tcW w:w="1602" w:type="dxa"/>
            <w:shd w:val="clear" w:color="auto" w:fill="auto"/>
            <w:noWrap/>
            <w:vAlign w:val="center"/>
            <w:hideMark/>
          </w:tcPr>
          <w:p w14:paraId="747F14CC"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Nuevo León</w:t>
            </w:r>
          </w:p>
        </w:tc>
        <w:tc>
          <w:tcPr>
            <w:tcW w:w="525" w:type="dxa"/>
            <w:shd w:val="clear" w:color="auto" w:fill="auto"/>
            <w:noWrap/>
            <w:vAlign w:val="center"/>
            <w:hideMark/>
          </w:tcPr>
          <w:p w14:paraId="4A4DD37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339,695</w:t>
            </w:r>
          </w:p>
        </w:tc>
        <w:tc>
          <w:tcPr>
            <w:tcW w:w="852" w:type="dxa"/>
            <w:shd w:val="clear" w:color="auto" w:fill="auto"/>
            <w:noWrap/>
            <w:vAlign w:val="center"/>
            <w:hideMark/>
          </w:tcPr>
          <w:p w14:paraId="26B651B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149,960</w:t>
            </w:r>
          </w:p>
        </w:tc>
        <w:tc>
          <w:tcPr>
            <w:tcW w:w="941" w:type="dxa"/>
            <w:shd w:val="clear" w:color="auto" w:fill="auto"/>
            <w:noWrap/>
            <w:vAlign w:val="center"/>
            <w:hideMark/>
          </w:tcPr>
          <w:p w14:paraId="3B6A09B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534,871</w:t>
            </w:r>
          </w:p>
        </w:tc>
        <w:tc>
          <w:tcPr>
            <w:tcW w:w="941" w:type="dxa"/>
            <w:shd w:val="clear" w:color="auto" w:fill="auto"/>
            <w:noWrap/>
            <w:vAlign w:val="center"/>
            <w:hideMark/>
          </w:tcPr>
          <w:p w14:paraId="6E036D5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481,147</w:t>
            </w:r>
          </w:p>
        </w:tc>
        <w:tc>
          <w:tcPr>
            <w:tcW w:w="941" w:type="dxa"/>
            <w:shd w:val="clear" w:color="auto" w:fill="auto"/>
            <w:noWrap/>
            <w:vAlign w:val="center"/>
            <w:hideMark/>
          </w:tcPr>
          <w:p w14:paraId="1486CE3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482,418</w:t>
            </w:r>
          </w:p>
        </w:tc>
        <w:tc>
          <w:tcPr>
            <w:tcW w:w="852" w:type="dxa"/>
            <w:shd w:val="clear" w:color="auto" w:fill="auto"/>
            <w:noWrap/>
            <w:vAlign w:val="center"/>
            <w:hideMark/>
          </w:tcPr>
          <w:p w14:paraId="12A1062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427,511</w:t>
            </w:r>
          </w:p>
        </w:tc>
        <w:tc>
          <w:tcPr>
            <w:tcW w:w="941" w:type="dxa"/>
            <w:shd w:val="clear" w:color="auto" w:fill="auto"/>
            <w:noWrap/>
            <w:vAlign w:val="center"/>
            <w:hideMark/>
          </w:tcPr>
          <w:p w14:paraId="467572D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475,687</w:t>
            </w:r>
          </w:p>
        </w:tc>
        <w:tc>
          <w:tcPr>
            <w:tcW w:w="941" w:type="dxa"/>
            <w:shd w:val="clear" w:color="auto" w:fill="auto"/>
            <w:noWrap/>
            <w:vAlign w:val="center"/>
            <w:hideMark/>
          </w:tcPr>
          <w:p w14:paraId="22C35AD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768,696</w:t>
            </w:r>
          </w:p>
        </w:tc>
        <w:tc>
          <w:tcPr>
            <w:tcW w:w="941" w:type="dxa"/>
            <w:shd w:val="clear" w:color="auto" w:fill="auto"/>
            <w:noWrap/>
            <w:vAlign w:val="center"/>
            <w:hideMark/>
          </w:tcPr>
          <w:p w14:paraId="3B803DC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487,869</w:t>
            </w:r>
          </w:p>
        </w:tc>
        <w:tc>
          <w:tcPr>
            <w:tcW w:w="941" w:type="dxa"/>
            <w:shd w:val="clear" w:color="auto" w:fill="auto"/>
            <w:noWrap/>
            <w:vAlign w:val="center"/>
            <w:hideMark/>
          </w:tcPr>
          <w:p w14:paraId="41CDB435"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4,147,854</w:t>
            </w:r>
          </w:p>
        </w:tc>
      </w:tr>
      <w:tr w:rsidR="00364C3E" w:rsidRPr="0084045A" w14:paraId="0466FBE2" w14:textId="77777777" w:rsidTr="0015649E">
        <w:trPr>
          <w:trHeight w:hRule="exact" w:val="284"/>
          <w:jc w:val="center"/>
        </w:trPr>
        <w:tc>
          <w:tcPr>
            <w:tcW w:w="1602" w:type="dxa"/>
            <w:shd w:val="clear" w:color="auto" w:fill="auto"/>
            <w:noWrap/>
            <w:vAlign w:val="center"/>
            <w:hideMark/>
          </w:tcPr>
          <w:p w14:paraId="5E57042C"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Oaxaca</w:t>
            </w:r>
          </w:p>
        </w:tc>
        <w:tc>
          <w:tcPr>
            <w:tcW w:w="525" w:type="dxa"/>
            <w:shd w:val="clear" w:color="auto" w:fill="auto"/>
            <w:noWrap/>
            <w:vAlign w:val="center"/>
            <w:hideMark/>
          </w:tcPr>
          <w:p w14:paraId="4B47E76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282,272</w:t>
            </w:r>
          </w:p>
        </w:tc>
        <w:tc>
          <w:tcPr>
            <w:tcW w:w="852" w:type="dxa"/>
            <w:shd w:val="clear" w:color="auto" w:fill="auto"/>
            <w:noWrap/>
            <w:vAlign w:val="center"/>
            <w:hideMark/>
          </w:tcPr>
          <w:p w14:paraId="2084FE9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122,630</w:t>
            </w:r>
          </w:p>
        </w:tc>
        <w:tc>
          <w:tcPr>
            <w:tcW w:w="941" w:type="dxa"/>
            <w:shd w:val="clear" w:color="auto" w:fill="auto"/>
            <w:noWrap/>
            <w:vAlign w:val="center"/>
            <w:hideMark/>
          </w:tcPr>
          <w:p w14:paraId="2928763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433,494</w:t>
            </w:r>
          </w:p>
        </w:tc>
        <w:tc>
          <w:tcPr>
            <w:tcW w:w="941" w:type="dxa"/>
            <w:shd w:val="clear" w:color="auto" w:fill="auto"/>
            <w:noWrap/>
            <w:vAlign w:val="center"/>
            <w:hideMark/>
          </w:tcPr>
          <w:p w14:paraId="104D24F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372,058</w:t>
            </w:r>
          </w:p>
        </w:tc>
        <w:tc>
          <w:tcPr>
            <w:tcW w:w="941" w:type="dxa"/>
            <w:shd w:val="clear" w:color="auto" w:fill="auto"/>
            <w:noWrap/>
            <w:vAlign w:val="center"/>
            <w:hideMark/>
          </w:tcPr>
          <w:p w14:paraId="7A907FB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385,496</w:t>
            </w:r>
          </w:p>
        </w:tc>
        <w:tc>
          <w:tcPr>
            <w:tcW w:w="852" w:type="dxa"/>
            <w:shd w:val="clear" w:color="auto" w:fill="auto"/>
            <w:noWrap/>
            <w:vAlign w:val="center"/>
            <w:hideMark/>
          </w:tcPr>
          <w:p w14:paraId="14802A6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326,933</w:t>
            </w:r>
          </w:p>
        </w:tc>
        <w:tc>
          <w:tcPr>
            <w:tcW w:w="941" w:type="dxa"/>
            <w:shd w:val="clear" w:color="auto" w:fill="auto"/>
            <w:noWrap/>
            <w:vAlign w:val="center"/>
            <w:hideMark/>
          </w:tcPr>
          <w:p w14:paraId="13E6AD2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368,345</w:t>
            </w:r>
          </w:p>
        </w:tc>
        <w:tc>
          <w:tcPr>
            <w:tcW w:w="941" w:type="dxa"/>
            <w:shd w:val="clear" w:color="auto" w:fill="auto"/>
            <w:noWrap/>
            <w:vAlign w:val="center"/>
            <w:hideMark/>
          </w:tcPr>
          <w:p w14:paraId="138E33F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584,162</w:t>
            </w:r>
          </w:p>
        </w:tc>
        <w:tc>
          <w:tcPr>
            <w:tcW w:w="941" w:type="dxa"/>
            <w:shd w:val="clear" w:color="auto" w:fill="auto"/>
            <w:noWrap/>
            <w:vAlign w:val="center"/>
            <w:hideMark/>
          </w:tcPr>
          <w:p w14:paraId="516C99C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367,734</w:t>
            </w:r>
          </w:p>
        </w:tc>
        <w:tc>
          <w:tcPr>
            <w:tcW w:w="941" w:type="dxa"/>
            <w:shd w:val="clear" w:color="auto" w:fill="auto"/>
            <w:noWrap/>
            <w:vAlign w:val="center"/>
            <w:hideMark/>
          </w:tcPr>
          <w:p w14:paraId="4E53EAE4"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3,243,123</w:t>
            </w:r>
          </w:p>
        </w:tc>
      </w:tr>
      <w:tr w:rsidR="00364C3E" w:rsidRPr="0084045A" w14:paraId="3064E841" w14:textId="77777777" w:rsidTr="0015649E">
        <w:trPr>
          <w:trHeight w:hRule="exact" w:val="284"/>
          <w:jc w:val="center"/>
        </w:trPr>
        <w:tc>
          <w:tcPr>
            <w:tcW w:w="1602" w:type="dxa"/>
            <w:shd w:val="clear" w:color="auto" w:fill="auto"/>
            <w:noWrap/>
            <w:vAlign w:val="center"/>
            <w:hideMark/>
          </w:tcPr>
          <w:p w14:paraId="7DD9B26A"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Puebla</w:t>
            </w:r>
          </w:p>
        </w:tc>
        <w:tc>
          <w:tcPr>
            <w:tcW w:w="525" w:type="dxa"/>
            <w:shd w:val="clear" w:color="auto" w:fill="auto"/>
            <w:noWrap/>
            <w:vAlign w:val="center"/>
            <w:hideMark/>
          </w:tcPr>
          <w:p w14:paraId="239E77E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431,890</w:t>
            </w:r>
          </w:p>
        </w:tc>
        <w:tc>
          <w:tcPr>
            <w:tcW w:w="852" w:type="dxa"/>
            <w:shd w:val="clear" w:color="auto" w:fill="auto"/>
            <w:noWrap/>
            <w:vAlign w:val="center"/>
            <w:hideMark/>
          </w:tcPr>
          <w:p w14:paraId="1169D7D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188,404</w:t>
            </w:r>
          </w:p>
        </w:tc>
        <w:tc>
          <w:tcPr>
            <w:tcW w:w="941" w:type="dxa"/>
            <w:shd w:val="clear" w:color="auto" w:fill="auto"/>
            <w:noWrap/>
            <w:vAlign w:val="center"/>
            <w:hideMark/>
          </w:tcPr>
          <w:p w14:paraId="2489480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666,817</w:t>
            </w:r>
          </w:p>
        </w:tc>
        <w:tc>
          <w:tcPr>
            <w:tcW w:w="941" w:type="dxa"/>
            <w:shd w:val="clear" w:color="auto" w:fill="auto"/>
            <w:noWrap/>
            <w:vAlign w:val="center"/>
            <w:hideMark/>
          </w:tcPr>
          <w:p w14:paraId="419D7CA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580,015</w:t>
            </w:r>
          </w:p>
        </w:tc>
        <w:tc>
          <w:tcPr>
            <w:tcW w:w="941" w:type="dxa"/>
            <w:shd w:val="clear" w:color="auto" w:fill="auto"/>
            <w:noWrap/>
            <w:vAlign w:val="center"/>
            <w:hideMark/>
          </w:tcPr>
          <w:p w14:paraId="51C4D8E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596,147</w:t>
            </w:r>
          </w:p>
        </w:tc>
        <w:tc>
          <w:tcPr>
            <w:tcW w:w="852" w:type="dxa"/>
            <w:shd w:val="clear" w:color="auto" w:fill="auto"/>
            <w:noWrap/>
            <w:vAlign w:val="center"/>
            <w:hideMark/>
          </w:tcPr>
          <w:p w14:paraId="07C210E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513,832</w:t>
            </w:r>
          </w:p>
        </w:tc>
        <w:tc>
          <w:tcPr>
            <w:tcW w:w="941" w:type="dxa"/>
            <w:shd w:val="clear" w:color="auto" w:fill="auto"/>
            <w:noWrap/>
            <w:vAlign w:val="center"/>
            <w:hideMark/>
          </w:tcPr>
          <w:p w14:paraId="3B0E3DF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574,243</w:t>
            </w:r>
          </w:p>
        </w:tc>
        <w:tc>
          <w:tcPr>
            <w:tcW w:w="941" w:type="dxa"/>
            <w:shd w:val="clear" w:color="auto" w:fill="auto"/>
            <w:noWrap/>
            <w:vAlign w:val="center"/>
            <w:hideMark/>
          </w:tcPr>
          <w:p w14:paraId="2C6CD9D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914,328</w:t>
            </w:r>
          </w:p>
        </w:tc>
        <w:tc>
          <w:tcPr>
            <w:tcW w:w="941" w:type="dxa"/>
            <w:shd w:val="clear" w:color="auto" w:fill="auto"/>
            <w:noWrap/>
            <w:vAlign w:val="center"/>
            <w:hideMark/>
          </w:tcPr>
          <w:p w14:paraId="66EEF40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581,259</w:t>
            </w:r>
          </w:p>
        </w:tc>
        <w:tc>
          <w:tcPr>
            <w:tcW w:w="941" w:type="dxa"/>
            <w:shd w:val="clear" w:color="auto" w:fill="auto"/>
            <w:noWrap/>
            <w:vAlign w:val="center"/>
            <w:hideMark/>
          </w:tcPr>
          <w:p w14:paraId="7813F32C"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5,046,934</w:t>
            </w:r>
          </w:p>
        </w:tc>
      </w:tr>
      <w:tr w:rsidR="00364C3E" w:rsidRPr="0084045A" w14:paraId="33AB5D0C" w14:textId="77777777" w:rsidTr="0015649E">
        <w:trPr>
          <w:trHeight w:hRule="exact" w:val="284"/>
          <w:jc w:val="center"/>
        </w:trPr>
        <w:tc>
          <w:tcPr>
            <w:tcW w:w="1602" w:type="dxa"/>
            <w:shd w:val="clear" w:color="auto" w:fill="auto"/>
            <w:noWrap/>
            <w:vAlign w:val="center"/>
            <w:hideMark/>
          </w:tcPr>
          <w:p w14:paraId="2A2ED676"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Querétaro</w:t>
            </w:r>
          </w:p>
        </w:tc>
        <w:tc>
          <w:tcPr>
            <w:tcW w:w="525" w:type="dxa"/>
            <w:shd w:val="clear" w:color="auto" w:fill="auto"/>
            <w:noWrap/>
            <w:vAlign w:val="center"/>
            <w:hideMark/>
          </w:tcPr>
          <w:p w14:paraId="61E6465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134,677</w:t>
            </w:r>
          </w:p>
        </w:tc>
        <w:tc>
          <w:tcPr>
            <w:tcW w:w="852" w:type="dxa"/>
            <w:shd w:val="clear" w:color="auto" w:fill="auto"/>
            <w:noWrap/>
            <w:vAlign w:val="center"/>
            <w:hideMark/>
          </w:tcPr>
          <w:p w14:paraId="5A25001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59,520</w:t>
            </w:r>
          </w:p>
        </w:tc>
        <w:tc>
          <w:tcPr>
            <w:tcW w:w="941" w:type="dxa"/>
            <w:shd w:val="clear" w:color="auto" w:fill="auto"/>
            <w:noWrap/>
            <w:vAlign w:val="center"/>
            <w:hideMark/>
          </w:tcPr>
          <w:p w14:paraId="5880A08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212,113</w:t>
            </w:r>
          </w:p>
        </w:tc>
        <w:tc>
          <w:tcPr>
            <w:tcW w:w="941" w:type="dxa"/>
            <w:shd w:val="clear" w:color="auto" w:fill="auto"/>
            <w:noWrap/>
            <w:vAlign w:val="center"/>
            <w:hideMark/>
          </w:tcPr>
          <w:p w14:paraId="599B741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189,718</w:t>
            </w:r>
          </w:p>
        </w:tc>
        <w:tc>
          <w:tcPr>
            <w:tcW w:w="941" w:type="dxa"/>
            <w:shd w:val="clear" w:color="auto" w:fill="auto"/>
            <w:noWrap/>
            <w:vAlign w:val="center"/>
            <w:hideMark/>
          </w:tcPr>
          <w:p w14:paraId="3BC2A69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192,312</w:t>
            </w:r>
          </w:p>
        </w:tc>
        <w:tc>
          <w:tcPr>
            <w:tcW w:w="852" w:type="dxa"/>
            <w:shd w:val="clear" w:color="auto" w:fill="auto"/>
            <w:noWrap/>
            <w:vAlign w:val="center"/>
            <w:hideMark/>
          </w:tcPr>
          <w:p w14:paraId="357F080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170,629</w:t>
            </w:r>
          </w:p>
        </w:tc>
        <w:tc>
          <w:tcPr>
            <w:tcW w:w="941" w:type="dxa"/>
            <w:shd w:val="clear" w:color="auto" w:fill="auto"/>
            <w:noWrap/>
            <w:vAlign w:val="center"/>
            <w:hideMark/>
          </w:tcPr>
          <w:p w14:paraId="65643F2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189,587</w:t>
            </w:r>
          </w:p>
        </w:tc>
        <w:tc>
          <w:tcPr>
            <w:tcW w:w="941" w:type="dxa"/>
            <w:shd w:val="clear" w:color="auto" w:fill="auto"/>
            <w:noWrap/>
            <w:vAlign w:val="center"/>
            <w:hideMark/>
          </w:tcPr>
          <w:p w14:paraId="51D774A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305,903</w:t>
            </w:r>
          </w:p>
        </w:tc>
        <w:tc>
          <w:tcPr>
            <w:tcW w:w="941" w:type="dxa"/>
            <w:shd w:val="clear" w:color="auto" w:fill="auto"/>
            <w:noWrap/>
            <w:vAlign w:val="center"/>
            <w:hideMark/>
          </w:tcPr>
          <w:p w14:paraId="51A2774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196,741</w:t>
            </w:r>
          </w:p>
        </w:tc>
        <w:tc>
          <w:tcPr>
            <w:tcW w:w="941" w:type="dxa"/>
            <w:shd w:val="clear" w:color="auto" w:fill="auto"/>
            <w:noWrap/>
            <w:vAlign w:val="center"/>
            <w:hideMark/>
          </w:tcPr>
          <w:p w14:paraId="60C654AD"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1,651,201</w:t>
            </w:r>
          </w:p>
        </w:tc>
      </w:tr>
      <w:tr w:rsidR="00364C3E" w:rsidRPr="0084045A" w14:paraId="0474DF3D" w14:textId="77777777" w:rsidTr="0015649E">
        <w:trPr>
          <w:trHeight w:hRule="exact" w:val="284"/>
          <w:jc w:val="center"/>
        </w:trPr>
        <w:tc>
          <w:tcPr>
            <w:tcW w:w="1602" w:type="dxa"/>
            <w:shd w:val="clear" w:color="auto" w:fill="auto"/>
            <w:noWrap/>
            <w:vAlign w:val="center"/>
            <w:hideMark/>
          </w:tcPr>
          <w:p w14:paraId="501D53ED"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Quintana Roo</w:t>
            </w:r>
          </w:p>
        </w:tc>
        <w:tc>
          <w:tcPr>
            <w:tcW w:w="525" w:type="dxa"/>
            <w:shd w:val="clear" w:color="auto" w:fill="auto"/>
            <w:noWrap/>
            <w:vAlign w:val="center"/>
            <w:hideMark/>
          </w:tcPr>
          <w:p w14:paraId="1029784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97,362</w:t>
            </w:r>
          </w:p>
        </w:tc>
        <w:tc>
          <w:tcPr>
            <w:tcW w:w="852" w:type="dxa"/>
            <w:shd w:val="clear" w:color="auto" w:fill="auto"/>
            <w:noWrap/>
            <w:vAlign w:val="center"/>
            <w:hideMark/>
          </w:tcPr>
          <w:p w14:paraId="21F7F2B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43,195</w:t>
            </w:r>
          </w:p>
        </w:tc>
        <w:tc>
          <w:tcPr>
            <w:tcW w:w="941" w:type="dxa"/>
            <w:shd w:val="clear" w:color="auto" w:fill="auto"/>
            <w:noWrap/>
            <w:vAlign w:val="center"/>
            <w:hideMark/>
          </w:tcPr>
          <w:p w14:paraId="402735C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153,662</w:t>
            </w:r>
          </w:p>
        </w:tc>
        <w:tc>
          <w:tcPr>
            <w:tcW w:w="941" w:type="dxa"/>
            <w:shd w:val="clear" w:color="auto" w:fill="auto"/>
            <w:noWrap/>
            <w:vAlign w:val="center"/>
            <w:hideMark/>
          </w:tcPr>
          <w:p w14:paraId="3B47620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139,994</w:t>
            </w:r>
          </w:p>
        </w:tc>
        <w:tc>
          <w:tcPr>
            <w:tcW w:w="941" w:type="dxa"/>
            <w:shd w:val="clear" w:color="auto" w:fill="auto"/>
            <w:noWrap/>
            <w:vAlign w:val="center"/>
            <w:hideMark/>
          </w:tcPr>
          <w:p w14:paraId="3C88394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139,453</w:t>
            </w:r>
          </w:p>
        </w:tc>
        <w:tc>
          <w:tcPr>
            <w:tcW w:w="852" w:type="dxa"/>
            <w:shd w:val="clear" w:color="auto" w:fill="auto"/>
            <w:noWrap/>
            <w:vAlign w:val="center"/>
            <w:hideMark/>
          </w:tcPr>
          <w:p w14:paraId="510A1C0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126,315</w:t>
            </w:r>
          </w:p>
        </w:tc>
        <w:tc>
          <w:tcPr>
            <w:tcW w:w="941" w:type="dxa"/>
            <w:shd w:val="clear" w:color="auto" w:fill="auto"/>
            <w:noWrap/>
            <w:vAlign w:val="center"/>
            <w:hideMark/>
          </w:tcPr>
          <w:p w14:paraId="0BE1299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138,737</w:t>
            </w:r>
          </w:p>
        </w:tc>
        <w:tc>
          <w:tcPr>
            <w:tcW w:w="941" w:type="dxa"/>
            <w:shd w:val="clear" w:color="auto" w:fill="auto"/>
            <w:noWrap/>
            <w:vAlign w:val="center"/>
            <w:hideMark/>
          </w:tcPr>
          <w:p w14:paraId="5804FD1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225,379</w:t>
            </w:r>
          </w:p>
        </w:tc>
        <w:tc>
          <w:tcPr>
            <w:tcW w:w="941" w:type="dxa"/>
            <w:shd w:val="clear" w:color="auto" w:fill="auto"/>
            <w:noWrap/>
            <w:vAlign w:val="center"/>
            <w:hideMark/>
          </w:tcPr>
          <w:p w14:paraId="526E2B8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146,883</w:t>
            </w:r>
          </w:p>
        </w:tc>
        <w:tc>
          <w:tcPr>
            <w:tcW w:w="941" w:type="dxa"/>
            <w:shd w:val="clear" w:color="auto" w:fill="auto"/>
            <w:noWrap/>
            <w:vAlign w:val="center"/>
            <w:hideMark/>
          </w:tcPr>
          <w:p w14:paraId="6788C184"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1,210,978</w:t>
            </w:r>
          </w:p>
        </w:tc>
      </w:tr>
      <w:tr w:rsidR="00364C3E" w:rsidRPr="0084045A" w14:paraId="59137CFA" w14:textId="77777777" w:rsidTr="0015649E">
        <w:trPr>
          <w:trHeight w:hRule="exact" w:val="284"/>
          <w:jc w:val="center"/>
        </w:trPr>
        <w:tc>
          <w:tcPr>
            <w:tcW w:w="1602" w:type="dxa"/>
            <w:shd w:val="clear" w:color="auto" w:fill="auto"/>
            <w:noWrap/>
            <w:vAlign w:val="center"/>
            <w:hideMark/>
          </w:tcPr>
          <w:p w14:paraId="12A4EB6C"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San Luis Potosí</w:t>
            </w:r>
          </w:p>
        </w:tc>
        <w:tc>
          <w:tcPr>
            <w:tcW w:w="525" w:type="dxa"/>
            <w:shd w:val="clear" w:color="auto" w:fill="auto"/>
            <w:noWrap/>
            <w:vAlign w:val="center"/>
            <w:hideMark/>
          </w:tcPr>
          <w:p w14:paraId="5BE853E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191,638</w:t>
            </w:r>
          </w:p>
        </w:tc>
        <w:tc>
          <w:tcPr>
            <w:tcW w:w="852" w:type="dxa"/>
            <w:shd w:val="clear" w:color="auto" w:fill="auto"/>
            <w:noWrap/>
            <w:vAlign w:val="center"/>
            <w:hideMark/>
          </w:tcPr>
          <w:p w14:paraId="7AE8355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83,404</w:t>
            </w:r>
          </w:p>
        </w:tc>
        <w:tc>
          <w:tcPr>
            <w:tcW w:w="941" w:type="dxa"/>
            <w:shd w:val="clear" w:color="auto" w:fill="auto"/>
            <w:noWrap/>
            <w:vAlign w:val="center"/>
            <w:hideMark/>
          </w:tcPr>
          <w:p w14:paraId="3954063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294,723</w:t>
            </w:r>
          </w:p>
        </w:tc>
        <w:tc>
          <w:tcPr>
            <w:tcW w:w="941" w:type="dxa"/>
            <w:shd w:val="clear" w:color="auto" w:fill="auto"/>
            <w:noWrap/>
            <w:vAlign w:val="center"/>
            <w:hideMark/>
          </w:tcPr>
          <w:p w14:paraId="677ED56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255,402</w:t>
            </w:r>
          </w:p>
        </w:tc>
        <w:tc>
          <w:tcPr>
            <w:tcW w:w="941" w:type="dxa"/>
            <w:shd w:val="clear" w:color="auto" w:fill="auto"/>
            <w:noWrap/>
            <w:vAlign w:val="center"/>
            <w:hideMark/>
          </w:tcPr>
          <w:p w14:paraId="07CE9CF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261,996</w:t>
            </w:r>
          </w:p>
        </w:tc>
        <w:tc>
          <w:tcPr>
            <w:tcW w:w="852" w:type="dxa"/>
            <w:shd w:val="clear" w:color="auto" w:fill="auto"/>
            <w:noWrap/>
            <w:vAlign w:val="center"/>
            <w:hideMark/>
          </w:tcPr>
          <w:p w14:paraId="1C67F4C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224,382</w:t>
            </w:r>
          </w:p>
        </w:tc>
        <w:tc>
          <w:tcPr>
            <w:tcW w:w="941" w:type="dxa"/>
            <w:shd w:val="clear" w:color="auto" w:fill="auto"/>
            <w:noWrap/>
            <w:vAlign w:val="center"/>
            <w:hideMark/>
          </w:tcPr>
          <w:p w14:paraId="5B25B88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252,060</w:t>
            </w:r>
          </w:p>
        </w:tc>
        <w:tc>
          <w:tcPr>
            <w:tcW w:w="941" w:type="dxa"/>
            <w:shd w:val="clear" w:color="auto" w:fill="auto"/>
            <w:noWrap/>
            <w:vAlign w:val="center"/>
            <w:hideMark/>
          </w:tcPr>
          <w:p w14:paraId="5125DFA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401,475</w:t>
            </w:r>
          </w:p>
        </w:tc>
        <w:tc>
          <w:tcPr>
            <w:tcW w:w="941" w:type="dxa"/>
            <w:shd w:val="clear" w:color="auto" w:fill="auto"/>
            <w:noWrap/>
            <w:vAlign w:val="center"/>
            <w:hideMark/>
          </w:tcPr>
          <w:p w14:paraId="3501C8C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253,032</w:t>
            </w:r>
          </w:p>
        </w:tc>
        <w:tc>
          <w:tcPr>
            <w:tcW w:w="941" w:type="dxa"/>
            <w:shd w:val="clear" w:color="auto" w:fill="auto"/>
            <w:noWrap/>
            <w:vAlign w:val="center"/>
            <w:hideMark/>
          </w:tcPr>
          <w:p w14:paraId="207F9212"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2,218,110</w:t>
            </w:r>
          </w:p>
        </w:tc>
      </w:tr>
      <w:tr w:rsidR="00364C3E" w:rsidRPr="0084045A" w14:paraId="0C012470" w14:textId="77777777" w:rsidTr="0015649E">
        <w:trPr>
          <w:trHeight w:hRule="exact" w:val="284"/>
          <w:jc w:val="center"/>
        </w:trPr>
        <w:tc>
          <w:tcPr>
            <w:tcW w:w="1602" w:type="dxa"/>
            <w:shd w:val="clear" w:color="auto" w:fill="auto"/>
            <w:noWrap/>
            <w:vAlign w:val="center"/>
            <w:hideMark/>
          </w:tcPr>
          <w:p w14:paraId="5BAE64C0"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Sinaloa</w:t>
            </w:r>
          </w:p>
        </w:tc>
        <w:tc>
          <w:tcPr>
            <w:tcW w:w="525" w:type="dxa"/>
            <w:shd w:val="clear" w:color="auto" w:fill="auto"/>
            <w:noWrap/>
            <w:vAlign w:val="center"/>
            <w:hideMark/>
          </w:tcPr>
          <w:p w14:paraId="4C5C031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203,401</w:t>
            </w:r>
          </w:p>
        </w:tc>
        <w:tc>
          <w:tcPr>
            <w:tcW w:w="852" w:type="dxa"/>
            <w:shd w:val="clear" w:color="auto" w:fill="auto"/>
            <w:noWrap/>
            <w:vAlign w:val="center"/>
            <w:hideMark/>
          </w:tcPr>
          <w:p w14:paraId="00EFBEC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89,134</w:t>
            </w:r>
          </w:p>
        </w:tc>
        <w:tc>
          <w:tcPr>
            <w:tcW w:w="941" w:type="dxa"/>
            <w:shd w:val="clear" w:color="auto" w:fill="auto"/>
            <w:noWrap/>
            <w:vAlign w:val="center"/>
            <w:hideMark/>
          </w:tcPr>
          <w:p w14:paraId="0875E8C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316,571</w:t>
            </w:r>
          </w:p>
        </w:tc>
        <w:tc>
          <w:tcPr>
            <w:tcW w:w="941" w:type="dxa"/>
            <w:shd w:val="clear" w:color="auto" w:fill="auto"/>
            <w:noWrap/>
            <w:vAlign w:val="center"/>
            <w:hideMark/>
          </w:tcPr>
          <w:p w14:paraId="2E70CF8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279,494</w:t>
            </w:r>
          </w:p>
        </w:tc>
        <w:tc>
          <w:tcPr>
            <w:tcW w:w="941" w:type="dxa"/>
            <w:shd w:val="clear" w:color="auto" w:fill="auto"/>
            <w:noWrap/>
            <w:vAlign w:val="center"/>
            <w:hideMark/>
          </w:tcPr>
          <w:p w14:paraId="38D61ED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283,456</w:t>
            </w:r>
          </w:p>
        </w:tc>
        <w:tc>
          <w:tcPr>
            <w:tcW w:w="852" w:type="dxa"/>
            <w:shd w:val="clear" w:color="auto" w:fill="auto"/>
            <w:noWrap/>
            <w:vAlign w:val="center"/>
            <w:hideMark/>
          </w:tcPr>
          <w:p w14:paraId="096AB19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246,487</w:t>
            </w:r>
          </w:p>
        </w:tc>
        <w:tc>
          <w:tcPr>
            <w:tcW w:w="941" w:type="dxa"/>
            <w:shd w:val="clear" w:color="auto" w:fill="auto"/>
            <w:noWrap/>
            <w:vAlign w:val="center"/>
            <w:hideMark/>
          </w:tcPr>
          <w:p w14:paraId="5D2B603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275,743</w:t>
            </w:r>
          </w:p>
        </w:tc>
        <w:tc>
          <w:tcPr>
            <w:tcW w:w="941" w:type="dxa"/>
            <w:shd w:val="clear" w:color="auto" w:fill="auto"/>
            <w:noWrap/>
            <w:vAlign w:val="center"/>
            <w:hideMark/>
          </w:tcPr>
          <w:p w14:paraId="64171BE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441,583</w:t>
            </w:r>
          </w:p>
        </w:tc>
        <w:tc>
          <w:tcPr>
            <w:tcW w:w="941" w:type="dxa"/>
            <w:shd w:val="clear" w:color="auto" w:fill="auto"/>
            <w:noWrap/>
            <w:vAlign w:val="center"/>
            <w:hideMark/>
          </w:tcPr>
          <w:p w14:paraId="659786A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277,721</w:t>
            </w:r>
          </w:p>
        </w:tc>
        <w:tc>
          <w:tcPr>
            <w:tcW w:w="941" w:type="dxa"/>
            <w:shd w:val="clear" w:color="auto" w:fill="auto"/>
            <w:noWrap/>
            <w:vAlign w:val="center"/>
            <w:hideMark/>
          </w:tcPr>
          <w:p w14:paraId="01148A0F"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2,413,591</w:t>
            </w:r>
          </w:p>
        </w:tc>
      </w:tr>
      <w:tr w:rsidR="00364C3E" w:rsidRPr="0084045A" w14:paraId="5438DA31" w14:textId="77777777" w:rsidTr="0015649E">
        <w:trPr>
          <w:trHeight w:hRule="exact" w:val="284"/>
          <w:jc w:val="center"/>
        </w:trPr>
        <w:tc>
          <w:tcPr>
            <w:tcW w:w="1602" w:type="dxa"/>
            <w:shd w:val="clear" w:color="auto" w:fill="auto"/>
            <w:noWrap/>
            <w:vAlign w:val="center"/>
            <w:hideMark/>
          </w:tcPr>
          <w:p w14:paraId="22DF9F01"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Sonora</w:t>
            </w:r>
          </w:p>
        </w:tc>
        <w:tc>
          <w:tcPr>
            <w:tcW w:w="525" w:type="dxa"/>
            <w:shd w:val="clear" w:color="auto" w:fill="auto"/>
            <w:noWrap/>
            <w:vAlign w:val="center"/>
            <w:hideMark/>
          </w:tcPr>
          <w:p w14:paraId="77E39ED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195,348</w:t>
            </w:r>
          </w:p>
        </w:tc>
        <w:tc>
          <w:tcPr>
            <w:tcW w:w="852" w:type="dxa"/>
            <w:shd w:val="clear" w:color="auto" w:fill="auto"/>
            <w:noWrap/>
            <w:vAlign w:val="center"/>
            <w:hideMark/>
          </w:tcPr>
          <w:p w14:paraId="7250E25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85,477</w:t>
            </w:r>
          </w:p>
        </w:tc>
        <w:tc>
          <w:tcPr>
            <w:tcW w:w="941" w:type="dxa"/>
            <w:shd w:val="clear" w:color="auto" w:fill="auto"/>
            <w:noWrap/>
            <w:vAlign w:val="center"/>
            <w:hideMark/>
          </w:tcPr>
          <w:p w14:paraId="240862E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303,190</w:t>
            </w:r>
          </w:p>
        </w:tc>
        <w:tc>
          <w:tcPr>
            <w:tcW w:w="941" w:type="dxa"/>
            <w:shd w:val="clear" w:color="auto" w:fill="auto"/>
            <w:noWrap/>
            <w:vAlign w:val="center"/>
            <w:hideMark/>
          </w:tcPr>
          <w:p w14:paraId="70C6E10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268,652</w:t>
            </w:r>
          </w:p>
        </w:tc>
        <w:tc>
          <w:tcPr>
            <w:tcW w:w="941" w:type="dxa"/>
            <w:shd w:val="clear" w:color="auto" w:fill="auto"/>
            <w:noWrap/>
            <w:vAlign w:val="center"/>
            <w:hideMark/>
          </w:tcPr>
          <w:p w14:paraId="18B4A53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270,846</w:t>
            </w:r>
          </w:p>
        </w:tc>
        <w:tc>
          <w:tcPr>
            <w:tcW w:w="852" w:type="dxa"/>
            <w:shd w:val="clear" w:color="auto" w:fill="auto"/>
            <w:noWrap/>
            <w:vAlign w:val="center"/>
            <w:hideMark/>
          </w:tcPr>
          <w:p w14:paraId="6532DB4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236,800</w:t>
            </w:r>
          </w:p>
        </w:tc>
        <w:tc>
          <w:tcPr>
            <w:tcW w:w="941" w:type="dxa"/>
            <w:shd w:val="clear" w:color="auto" w:fill="auto"/>
            <w:noWrap/>
            <w:vAlign w:val="center"/>
            <w:hideMark/>
          </w:tcPr>
          <w:p w14:paraId="6B12809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264,370</w:t>
            </w:r>
          </w:p>
        </w:tc>
        <w:tc>
          <w:tcPr>
            <w:tcW w:w="941" w:type="dxa"/>
            <w:shd w:val="clear" w:color="auto" w:fill="auto"/>
            <w:noWrap/>
            <w:vAlign w:val="center"/>
            <w:hideMark/>
          </w:tcPr>
          <w:p w14:paraId="3FDC063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425,038</w:t>
            </w:r>
          </w:p>
        </w:tc>
        <w:tc>
          <w:tcPr>
            <w:tcW w:w="941" w:type="dxa"/>
            <w:shd w:val="clear" w:color="auto" w:fill="auto"/>
            <w:noWrap/>
            <w:vAlign w:val="center"/>
            <w:hideMark/>
          </w:tcPr>
          <w:p w14:paraId="76E7FC7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269,000</w:t>
            </w:r>
          </w:p>
        </w:tc>
        <w:tc>
          <w:tcPr>
            <w:tcW w:w="941" w:type="dxa"/>
            <w:shd w:val="clear" w:color="auto" w:fill="auto"/>
            <w:noWrap/>
            <w:vAlign w:val="center"/>
            <w:hideMark/>
          </w:tcPr>
          <w:p w14:paraId="3CCE5FAA"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2,318,724</w:t>
            </w:r>
          </w:p>
        </w:tc>
      </w:tr>
      <w:tr w:rsidR="00364C3E" w:rsidRPr="0084045A" w14:paraId="0762AB8A" w14:textId="77777777" w:rsidTr="0015649E">
        <w:trPr>
          <w:trHeight w:hRule="exact" w:val="284"/>
          <w:jc w:val="center"/>
        </w:trPr>
        <w:tc>
          <w:tcPr>
            <w:tcW w:w="1602" w:type="dxa"/>
            <w:shd w:val="clear" w:color="auto" w:fill="auto"/>
            <w:noWrap/>
            <w:vAlign w:val="center"/>
            <w:hideMark/>
          </w:tcPr>
          <w:p w14:paraId="2417770C"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Tabasco</w:t>
            </w:r>
          </w:p>
        </w:tc>
        <w:tc>
          <w:tcPr>
            <w:tcW w:w="525" w:type="dxa"/>
            <w:shd w:val="clear" w:color="auto" w:fill="auto"/>
            <w:noWrap/>
            <w:vAlign w:val="center"/>
            <w:hideMark/>
          </w:tcPr>
          <w:p w14:paraId="333EDAC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164,888</w:t>
            </w:r>
          </w:p>
        </w:tc>
        <w:tc>
          <w:tcPr>
            <w:tcW w:w="852" w:type="dxa"/>
            <w:shd w:val="clear" w:color="auto" w:fill="auto"/>
            <w:noWrap/>
            <w:vAlign w:val="center"/>
            <w:hideMark/>
          </w:tcPr>
          <w:p w14:paraId="0D5AFE5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72,148</w:t>
            </w:r>
          </w:p>
        </w:tc>
        <w:tc>
          <w:tcPr>
            <w:tcW w:w="941" w:type="dxa"/>
            <w:shd w:val="clear" w:color="auto" w:fill="auto"/>
            <w:noWrap/>
            <w:vAlign w:val="center"/>
            <w:hideMark/>
          </w:tcPr>
          <w:p w14:paraId="76DB725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255,246</w:t>
            </w:r>
          </w:p>
        </w:tc>
        <w:tc>
          <w:tcPr>
            <w:tcW w:w="941" w:type="dxa"/>
            <w:shd w:val="clear" w:color="auto" w:fill="auto"/>
            <w:noWrap/>
            <w:vAlign w:val="center"/>
            <w:hideMark/>
          </w:tcPr>
          <w:p w14:paraId="5BBD882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225,650</w:t>
            </w:r>
          </w:p>
        </w:tc>
        <w:tc>
          <w:tcPr>
            <w:tcW w:w="941" w:type="dxa"/>
            <w:shd w:val="clear" w:color="auto" w:fill="auto"/>
            <w:noWrap/>
            <w:vAlign w:val="center"/>
            <w:hideMark/>
          </w:tcPr>
          <w:p w14:paraId="111D54C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228,068</w:t>
            </w:r>
          </w:p>
        </w:tc>
        <w:tc>
          <w:tcPr>
            <w:tcW w:w="852" w:type="dxa"/>
            <w:shd w:val="clear" w:color="auto" w:fill="auto"/>
            <w:noWrap/>
            <w:vAlign w:val="center"/>
            <w:hideMark/>
          </w:tcPr>
          <w:p w14:paraId="2D492B0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199,645</w:t>
            </w:r>
          </w:p>
        </w:tc>
        <w:tc>
          <w:tcPr>
            <w:tcW w:w="941" w:type="dxa"/>
            <w:shd w:val="clear" w:color="auto" w:fill="auto"/>
            <w:noWrap/>
            <w:vAlign w:val="center"/>
            <w:hideMark/>
          </w:tcPr>
          <w:p w14:paraId="6B03BCB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221,144</w:t>
            </w:r>
          </w:p>
        </w:tc>
        <w:tc>
          <w:tcPr>
            <w:tcW w:w="941" w:type="dxa"/>
            <w:shd w:val="clear" w:color="auto" w:fill="auto"/>
            <w:noWrap/>
            <w:vAlign w:val="center"/>
            <w:hideMark/>
          </w:tcPr>
          <w:p w14:paraId="096BEC9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354,221</w:t>
            </w:r>
          </w:p>
        </w:tc>
        <w:tc>
          <w:tcPr>
            <w:tcW w:w="941" w:type="dxa"/>
            <w:shd w:val="clear" w:color="auto" w:fill="auto"/>
            <w:noWrap/>
            <w:vAlign w:val="center"/>
            <w:hideMark/>
          </w:tcPr>
          <w:p w14:paraId="0C60E9A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225,715</w:t>
            </w:r>
          </w:p>
        </w:tc>
        <w:tc>
          <w:tcPr>
            <w:tcW w:w="941" w:type="dxa"/>
            <w:shd w:val="clear" w:color="auto" w:fill="auto"/>
            <w:noWrap/>
            <w:vAlign w:val="center"/>
            <w:hideMark/>
          </w:tcPr>
          <w:p w14:paraId="7CEF6781"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1,946,724</w:t>
            </w:r>
          </w:p>
        </w:tc>
      </w:tr>
      <w:tr w:rsidR="00364C3E" w:rsidRPr="0084045A" w14:paraId="53069A3F" w14:textId="77777777" w:rsidTr="0015649E">
        <w:trPr>
          <w:trHeight w:hRule="exact" w:val="284"/>
          <w:jc w:val="center"/>
        </w:trPr>
        <w:tc>
          <w:tcPr>
            <w:tcW w:w="1602" w:type="dxa"/>
            <w:shd w:val="clear" w:color="auto" w:fill="auto"/>
            <w:noWrap/>
            <w:vAlign w:val="center"/>
            <w:hideMark/>
          </w:tcPr>
          <w:p w14:paraId="6F5B815B"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Tamaulipas</w:t>
            </w:r>
          </w:p>
        </w:tc>
        <w:tc>
          <w:tcPr>
            <w:tcW w:w="525" w:type="dxa"/>
            <w:shd w:val="clear" w:color="auto" w:fill="auto"/>
            <w:noWrap/>
            <w:vAlign w:val="center"/>
            <w:hideMark/>
          </w:tcPr>
          <w:p w14:paraId="247E710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239,711</w:t>
            </w:r>
          </w:p>
        </w:tc>
        <w:tc>
          <w:tcPr>
            <w:tcW w:w="852" w:type="dxa"/>
            <w:shd w:val="clear" w:color="auto" w:fill="auto"/>
            <w:noWrap/>
            <w:vAlign w:val="center"/>
            <w:hideMark/>
          </w:tcPr>
          <w:p w14:paraId="21C3D64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104,631</w:t>
            </w:r>
          </w:p>
        </w:tc>
        <w:tc>
          <w:tcPr>
            <w:tcW w:w="941" w:type="dxa"/>
            <w:shd w:val="clear" w:color="auto" w:fill="auto"/>
            <w:noWrap/>
            <w:vAlign w:val="center"/>
            <w:hideMark/>
          </w:tcPr>
          <w:p w14:paraId="70FFC0A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370,115</w:t>
            </w:r>
          </w:p>
        </w:tc>
        <w:tc>
          <w:tcPr>
            <w:tcW w:w="941" w:type="dxa"/>
            <w:shd w:val="clear" w:color="auto" w:fill="auto"/>
            <w:noWrap/>
            <w:vAlign w:val="center"/>
            <w:hideMark/>
          </w:tcPr>
          <w:p w14:paraId="1E8F7BC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326,898</w:t>
            </w:r>
          </w:p>
        </w:tc>
        <w:tc>
          <w:tcPr>
            <w:tcW w:w="941" w:type="dxa"/>
            <w:shd w:val="clear" w:color="auto" w:fill="auto"/>
            <w:noWrap/>
            <w:vAlign w:val="center"/>
            <w:hideMark/>
          </w:tcPr>
          <w:p w14:paraId="018B329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329,037</w:t>
            </w:r>
          </w:p>
        </w:tc>
        <w:tc>
          <w:tcPr>
            <w:tcW w:w="852" w:type="dxa"/>
            <w:shd w:val="clear" w:color="auto" w:fill="auto"/>
            <w:noWrap/>
            <w:vAlign w:val="center"/>
            <w:hideMark/>
          </w:tcPr>
          <w:p w14:paraId="541FB8E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286,170</w:t>
            </w:r>
          </w:p>
        </w:tc>
        <w:tc>
          <w:tcPr>
            <w:tcW w:w="941" w:type="dxa"/>
            <w:shd w:val="clear" w:color="auto" w:fill="auto"/>
            <w:noWrap/>
            <w:vAlign w:val="center"/>
            <w:hideMark/>
          </w:tcPr>
          <w:p w14:paraId="60050953"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319,070</w:t>
            </w:r>
          </w:p>
        </w:tc>
        <w:tc>
          <w:tcPr>
            <w:tcW w:w="941" w:type="dxa"/>
            <w:shd w:val="clear" w:color="auto" w:fill="auto"/>
            <w:noWrap/>
            <w:vAlign w:val="center"/>
            <w:hideMark/>
          </w:tcPr>
          <w:p w14:paraId="3C439C2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511,736</w:t>
            </w:r>
          </w:p>
        </w:tc>
        <w:tc>
          <w:tcPr>
            <w:tcW w:w="941" w:type="dxa"/>
            <w:shd w:val="clear" w:color="auto" w:fill="auto"/>
            <w:noWrap/>
            <w:vAlign w:val="center"/>
            <w:hideMark/>
          </w:tcPr>
          <w:p w14:paraId="08CB613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322,513</w:t>
            </w:r>
          </w:p>
        </w:tc>
        <w:tc>
          <w:tcPr>
            <w:tcW w:w="941" w:type="dxa"/>
            <w:shd w:val="clear" w:color="auto" w:fill="auto"/>
            <w:noWrap/>
            <w:vAlign w:val="center"/>
            <w:hideMark/>
          </w:tcPr>
          <w:p w14:paraId="7D5C250F"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2,809,881</w:t>
            </w:r>
          </w:p>
        </w:tc>
      </w:tr>
      <w:tr w:rsidR="00364C3E" w:rsidRPr="0084045A" w14:paraId="038909CE" w14:textId="77777777" w:rsidTr="0015649E">
        <w:trPr>
          <w:trHeight w:hRule="exact" w:val="284"/>
          <w:jc w:val="center"/>
        </w:trPr>
        <w:tc>
          <w:tcPr>
            <w:tcW w:w="1602" w:type="dxa"/>
            <w:shd w:val="clear" w:color="auto" w:fill="auto"/>
            <w:noWrap/>
            <w:vAlign w:val="center"/>
            <w:hideMark/>
          </w:tcPr>
          <w:p w14:paraId="3F584F02"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Tlaxcala</w:t>
            </w:r>
          </w:p>
        </w:tc>
        <w:tc>
          <w:tcPr>
            <w:tcW w:w="525" w:type="dxa"/>
            <w:shd w:val="clear" w:color="auto" w:fill="auto"/>
            <w:noWrap/>
            <w:vAlign w:val="center"/>
            <w:hideMark/>
          </w:tcPr>
          <w:p w14:paraId="39DBDDB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86,924</w:t>
            </w:r>
          </w:p>
        </w:tc>
        <w:tc>
          <w:tcPr>
            <w:tcW w:w="852" w:type="dxa"/>
            <w:shd w:val="clear" w:color="auto" w:fill="auto"/>
            <w:noWrap/>
            <w:vAlign w:val="center"/>
            <w:hideMark/>
          </w:tcPr>
          <w:p w14:paraId="42D47A3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38,129</w:t>
            </w:r>
          </w:p>
        </w:tc>
        <w:tc>
          <w:tcPr>
            <w:tcW w:w="941" w:type="dxa"/>
            <w:shd w:val="clear" w:color="auto" w:fill="auto"/>
            <w:noWrap/>
            <w:vAlign w:val="center"/>
            <w:hideMark/>
          </w:tcPr>
          <w:p w14:paraId="6C622CB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135,331</w:t>
            </w:r>
          </w:p>
        </w:tc>
        <w:tc>
          <w:tcPr>
            <w:tcW w:w="941" w:type="dxa"/>
            <w:shd w:val="clear" w:color="auto" w:fill="auto"/>
            <w:noWrap/>
            <w:vAlign w:val="center"/>
            <w:hideMark/>
          </w:tcPr>
          <w:p w14:paraId="0D59FE9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119,242</w:t>
            </w:r>
          </w:p>
        </w:tc>
        <w:tc>
          <w:tcPr>
            <w:tcW w:w="941" w:type="dxa"/>
            <w:shd w:val="clear" w:color="auto" w:fill="auto"/>
            <w:noWrap/>
            <w:vAlign w:val="center"/>
            <w:hideMark/>
          </w:tcPr>
          <w:p w14:paraId="50888A7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121,696</w:t>
            </w:r>
          </w:p>
        </w:tc>
        <w:tc>
          <w:tcPr>
            <w:tcW w:w="852" w:type="dxa"/>
            <w:shd w:val="clear" w:color="auto" w:fill="auto"/>
            <w:noWrap/>
            <w:vAlign w:val="center"/>
            <w:hideMark/>
          </w:tcPr>
          <w:p w14:paraId="21341BF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106,327</w:t>
            </w:r>
          </w:p>
        </w:tc>
        <w:tc>
          <w:tcPr>
            <w:tcW w:w="941" w:type="dxa"/>
            <w:shd w:val="clear" w:color="auto" w:fill="auto"/>
            <w:noWrap/>
            <w:vAlign w:val="center"/>
            <w:hideMark/>
          </w:tcPr>
          <w:p w14:paraId="6721C9C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118,452</w:t>
            </w:r>
          </w:p>
        </w:tc>
        <w:tc>
          <w:tcPr>
            <w:tcW w:w="941" w:type="dxa"/>
            <w:shd w:val="clear" w:color="auto" w:fill="auto"/>
            <w:noWrap/>
            <w:vAlign w:val="center"/>
            <w:hideMark/>
          </w:tcPr>
          <w:p w14:paraId="16473C4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189,594</w:t>
            </w:r>
          </w:p>
        </w:tc>
        <w:tc>
          <w:tcPr>
            <w:tcW w:w="941" w:type="dxa"/>
            <w:shd w:val="clear" w:color="auto" w:fill="auto"/>
            <w:noWrap/>
            <w:vAlign w:val="center"/>
            <w:hideMark/>
          </w:tcPr>
          <w:p w14:paraId="45E026D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120,799</w:t>
            </w:r>
          </w:p>
        </w:tc>
        <w:tc>
          <w:tcPr>
            <w:tcW w:w="941" w:type="dxa"/>
            <w:shd w:val="clear" w:color="auto" w:fill="auto"/>
            <w:noWrap/>
            <w:vAlign w:val="center"/>
            <w:hideMark/>
          </w:tcPr>
          <w:p w14:paraId="433FD988"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1,036,492</w:t>
            </w:r>
          </w:p>
        </w:tc>
      </w:tr>
      <w:tr w:rsidR="00364C3E" w:rsidRPr="0084045A" w14:paraId="4CC0682A" w14:textId="77777777" w:rsidTr="0015649E">
        <w:trPr>
          <w:trHeight w:hRule="exact" w:val="284"/>
          <w:jc w:val="center"/>
        </w:trPr>
        <w:tc>
          <w:tcPr>
            <w:tcW w:w="1602" w:type="dxa"/>
            <w:shd w:val="clear" w:color="auto" w:fill="auto"/>
            <w:noWrap/>
            <w:vAlign w:val="center"/>
            <w:hideMark/>
          </w:tcPr>
          <w:p w14:paraId="3B49DDAE"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Veracruz</w:t>
            </w:r>
          </w:p>
        </w:tc>
        <w:tc>
          <w:tcPr>
            <w:tcW w:w="525" w:type="dxa"/>
            <w:shd w:val="clear" w:color="auto" w:fill="auto"/>
            <w:noWrap/>
            <w:vAlign w:val="center"/>
            <w:hideMark/>
          </w:tcPr>
          <w:p w14:paraId="1BCA3EB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560,390</w:t>
            </w:r>
          </w:p>
        </w:tc>
        <w:tc>
          <w:tcPr>
            <w:tcW w:w="852" w:type="dxa"/>
            <w:shd w:val="clear" w:color="auto" w:fill="auto"/>
            <w:noWrap/>
            <w:vAlign w:val="center"/>
            <w:hideMark/>
          </w:tcPr>
          <w:p w14:paraId="38D5D36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245,095</w:t>
            </w:r>
          </w:p>
        </w:tc>
        <w:tc>
          <w:tcPr>
            <w:tcW w:w="941" w:type="dxa"/>
            <w:shd w:val="clear" w:color="auto" w:fill="auto"/>
            <w:noWrap/>
            <w:vAlign w:val="center"/>
            <w:hideMark/>
          </w:tcPr>
          <w:p w14:paraId="7E1B916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870,594</w:t>
            </w:r>
          </w:p>
        </w:tc>
        <w:tc>
          <w:tcPr>
            <w:tcW w:w="941" w:type="dxa"/>
            <w:shd w:val="clear" w:color="auto" w:fill="auto"/>
            <w:noWrap/>
            <w:vAlign w:val="center"/>
            <w:hideMark/>
          </w:tcPr>
          <w:p w14:paraId="02A5C96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765,261</w:t>
            </w:r>
          </w:p>
        </w:tc>
        <w:tc>
          <w:tcPr>
            <w:tcW w:w="941" w:type="dxa"/>
            <w:shd w:val="clear" w:color="auto" w:fill="auto"/>
            <w:noWrap/>
            <w:vAlign w:val="center"/>
            <w:hideMark/>
          </w:tcPr>
          <w:p w14:paraId="2D2B411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777,728</w:t>
            </w:r>
          </w:p>
        </w:tc>
        <w:tc>
          <w:tcPr>
            <w:tcW w:w="852" w:type="dxa"/>
            <w:shd w:val="clear" w:color="auto" w:fill="auto"/>
            <w:noWrap/>
            <w:vAlign w:val="center"/>
            <w:hideMark/>
          </w:tcPr>
          <w:p w14:paraId="6F6DDC3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672,094</w:t>
            </w:r>
          </w:p>
        </w:tc>
        <w:tc>
          <w:tcPr>
            <w:tcW w:w="941" w:type="dxa"/>
            <w:shd w:val="clear" w:color="auto" w:fill="auto"/>
            <w:noWrap/>
            <w:vAlign w:val="center"/>
            <w:hideMark/>
          </w:tcPr>
          <w:p w14:paraId="64A5086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754,565</w:t>
            </w:r>
          </w:p>
        </w:tc>
        <w:tc>
          <w:tcPr>
            <w:tcW w:w="941" w:type="dxa"/>
            <w:shd w:val="clear" w:color="auto" w:fill="auto"/>
            <w:noWrap/>
            <w:vAlign w:val="center"/>
            <w:hideMark/>
          </w:tcPr>
          <w:p w14:paraId="2A4172D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1,208,796</w:t>
            </w:r>
          </w:p>
        </w:tc>
        <w:tc>
          <w:tcPr>
            <w:tcW w:w="941" w:type="dxa"/>
            <w:shd w:val="clear" w:color="auto" w:fill="auto"/>
            <w:noWrap/>
            <w:vAlign w:val="center"/>
            <w:hideMark/>
          </w:tcPr>
          <w:p w14:paraId="2BDFD79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756,174</w:t>
            </w:r>
          </w:p>
        </w:tc>
        <w:tc>
          <w:tcPr>
            <w:tcW w:w="941" w:type="dxa"/>
            <w:shd w:val="clear" w:color="auto" w:fill="auto"/>
            <w:noWrap/>
            <w:vAlign w:val="center"/>
            <w:hideMark/>
          </w:tcPr>
          <w:p w14:paraId="455E466C"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6,610,696</w:t>
            </w:r>
          </w:p>
        </w:tc>
      </w:tr>
      <w:tr w:rsidR="00364C3E" w:rsidRPr="0084045A" w14:paraId="178DF097" w14:textId="77777777" w:rsidTr="0015649E">
        <w:trPr>
          <w:trHeight w:hRule="exact" w:val="284"/>
          <w:jc w:val="center"/>
        </w:trPr>
        <w:tc>
          <w:tcPr>
            <w:tcW w:w="1602" w:type="dxa"/>
            <w:shd w:val="clear" w:color="auto" w:fill="auto"/>
            <w:noWrap/>
            <w:vAlign w:val="center"/>
            <w:hideMark/>
          </w:tcPr>
          <w:p w14:paraId="0C68DF50"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Yucatán</w:t>
            </w:r>
          </w:p>
        </w:tc>
        <w:tc>
          <w:tcPr>
            <w:tcW w:w="525" w:type="dxa"/>
            <w:shd w:val="clear" w:color="auto" w:fill="auto"/>
            <w:noWrap/>
            <w:vAlign w:val="center"/>
            <w:hideMark/>
          </w:tcPr>
          <w:p w14:paraId="2E4BC18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142,469</w:t>
            </w:r>
          </w:p>
        </w:tc>
        <w:tc>
          <w:tcPr>
            <w:tcW w:w="852" w:type="dxa"/>
            <w:shd w:val="clear" w:color="auto" w:fill="auto"/>
            <w:noWrap/>
            <w:vAlign w:val="center"/>
            <w:hideMark/>
          </w:tcPr>
          <w:p w14:paraId="2B4D0E9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62,557</w:t>
            </w:r>
          </w:p>
        </w:tc>
        <w:tc>
          <w:tcPr>
            <w:tcW w:w="941" w:type="dxa"/>
            <w:shd w:val="clear" w:color="auto" w:fill="auto"/>
            <w:noWrap/>
            <w:vAlign w:val="center"/>
            <w:hideMark/>
          </w:tcPr>
          <w:p w14:paraId="4636BFC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221,918</w:t>
            </w:r>
          </w:p>
        </w:tc>
        <w:tc>
          <w:tcPr>
            <w:tcW w:w="941" w:type="dxa"/>
            <w:shd w:val="clear" w:color="auto" w:fill="auto"/>
            <w:noWrap/>
            <w:vAlign w:val="center"/>
            <w:hideMark/>
          </w:tcPr>
          <w:p w14:paraId="3D68233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196,827</w:t>
            </w:r>
          </w:p>
        </w:tc>
        <w:tc>
          <w:tcPr>
            <w:tcW w:w="941" w:type="dxa"/>
            <w:shd w:val="clear" w:color="auto" w:fill="auto"/>
            <w:noWrap/>
            <w:vAlign w:val="center"/>
            <w:hideMark/>
          </w:tcPr>
          <w:p w14:paraId="5F1BBA5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197,971</w:t>
            </w:r>
          </w:p>
        </w:tc>
        <w:tc>
          <w:tcPr>
            <w:tcW w:w="852" w:type="dxa"/>
            <w:shd w:val="clear" w:color="auto" w:fill="auto"/>
            <w:noWrap/>
            <w:vAlign w:val="center"/>
            <w:hideMark/>
          </w:tcPr>
          <w:p w14:paraId="45C96344"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173,096</w:t>
            </w:r>
          </w:p>
        </w:tc>
        <w:tc>
          <w:tcPr>
            <w:tcW w:w="941" w:type="dxa"/>
            <w:shd w:val="clear" w:color="auto" w:fill="auto"/>
            <w:noWrap/>
            <w:vAlign w:val="center"/>
            <w:hideMark/>
          </w:tcPr>
          <w:p w14:paraId="59F20D9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193,080</w:t>
            </w:r>
          </w:p>
        </w:tc>
        <w:tc>
          <w:tcPr>
            <w:tcW w:w="941" w:type="dxa"/>
            <w:shd w:val="clear" w:color="auto" w:fill="auto"/>
            <w:noWrap/>
            <w:vAlign w:val="center"/>
            <w:hideMark/>
          </w:tcPr>
          <w:p w14:paraId="3600CE5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310,474</w:t>
            </w:r>
          </w:p>
        </w:tc>
        <w:tc>
          <w:tcPr>
            <w:tcW w:w="941" w:type="dxa"/>
            <w:shd w:val="clear" w:color="auto" w:fill="auto"/>
            <w:noWrap/>
            <w:vAlign w:val="center"/>
            <w:hideMark/>
          </w:tcPr>
          <w:p w14:paraId="57F8FA6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196,259</w:t>
            </w:r>
          </w:p>
        </w:tc>
        <w:tc>
          <w:tcPr>
            <w:tcW w:w="941" w:type="dxa"/>
            <w:shd w:val="clear" w:color="auto" w:fill="auto"/>
            <w:noWrap/>
            <w:vAlign w:val="center"/>
            <w:hideMark/>
          </w:tcPr>
          <w:p w14:paraId="05AB4BF7"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1,694,652</w:t>
            </w:r>
          </w:p>
        </w:tc>
      </w:tr>
      <w:tr w:rsidR="00364C3E" w:rsidRPr="0084045A" w14:paraId="66E7AFAC" w14:textId="77777777" w:rsidTr="0015649E">
        <w:trPr>
          <w:trHeight w:hRule="exact" w:val="284"/>
          <w:jc w:val="center"/>
        </w:trPr>
        <w:tc>
          <w:tcPr>
            <w:tcW w:w="1602" w:type="dxa"/>
            <w:shd w:val="clear" w:color="auto" w:fill="auto"/>
            <w:noWrap/>
            <w:vAlign w:val="center"/>
            <w:hideMark/>
          </w:tcPr>
          <w:p w14:paraId="3B538AA0"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Zacatecas</w:t>
            </w:r>
          </w:p>
        </w:tc>
        <w:tc>
          <w:tcPr>
            <w:tcW w:w="525" w:type="dxa"/>
            <w:shd w:val="clear" w:color="auto" w:fill="auto"/>
            <w:noWrap/>
            <w:vAlign w:val="center"/>
            <w:hideMark/>
          </w:tcPr>
          <w:p w14:paraId="0EF9F7B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110,709</w:t>
            </w:r>
          </w:p>
        </w:tc>
        <w:tc>
          <w:tcPr>
            <w:tcW w:w="852" w:type="dxa"/>
            <w:shd w:val="clear" w:color="auto" w:fill="auto"/>
            <w:noWrap/>
            <w:vAlign w:val="center"/>
            <w:hideMark/>
          </w:tcPr>
          <w:p w14:paraId="269FF36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48,263</w:t>
            </w:r>
          </w:p>
        </w:tc>
        <w:tc>
          <w:tcPr>
            <w:tcW w:w="941" w:type="dxa"/>
            <w:shd w:val="clear" w:color="auto" w:fill="auto"/>
            <w:noWrap/>
            <w:vAlign w:val="center"/>
            <w:hideMark/>
          </w:tcPr>
          <w:p w14:paraId="614A8A4A"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171,171</w:t>
            </w:r>
          </w:p>
        </w:tc>
        <w:tc>
          <w:tcPr>
            <w:tcW w:w="941" w:type="dxa"/>
            <w:shd w:val="clear" w:color="auto" w:fill="auto"/>
            <w:noWrap/>
            <w:vAlign w:val="center"/>
            <w:hideMark/>
          </w:tcPr>
          <w:p w14:paraId="03A8361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148,088</w:t>
            </w:r>
          </w:p>
        </w:tc>
        <w:tc>
          <w:tcPr>
            <w:tcW w:w="941" w:type="dxa"/>
            <w:shd w:val="clear" w:color="auto" w:fill="auto"/>
            <w:noWrap/>
            <w:vAlign w:val="center"/>
            <w:hideMark/>
          </w:tcPr>
          <w:p w14:paraId="672FD7D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153,205</w:t>
            </w:r>
          </w:p>
        </w:tc>
        <w:tc>
          <w:tcPr>
            <w:tcW w:w="852" w:type="dxa"/>
            <w:shd w:val="clear" w:color="auto" w:fill="auto"/>
            <w:noWrap/>
            <w:vAlign w:val="center"/>
            <w:hideMark/>
          </w:tcPr>
          <w:p w14:paraId="3178118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131,002</w:t>
            </w:r>
          </w:p>
        </w:tc>
        <w:tc>
          <w:tcPr>
            <w:tcW w:w="941" w:type="dxa"/>
            <w:shd w:val="clear" w:color="auto" w:fill="auto"/>
            <w:noWrap/>
            <w:vAlign w:val="center"/>
            <w:hideMark/>
          </w:tcPr>
          <w:p w14:paraId="664500E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147,044</w:t>
            </w:r>
          </w:p>
        </w:tc>
        <w:tc>
          <w:tcPr>
            <w:tcW w:w="941" w:type="dxa"/>
            <w:shd w:val="clear" w:color="auto" w:fill="auto"/>
            <w:noWrap/>
            <w:vAlign w:val="center"/>
            <w:hideMark/>
          </w:tcPr>
          <w:p w14:paraId="00411CE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233,914</w:t>
            </w:r>
          </w:p>
        </w:tc>
        <w:tc>
          <w:tcPr>
            <w:tcW w:w="941" w:type="dxa"/>
            <w:shd w:val="clear" w:color="auto" w:fill="auto"/>
            <w:noWrap/>
            <w:vAlign w:val="center"/>
            <w:hideMark/>
          </w:tcPr>
          <w:p w14:paraId="5CFE821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147,965</w:t>
            </w:r>
          </w:p>
        </w:tc>
        <w:tc>
          <w:tcPr>
            <w:tcW w:w="941" w:type="dxa"/>
            <w:shd w:val="clear" w:color="auto" w:fill="auto"/>
            <w:noWrap/>
            <w:vAlign w:val="center"/>
            <w:hideMark/>
          </w:tcPr>
          <w:p w14:paraId="2AD27538"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1,291,361</w:t>
            </w:r>
          </w:p>
        </w:tc>
      </w:tr>
      <w:tr w:rsidR="00364C3E" w:rsidRPr="0084045A" w14:paraId="1FA2253A" w14:textId="77777777" w:rsidTr="0015649E">
        <w:trPr>
          <w:trHeight w:hRule="exact" w:val="284"/>
          <w:jc w:val="center"/>
        </w:trPr>
        <w:tc>
          <w:tcPr>
            <w:tcW w:w="1602" w:type="dxa"/>
            <w:shd w:val="clear" w:color="auto" w:fill="auto"/>
            <w:noWrap/>
            <w:vAlign w:val="center"/>
            <w:hideMark/>
          </w:tcPr>
          <w:p w14:paraId="614B3A84" w14:textId="77777777" w:rsidR="00364C3E" w:rsidRPr="0084045A" w:rsidRDefault="00364C3E" w:rsidP="00F82804">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TOTAL</w:t>
            </w:r>
          </w:p>
        </w:tc>
        <w:tc>
          <w:tcPr>
            <w:tcW w:w="525" w:type="dxa"/>
            <w:shd w:val="clear" w:color="auto" w:fill="auto"/>
            <w:noWrap/>
            <w:vAlign w:val="center"/>
            <w:hideMark/>
          </w:tcPr>
          <w:p w14:paraId="1E10BC69"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8,275,119</w:t>
            </w:r>
          </w:p>
        </w:tc>
        <w:tc>
          <w:tcPr>
            <w:tcW w:w="852" w:type="dxa"/>
            <w:shd w:val="clear" w:color="auto" w:fill="auto"/>
            <w:noWrap/>
            <w:vAlign w:val="center"/>
            <w:hideMark/>
          </w:tcPr>
          <w:p w14:paraId="0318D58D"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3,616,140</w:t>
            </w:r>
          </w:p>
        </w:tc>
        <w:tc>
          <w:tcPr>
            <w:tcW w:w="941" w:type="dxa"/>
            <w:shd w:val="clear" w:color="auto" w:fill="auto"/>
            <w:noWrap/>
            <w:vAlign w:val="center"/>
            <w:hideMark/>
          </w:tcPr>
          <w:p w14:paraId="6AC527AF"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12,803,672</w:t>
            </w:r>
          </w:p>
        </w:tc>
        <w:tc>
          <w:tcPr>
            <w:tcW w:w="941" w:type="dxa"/>
            <w:shd w:val="clear" w:color="auto" w:fill="auto"/>
            <w:noWrap/>
            <w:vAlign w:val="center"/>
            <w:hideMark/>
          </w:tcPr>
          <w:p w14:paraId="28905DE3"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11,281,198</w:t>
            </w:r>
          </w:p>
        </w:tc>
        <w:tc>
          <w:tcPr>
            <w:tcW w:w="941" w:type="dxa"/>
            <w:shd w:val="clear" w:color="auto" w:fill="auto"/>
            <w:noWrap/>
            <w:vAlign w:val="center"/>
            <w:hideMark/>
          </w:tcPr>
          <w:p w14:paraId="456E9ADE"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11,413,739</w:t>
            </w:r>
          </w:p>
        </w:tc>
        <w:tc>
          <w:tcPr>
            <w:tcW w:w="852" w:type="dxa"/>
            <w:shd w:val="clear" w:color="auto" w:fill="auto"/>
            <w:noWrap/>
            <w:vAlign w:val="center"/>
            <w:hideMark/>
          </w:tcPr>
          <w:p w14:paraId="3F38027A"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9,928,898</w:t>
            </w:r>
          </w:p>
        </w:tc>
        <w:tc>
          <w:tcPr>
            <w:tcW w:w="941" w:type="dxa"/>
            <w:shd w:val="clear" w:color="auto" w:fill="auto"/>
            <w:noWrap/>
            <w:vAlign w:val="center"/>
            <w:hideMark/>
          </w:tcPr>
          <w:p w14:paraId="62C3D544"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11,074,556</w:t>
            </w:r>
          </w:p>
        </w:tc>
        <w:tc>
          <w:tcPr>
            <w:tcW w:w="941" w:type="dxa"/>
            <w:shd w:val="clear" w:color="auto" w:fill="auto"/>
            <w:noWrap/>
            <w:vAlign w:val="center"/>
            <w:hideMark/>
          </w:tcPr>
          <w:p w14:paraId="0DD96E78"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17,749,078</w:t>
            </w:r>
          </w:p>
        </w:tc>
        <w:tc>
          <w:tcPr>
            <w:tcW w:w="941" w:type="dxa"/>
            <w:shd w:val="clear" w:color="auto" w:fill="auto"/>
            <w:noWrap/>
            <w:vAlign w:val="center"/>
            <w:hideMark/>
          </w:tcPr>
          <w:p w14:paraId="696FA01F"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11,223,972</w:t>
            </w:r>
          </w:p>
        </w:tc>
        <w:tc>
          <w:tcPr>
            <w:tcW w:w="941" w:type="dxa"/>
            <w:shd w:val="clear" w:color="auto" w:fill="auto"/>
            <w:noWrap/>
            <w:vAlign w:val="center"/>
            <w:hideMark/>
          </w:tcPr>
          <w:p w14:paraId="7A5EBDBE"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97,366,372</w:t>
            </w:r>
          </w:p>
        </w:tc>
      </w:tr>
    </w:tbl>
    <w:p w14:paraId="2A7AD7A5" w14:textId="77777777" w:rsidR="00364C3E" w:rsidRPr="0084045A" w:rsidRDefault="00364C3E" w:rsidP="00364C3E">
      <w:pPr>
        <w:spacing w:after="0" w:line="240" w:lineRule="auto"/>
        <w:jc w:val="center"/>
        <w:rPr>
          <w:rFonts w:ascii="Arial" w:hAnsi="Arial" w:cs="Arial"/>
          <w:noProof/>
          <w:color w:val="000000" w:themeColor="text1"/>
          <w:sz w:val="16"/>
          <w:szCs w:val="16"/>
          <w:lang w:val="en-GB"/>
        </w:rPr>
        <w:sectPr w:rsidR="00364C3E" w:rsidRPr="0084045A" w:rsidSect="00645F53">
          <w:footerReference w:type="default" r:id="rId11"/>
          <w:pgSz w:w="12240" w:h="15840" w:code="1"/>
          <w:pgMar w:top="1418" w:right="1418" w:bottom="1418" w:left="1418" w:header="709" w:footer="709" w:gutter="0"/>
          <w:cols w:space="708"/>
          <w:docGrid w:linePitch="360"/>
        </w:sectPr>
      </w:pPr>
    </w:p>
    <w:p w14:paraId="0CF9B2F8" w14:textId="58C9DFD5" w:rsidR="0015649E" w:rsidRPr="0084045A" w:rsidRDefault="0015649E" w:rsidP="00512905">
      <w:pPr>
        <w:pStyle w:val="Ttulo2"/>
        <w:rPr>
          <w:noProof/>
          <w:lang w:val="en-GB"/>
        </w:rPr>
      </w:pPr>
      <w:r w:rsidRPr="0084045A">
        <w:rPr>
          <w:noProof/>
          <w:lang w:val="en-GB"/>
        </w:rPr>
        <w:lastRenderedPageBreak/>
        <w:t xml:space="preserve">Table </w:t>
      </w:r>
      <w:r w:rsidR="00E7590C" w:rsidRPr="0084045A">
        <w:rPr>
          <w:noProof/>
          <w:lang w:val="en-GB"/>
        </w:rPr>
        <w:t>S1.</w:t>
      </w:r>
      <w:r w:rsidR="001B7D46" w:rsidRPr="0084045A">
        <w:rPr>
          <w:noProof/>
          <w:lang w:val="en-GB"/>
        </w:rPr>
        <w:t>5</w:t>
      </w:r>
      <w:r w:rsidRPr="0084045A">
        <w:rPr>
          <w:noProof/>
          <w:lang w:val="en-GB"/>
        </w:rPr>
        <w:t>. Estimation of influenza cases in Mexico by state and age group</w:t>
      </w:r>
    </w:p>
    <w:p w14:paraId="764068A1" w14:textId="77777777" w:rsidR="0090224B" w:rsidRDefault="0090224B" w:rsidP="00364C3E">
      <w:pPr>
        <w:spacing w:after="0" w:line="240" w:lineRule="auto"/>
        <w:jc w:val="center"/>
        <w:rPr>
          <w:rFonts w:ascii="Arial" w:hAnsi="Arial" w:cs="Arial"/>
          <w:noProof/>
          <w:color w:val="000000" w:themeColor="text1"/>
          <w:sz w:val="16"/>
          <w:szCs w:val="16"/>
          <w:lang w:val="en-GB"/>
        </w:rPr>
      </w:pPr>
    </w:p>
    <w:p w14:paraId="10258D04" w14:textId="77777777" w:rsidR="00364C3E" w:rsidRPr="0084045A" w:rsidRDefault="00364C3E" w:rsidP="00364C3E">
      <w:pPr>
        <w:spacing w:after="0" w:line="240" w:lineRule="auto"/>
        <w:jc w:val="center"/>
        <w:rPr>
          <w:rFonts w:ascii="Arial" w:hAnsi="Arial" w:cs="Arial"/>
          <w:noProof/>
          <w:color w:val="000000" w:themeColor="text1"/>
          <w:sz w:val="16"/>
          <w:szCs w:val="16"/>
          <w:lang w:val="en-GB"/>
        </w:rPr>
      </w:pPr>
    </w:p>
    <w:tbl>
      <w:tblPr>
        <w:tblW w:w="984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8"/>
        <w:gridCol w:w="754"/>
        <w:gridCol w:w="768"/>
        <w:gridCol w:w="768"/>
        <w:gridCol w:w="847"/>
        <w:gridCol w:w="847"/>
        <w:gridCol w:w="880"/>
        <w:gridCol w:w="768"/>
        <w:gridCol w:w="847"/>
        <w:gridCol w:w="847"/>
        <w:gridCol w:w="847"/>
        <w:gridCol w:w="945"/>
      </w:tblGrid>
      <w:tr w:rsidR="0015649E" w:rsidRPr="0084045A" w14:paraId="7284FC13" w14:textId="77777777" w:rsidTr="001378E5">
        <w:trPr>
          <w:cantSplit/>
          <w:trHeight w:val="779"/>
          <w:jc w:val="center"/>
        </w:trPr>
        <w:tc>
          <w:tcPr>
            <w:tcW w:w="728" w:type="dxa"/>
            <w:shd w:val="clear" w:color="auto" w:fill="auto"/>
            <w:noWrap/>
            <w:textDirection w:val="btLr"/>
            <w:vAlign w:val="center"/>
            <w:hideMark/>
          </w:tcPr>
          <w:p w14:paraId="1754A73F" w14:textId="43104E1E" w:rsidR="00364C3E" w:rsidRPr="0084045A" w:rsidRDefault="0015649E" w:rsidP="00F82804">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State</w:t>
            </w:r>
          </w:p>
        </w:tc>
        <w:tc>
          <w:tcPr>
            <w:tcW w:w="753" w:type="dxa"/>
            <w:tcBorders>
              <w:bottom w:val="single" w:sz="4" w:space="0" w:color="auto"/>
            </w:tcBorders>
            <w:vAlign w:val="center"/>
          </w:tcPr>
          <w:p w14:paraId="25A0CFBE" w14:textId="0EDE5749" w:rsidR="00364C3E" w:rsidRPr="0084045A" w:rsidRDefault="0015649E" w:rsidP="0015649E">
            <w:pPr>
              <w:spacing w:after="0" w:line="240" w:lineRule="auto"/>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Age group</w:t>
            </w:r>
            <w:r w:rsidR="009E54AF" w:rsidRPr="0084045A">
              <w:rPr>
                <w:rFonts w:ascii="Arial" w:eastAsia="Times New Roman" w:hAnsi="Arial" w:cs="Arial"/>
                <w:b/>
                <w:bCs/>
                <w:noProof/>
                <w:color w:val="000000"/>
                <w:sz w:val="14"/>
                <w:szCs w:val="14"/>
                <w:lang w:val="en-GB" w:eastAsia="es-MX"/>
              </w:rPr>
              <w:t>, years</w:t>
            </w:r>
          </w:p>
        </w:tc>
        <w:tc>
          <w:tcPr>
            <w:tcW w:w="768" w:type="dxa"/>
            <w:tcBorders>
              <w:bottom w:val="single" w:sz="4" w:space="0" w:color="auto"/>
            </w:tcBorders>
            <w:shd w:val="clear" w:color="auto" w:fill="auto"/>
            <w:noWrap/>
            <w:textDirection w:val="btLr"/>
            <w:vAlign w:val="center"/>
            <w:hideMark/>
          </w:tcPr>
          <w:p w14:paraId="254E6AD1" w14:textId="539CD927" w:rsidR="00364C3E" w:rsidRPr="00884FE0" w:rsidRDefault="00364C3E" w:rsidP="0015649E">
            <w:pPr>
              <w:spacing w:after="0" w:line="240" w:lineRule="auto"/>
              <w:jc w:val="center"/>
              <w:rPr>
                <w:rFonts w:ascii="Arial" w:eastAsia="Times New Roman" w:hAnsi="Arial" w:cs="Arial"/>
                <w:b/>
                <w:bCs/>
                <w:noProof/>
                <w:color w:val="000000"/>
                <w:sz w:val="12"/>
                <w:szCs w:val="14"/>
                <w:lang w:val="en-GB" w:eastAsia="es-MX"/>
              </w:rPr>
            </w:pPr>
            <w:r w:rsidRPr="00884FE0">
              <w:rPr>
                <w:rFonts w:ascii="Arial" w:eastAsia="Times New Roman" w:hAnsi="Arial" w:cs="Arial"/>
                <w:b/>
                <w:bCs/>
                <w:noProof/>
                <w:color w:val="000000"/>
                <w:sz w:val="12"/>
                <w:szCs w:val="14"/>
                <w:lang w:val="en-GB" w:eastAsia="es-MX"/>
              </w:rPr>
              <w:t>2010</w:t>
            </w:r>
            <w:r w:rsidR="001B1B04" w:rsidRPr="00884FE0">
              <w:rPr>
                <w:rFonts w:ascii="Arial" w:eastAsia="Times New Roman" w:hAnsi="Arial" w:cs="Arial"/>
                <w:b/>
                <w:bCs/>
                <w:noProof/>
                <w:color w:val="000000"/>
                <w:sz w:val="12"/>
                <w:szCs w:val="14"/>
                <w:lang w:val="en-GB" w:eastAsia="es-MX"/>
              </w:rPr>
              <w:t>–</w:t>
            </w:r>
            <w:r w:rsidRPr="00884FE0">
              <w:rPr>
                <w:rFonts w:ascii="Arial" w:eastAsia="Times New Roman" w:hAnsi="Arial" w:cs="Arial"/>
                <w:b/>
                <w:bCs/>
                <w:noProof/>
                <w:color w:val="000000"/>
                <w:sz w:val="12"/>
                <w:szCs w:val="14"/>
                <w:lang w:val="en-GB" w:eastAsia="es-MX"/>
              </w:rPr>
              <w:t>2011</w:t>
            </w:r>
          </w:p>
        </w:tc>
        <w:tc>
          <w:tcPr>
            <w:tcW w:w="768" w:type="dxa"/>
            <w:tcBorders>
              <w:bottom w:val="single" w:sz="4" w:space="0" w:color="auto"/>
            </w:tcBorders>
            <w:shd w:val="clear" w:color="auto" w:fill="auto"/>
            <w:noWrap/>
            <w:textDirection w:val="btLr"/>
            <w:vAlign w:val="center"/>
            <w:hideMark/>
          </w:tcPr>
          <w:p w14:paraId="4C648FA5" w14:textId="434380CA" w:rsidR="00364C3E" w:rsidRPr="00884FE0" w:rsidRDefault="00364C3E" w:rsidP="0015649E">
            <w:pPr>
              <w:spacing w:after="0" w:line="240" w:lineRule="auto"/>
              <w:jc w:val="center"/>
              <w:rPr>
                <w:rFonts w:ascii="Arial" w:eastAsia="Times New Roman" w:hAnsi="Arial" w:cs="Arial"/>
                <w:b/>
                <w:bCs/>
                <w:noProof/>
                <w:color w:val="000000"/>
                <w:sz w:val="12"/>
                <w:szCs w:val="14"/>
                <w:lang w:val="en-GB" w:eastAsia="es-MX"/>
              </w:rPr>
            </w:pPr>
            <w:r w:rsidRPr="00884FE0">
              <w:rPr>
                <w:rFonts w:ascii="Arial" w:eastAsia="Times New Roman" w:hAnsi="Arial" w:cs="Arial"/>
                <w:b/>
                <w:bCs/>
                <w:noProof/>
                <w:color w:val="000000"/>
                <w:sz w:val="12"/>
                <w:szCs w:val="14"/>
                <w:lang w:val="en-GB" w:eastAsia="es-MX"/>
              </w:rPr>
              <w:t>2011</w:t>
            </w:r>
            <w:r w:rsidR="001B1B04" w:rsidRPr="00884FE0">
              <w:rPr>
                <w:rFonts w:ascii="Arial" w:eastAsia="Times New Roman" w:hAnsi="Arial" w:cs="Arial"/>
                <w:b/>
                <w:bCs/>
                <w:noProof/>
                <w:color w:val="000000"/>
                <w:sz w:val="12"/>
                <w:szCs w:val="14"/>
                <w:lang w:val="en-GB" w:eastAsia="es-MX"/>
              </w:rPr>
              <w:t>–</w:t>
            </w:r>
            <w:r w:rsidRPr="00884FE0">
              <w:rPr>
                <w:rFonts w:ascii="Arial" w:eastAsia="Times New Roman" w:hAnsi="Arial" w:cs="Arial"/>
                <w:b/>
                <w:bCs/>
                <w:noProof/>
                <w:color w:val="000000"/>
                <w:sz w:val="12"/>
                <w:szCs w:val="14"/>
                <w:lang w:val="en-GB" w:eastAsia="es-MX"/>
              </w:rPr>
              <w:t>2012</w:t>
            </w:r>
          </w:p>
        </w:tc>
        <w:tc>
          <w:tcPr>
            <w:tcW w:w="847" w:type="dxa"/>
            <w:tcBorders>
              <w:bottom w:val="single" w:sz="4" w:space="0" w:color="auto"/>
            </w:tcBorders>
            <w:shd w:val="clear" w:color="auto" w:fill="auto"/>
            <w:noWrap/>
            <w:textDirection w:val="btLr"/>
            <w:vAlign w:val="center"/>
            <w:hideMark/>
          </w:tcPr>
          <w:p w14:paraId="48E77DDD" w14:textId="0FB09423" w:rsidR="00364C3E" w:rsidRPr="00884FE0" w:rsidRDefault="00364C3E" w:rsidP="0015649E">
            <w:pPr>
              <w:spacing w:after="0" w:line="240" w:lineRule="auto"/>
              <w:jc w:val="center"/>
              <w:rPr>
                <w:rFonts w:ascii="Arial" w:eastAsia="Times New Roman" w:hAnsi="Arial" w:cs="Arial"/>
                <w:b/>
                <w:bCs/>
                <w:noProof/>
                <w:color w:val="000000"/>
                <w:sz w:val="12"/>
                <w:szCs w:val="14"/>
                <w:lang w:val="en-GB" w:eastAsia="es-MX"/>
              </w:rPr>
            </w:pPr>
            <w:r w:rsidRPr="00884FE0">
              <w:rPr>
                <w:rFonts w:ascii="Arial" w:eastAsia="Times New Roman" w:hAnsi="Arial" w:cs="Arial"/>
                <w:b/>
                <w:bCs/>
                <w:noProof/>
                <w:color w:val="000000"/>
                <w:sz w:val="12"/>
                <w:szCs w:val="14"/>
                <w:lang w:val="en-GB" w:eastAsia="es-MX"/>
              </w:rPr>
              <w:t>2012</w:t>
            </w:r>
            <w:r w:rsidR="001B1B04" w:rsidRPr="00884FE0">
              <w:rPr>
                <w:rFonts w:ascii="Arial" w:eastAsia="Times New Roman" w:hAnsi="Arial" w:cs="Arial"/>
                <w:b/>
                <w:bCs/>
                <w:noProof/>
                <w:color w:val="000000"/>
                <w:sz w:val="12"/>
                <w:szCs w:val="14"/>
                <w:lang w:val="en-GB" w:eastAsia="es-MX"/>
              </w:rPr>
              <w:t>–</w:t>
            </w:r>
            <w:r w:rsidRPr="00884FE0">
              <w:rPr>
                <w:rFonts w:ascii="Arial" w:eastAsia="Times New Roman" w:hAnsi="Arial" w:cs="Arial"/>
                <w:b/>
                <w:bCs/>
                <w:noProof/>
                <w:color w:val="000000"/>
                <w:sz w:val="12"/>
                <w:szCs w:val="14"/>
                <w:lang w:val="en-GB" w:eastAsia="es-MX"/>
              </w:rPr>
              <w:t>2013</w:t>
            </w:r>
          </w:p>
        </w:tc>
        <w:tc>
          <w:tcPr>
            <w:tcW w:w="847" w:type="dxa"/>
            <w:tcBorders>
              <w:bottom w:val="single" w:sz="4" w:space="0" w:color="auto"/>
            </w:tcBorders>
            <w:shd w:val="clear" w:color="auto" w:fill="auto"/>
            <w:noWrap/>
            <w:textDirection w:val="btLr"/>
            <w:vAlign w:val="center"/>
            <w:hideMark/>
          </w:tcPr>
          <w:p w14:paraId="73D467B7" w14:textId="042FB286" w:rsidR="00364C3E" w:rsidRPr="00884FE0" w:rsidRDefault="00364C3E" w:rsidP="0015649E">
            <w:pPr>
              <w:spacing w:after="0" w:line="240" w:lineRule="auto"/>
              <w:jc w:val="center"/>
              <w:rPr>
                <w:rFonts w:ascii="Arial" w:eastAsia="Times New Roman" w:hAnsi="Arial" w:cs="Arial"/>
                <w:b/>
                <w:bCs/>
                <w:noProof/>
                <w:color w:val="000000"/>
                <w:sz w:val="12"/>
                <w:szCs w:val="14"/>
                <w:lang w:val="en-GB" w:eastAsia="es-MX"/>
              </w:rPr>
            </w:pPr>
            <w:r w:rsidRPr="00884FE0">
              <w:rPr>
                <w:rFonts w:ascii="Arial" w:eastAsia="Times New Roman" w:hAnsi="Arial" w:cs="Arial"/>
                <w:b/>
                <w:bCs/>
                <w:noProof/>
                <w:color w:val="000000"/>
                <w:sz w:val="12"/>
                <w:szCs w:val="14"/>
                <w:lang w:val="en-GB" w:eastAsia="es-MX"/>
              </w:rPr>
              <w:t>2013</w:t>
            </w:r>
            <w:r w:rsidR="001B1B04" w:rsidRPr="00884FE0">
              <w:rPr>
                <w:rFonts w:ascii="Arial" w:eastAsia="Times New Roman" w:hAnsi="Arial" w:cs="Arial"/>
                <w:b/>
                <w:bCs/>
                <w:noProof/>
                <w:color w:val="000000"/>
                <w:sz w:val="12"/>
                <w:szCs w:val="14"/>
                <w:lang w:val="en-GB" w:eastAsia="es-MX"/>
              </w:rPr>
              <w:t>–</w:t>
            </w:r>
            <w:r w:rsidRPr="00884FE0">
              <w:rPr>
                <w:rFonts w:ascii="Arial" w:eastAsia="Times New Roman" w:hAnsi="Arial" w:cs="Arial"/>
                <w:b/>
                <w:bCs/>
                <w:noProof/>
                <w:color w:val="000000"/>
                <w:sz w:val="12"/>
                <w:szCs w:val="14"/>
                <w:lang w:val="en-GB" w:eastAsia="es-MX"/>
              </w:rPr>
              <w:t>2014</w:t>
            </w:r>
          </w:p>
        </w:tc>
        <w:tc>
          <w:tcPr>
            <w:tcW w:w="880" w:type="dxa"/>
            <w:tcBorders>
              <w:bottom w:val="single" w:sz="4" w:space="0" w:color="auto"/>
            </w:tcBorders>
            <w:shd w:val="clear" w:color="auto" w:fill="auto"/>
            <w:noWrap/>
            <w:textDirection w:val="btLr"/>
            <w:vAlign w:val="center"/>
            <w:hideMark/>
          </w:tcPr>
          <w:p w14:paraId="369BCEEB" w14:textId="34E06DD0" w:rsidR="00364C3E" w:rsidRPr="00884FE0" w:rsidRDefault="00364C3E" w:rsidP="0015649E">
            <w:pPr>
              <w:spacing w:after="0" w:line="240" w:lineRule="auto"/>
              <w:jc w:val="center"/>
              <w:rPr>
                <w:rFonts w:ascii="Arial" w:eastAsia="Times New Roman" w:hAnsi="Arial" w:cs="Arial"/>
                <w:b/>
                <w:bCs/>
                <w:noProof/>
                <w:color w:val="000000"/>
                <w:sz w:val="12"/>
                <w:szCs w:val="14"/>
                <w:lang w:val="en-GB" w:eastAsia="es-MX"/>
              </w:rPr>
            </w:pPr>
            <w:r w:rsidRPr="00884FE0">
              <w:rPr>
                <w:rFonts w:ascii="Arial" w:eastAsia="Times New Roman" w:hAnsi="Arial" w:cs="Arial"/>
                <w:b/>
                <w:bCs/>
                <w:noProof/>
                <w:color w:val="000000"/>
                <w:sz w:val="12"/>
                <w:szCs w:val="14"/>
                <w:lang w:val="en-GB" w:eastAsia="es-MX"/>
              </w:rPr>
              <w:t>2014</w:t>
            </w:r>
            <w:r w:rsidR="001B1B04" w:rsidRPr="00884FE0">
              <w:rPr>
                <w:rFonts w:ascii="Arial" w:eastAsia="Times New Roman" w:hAnsi="Arial" w:cs="Arial"/>
                <w:b/>
                <w:bCs/>
                <w:noProof/>
                <w:color w:val="000000"/>
                <w:sz w:val="12"/>
                <w:szCs w:val="14"/>
                <w:lang w:val="en-GB" w:eastAsia="es-MX"/>
              </w:rPr>
              <w:t>–</w:t>
            </w:r>
            <w:r w:rsidRPr="00884FE0">
              <w:rPr>
                <w:rFonts w:ascii="Arial" w:eastAsia="Times New Roman" w:hAnsi="Arial" w:cs="Arial"/>
                <w:b/>
                <w:bCs/>
                <w:noProof/>
                <w:color w:val="000000"/>
                <w:sz w:val="12"/>
                <w:szCs w:val="14"/>
                <w:lang w:val="en-GB" w:eastAsia="es-MX"/>
              </w:rPr>
              <w:t>2015</w:t>
            </w:r>
          </w:p>
        </w:tc>
        <w:tc>
          <w:tcPr>
            <w:tcW w:w="768" w:type="dxa"/>
            <w:tcBorders>
              <w:bottom w:val="single" w:sz="4" w:space="0" w:color="auto"/>
            </w:tcBorders>
            <w:shd w:val="clear" w:color="auto" w:fill="auto"/>
            <w:noWrap/>
            <w:textDirection w:val="btLr"/>
            <w:vAlign w:val="center"/>
            <w:hideMark/>
          </w:tcPr>
          <w:p w14:paraId="125DD588" w14:textId="20E181B5" w:rsidR="00364C3E" w:rsidRPr="00884FE0" w:rsidRDefault="00364C3E" w:rsidP="0015649E">
            <w:pPr>
              <w:spacing w:after="0" w:line="240" w:lineRule="auto"/>
              <w:jc w:val="center"/>
              <w:rPr>
                <w:rFonts w:ascii="Arial" w:eastAsia="Times New Roman" w:hAnsi="Arial" w:cs="Arial"/>
                <w:b/>
                <w:bCs/>
                <w:noProof/>
                <w:color w:val="000000"/>
                <w:sz w:val="12"/>
                <w:szCs w:val="14"/>
                <w:lang w:val="en-GB" w:eastAsia="es-MX"/>
              </w:rPr>
            </w:pPr>
            <w:r w:rsidRPr="00884FE0">
              <w:rPr>
                <w:rFonts w:ascii="Arial" w:eastAsia="Times New Roman" w:hAnsi="Arial" w:cs="Arial"/>
                <w:b/>
                <w:bCs/>
                <w:noProof/>
                <w:color w:val="000000"/>
                <w:sz w:val="12"/>
                <w:szCs w:val="14"/>
                <w:lang w:val="en-GB" w:eastAsia="es-MX"/>
              </w:rPr>
              <w:t>2015</w:t>
            </w:r>
            <w:r w:rsidR="001B1B04" w:rsidRPr="00884FE0">
              <w:rPr>
                <w:rFonts w:ascii="Arial" w:eastAsia="Times New Roman" w:hAnsi="Arial" w:cs="Arial"/>
                <w:b/>
                <w:bCs/>
                <w:noProof/>
                <w:color w:val="000000"/>
                <w:sz w:val="12"/>
                <w:szCs w:val="14"/>
                <w:lang w:val="en-GB" w:eastAsia="es-MX"/>
              </w:rPr>
              <w:t>–</w:t>
            </w:r>
            <w:r w:rsidRPr="00884FE0">
              <w:rPr>
                <w:rFonts w:ascii="Arial" w:eastAsia="Times New Roman" w:hAnsi="Arial" w:cs="Arial"/>
                <w:b/>
                <w:bCs/>
                <w:noProof/>
                <w:color w:val="000000"/>
                <w:sz w:val="12"/>
                <w:szCs w:val="14"/>
                <w:lang w:val="en-GB" w:eastAsia="es-MX"/>
              </w:rPr>
              <w:t>2016</w:t>
            </w:r>
          </w:p>
        </w:tc>
        <w:tc>
          <w:tcPr>
            <w:tcW w:w="847" w:type="dxa"/>
            <w:tcBorders>
              <w:bottom w:val="single" w:sz="4" w:space="0" w:color="auto"/>
            </w:tcBorders>
            <w:shd w:val="clear" w:color="auto" w:fill="auto"/>
            <w:noWrap/>
            <w:textDirection w:val="btLr"/>
            <w:vAlign w:val="center"/>
            <w:hideMark/>
          </w:tcPr>
          <w:p w14:paraId="34D572D0" w14:textId="0639B8A0" w:rsidR="00364C3E" w:rsidRPr="00884FE0" w:rsidRDefault="00364C3E" w:rsidP="0015649E">
            <w:pPr>
              <w:spacing w:after="0" w:line="240" w:lineRule="auto"/>
              <w:jc w:val="center"/>
              <w:rPr>
                <w:rFonts w:ascii="Arial" w:eastAsia="Times New Roman" w:hAnsi="Arial" w:cs="Arial"/>
                <w:b/>
                <w:bCs/>
                <w:noProof/>
                <w:color w:val="000000"/>
                <w:sz w:val="12"/>
                <w:szCs w:val="14"/>
                <w:lang w:val="en-GB" w:eastAsia="es-MX"/>
              </w:rPr>
            </w:pPr>
            <w:r w:rsidRPr="00884FE0">
              <w:rPr>
                <w:rFonts w:ascii="Arial" w:eastAsia="Times New Roman" w:hAnsi="Arial" w:cs="Arial"/>
                <w:b/>
                <w:bCs/>
                <w:noProof/>
                <w:color w:val="000000"/>
                <w:sz w:val="12"/>
                <w:szCs w:val="14"/>
                <w:lang w:val="en-GB" w:eastAsia="es-MX"/>
              </w:rPr>
              <w:t>2016</w:t>
            </w:r>
            <w:r w:rsidR="001B1B04" w:rsidRPr="00884FE0">
              <w:rPr>
                <w:rFonts w:ascii="Arial" w:eastAsia="Times New Roman" w:hAnsi="Arial" w:cs="Arial"/>
                <w:b/>
                <w:bCs/>
                <w:noProof/>
                <w:color w:val="000000"/>
                <w:sz w:val="12"/>
                <w:szCs w:val="14"/>
                <w:lang w:val="en-GB" w:eastAsia="es-MX"/>
              </w:rPr>
              <w:t>–</w:t>
            </w:r>
            <w:r w:rsidRPr="00884FE0">
              <w:rPr>
                <w:rFonts w:ascii="Arial" w:eastAsia="Times New Roman" w:hAnsi="Arial" w:cs="Arial"/>
                <w:b/>
                <w:bCs/>
                <w:noProof/>
                <w:color w:val="000000"/>
                <w:sz w:val="12"/>
                <w:szCs w:val="14"/>
                <w:lang w:val="en-GB" w:eastAsia="es-MX"/>
              </w:rPr>
              <w:t>2017</w:t>
            </w:r>
          </w:p>
        </w:tc>
        <w:tc>
          <w:tcPr>
            <w:tcW w:w="847" w:type="dxa"/>
            <w:tcBorders>
              <w:bottom w:val="single" w:sz="4" w:space="0" w:color="auto"/>
            </w:tcBorders>
            <w:shd w:val="clear" w:color="auto" w:fill="auto"/>
            <w:noWrap/>
            <w:textDirection w:val="btLr"/>
            <w:vAlign w:val="center"/>
            <w:hideMark/>
          </w:tcPr>
          <w:p w14:paraId="7BA25613" w14:textId="6F6C8A9E" w:rsidR="00364C3E" w:rsidRPr="00884FE0" w:rsidRDefault="00364C3E" w:rsidP="0015649E">
            <w:pPr>
              <w:spacing w:after="0" w:line="240" w:lineRule="auto"/>
              <w:jc w:val="center"/>
              <w:rPr>
                <w:rFonts w:ascii="Arial" w:eastAsia="Times New Roman" w:hAnsi="Arial" w:cs="Arial"/>
                <w:b/>
                <w:bCs/>
                <w:noProof/>
                <w:color w:val="000000"/>
                <w:sz w:val="12"/>
                <w:szCs w:val="14"/>
                <w:lang w:val="en-GB" w:eastAsia="es-MX"/>
              </w:rPr>
            </w:pPr>
            <w:r w:rsidRPr="00884FE0">
              <w:rPr>
                <w:rFonts w:ascii="Arial" w:eastAsia="Times New Roman" w:hAnsi="Arial" w:cs="Arial"/>
                <w:b/>
                <w:bCs/>
                <w:noProof/>
                <w:color w:val="000000"/>
                <w:sz w:val="12"/>
                <w:szCs w:val="14"/>
                <w:lang w:val="en-GB" w:eastAsia="es-MX"/>
              </w:rPr>
              <w:t>2017</w:t>
            </w:r>
            <w:r w:rsidR="001B1B04" w:rsidRPr="00884FE0">
              <w:rPr>
                <w:rFonts w:ascii="Arial" w:eastAsia="Times New Roman" w:hAnsi="Arial" w:cs="Arial"/>
                <w:b/>
                <w:bCs/>
                <w:noProof/>
                <w:color w:val="000000"/>
                <w:sz w:val="12"/>
                <w:szCs w:val="14"/>
                <w:lang w:val="en-GB" w:eastAsia="es-MX"/>
              </w:rPr>
              <w:t>–</w:t>
            </w:r>
            <w:r w:rsidRPr="00884FE0">
              <w:rPr>
                <w:rFonts w:ascii="Arial" w:eastAsia="Times New Roman" w:hAnsi="Arial" w:cs="Arial"/>
                <w:b/>
                <w:bCs/>
                <w:noProof/>
                <w:color w:val="000000"/>
                <w:sz w:val="12"/>
                <w:szCs w:val="14"/>
                <w:lang w:val="en-GB" w:eastAsia="es-MX"/>
              </w:rPr>
              <w:t>2018</w:t>
            </w:r>
          </w:p>
        </w:tc>
        <w:tc>
          <w:tcPr>
            <w:tcW w:w="847" w:type="dxa"/>
            <w:tcBorders>
              <w:bottom w:val="single" w:sz="4" w:space="0" w:color="auto"/>
            </w:tcBorders>
            <w:shd w:val="clear" w:color="auto" w:fill="auto"/>
            <w:noWrap/>
            <w:textDirection w:val="btLr"/>
            <w:vAlign w:val="center"/>
            <w:hideMark/>
          </w:tcPr>
          <w:p w14:paraId="1DCCFFCE" w14:textId="320ECDF4" w:rsidR="00364C3E" w:rsidRPr="00884FE0" w:rsidRDefault="00364C3E" w:rsidP="0015649E">
            <w:pPr>
              <w:spacing w:after="0" w:line="240" w:lineRule="auto"/>
              <w:jc w:val="center"/>
              <w:rPr>
                <w:rFonts w:ascii="Arial" w:eastAsia="Times New Roman" w:hAnsi="Arial" w:cs="Arial"/>
                <w:b/>
                <w:bCs/>
                <w:noProof/>
                <w:color w:val="000000"/>
                <w:sz w:val="12"/>
                <w:szCs w:val="14"/>
                <w:lang w:val="en-GB" w:eastAsia="es-MX"/>
              </w:rPr>
            </w:pPr>
            <w:r w:rsidRPr="00884FE0">
              <w:rPr>
                <w:rFonts w:ascii="Arial" w:eastAsia="Times New Roman" w:hAnsi="Arial" w:cs="Arial"/>
                <w:b/>
                <w:bCs/>
                <w:noProof/>
                <w:color w:val="000000"/>
                <w:sz w:val="12"/>
                <w:szCs w:val="14"/>
                <w:lang w:val="en-GB" w:eastAsia="es-MX"/>
              </w:rPr>
              <w:t>2018</w:t>
            </w:r>
            <w:r w:rsidR="001B1B04" w:rsidRPr="00884FE0">
              <w:rPr>
                <w:rFonts w:ascii="Arial" w:eastAsia="Times New Roman" w:hAnsi="Arial" w:cs="Arial"/>
                <w:b/>
                <w:bCs/>
                <w:noProof/>
                <w:color w:val="000000"/>
                <w:sz w:val="12"/>
                <w:szCs w:val="14"/>
                <w:lang w:val="en-GB" w:eastAsia="es-MX"/>
              </w:rPr>
              <w:t>–</w:t>
            </w:r>
            <w:r w:rsidRPr="00884FE0">
              <w:rPr>
                <w:rFonts w:ascii="Arial" w:eastAsia="Times New Roman" w:hAnsi="Arial" w:cs="Arial"/>
                <w:b/>
                <w:bCs/>
                <w:noProof/>
                <w:color w:val="000000"/>
                <w:sz w:val="12"/>
                <w:szCs w:val="14"/>
                <w:lang w:val="en-GB" w:eastAsia="es-MX"/>
              </w:rPr>
              <w:t>2019</w:t>
            </w:r>
          </w:p>
        </w:tc>
        <w:tc>
          <w:tcPr>
            <w:tcW w:w="945" w:type="dxa"/>
            <w:tcBorders>
              <w:bottom w:val="single" w:sz="4" w:space="0" w:color="auto"/>
            </w:tcBorders>
            <w:shd w:val="clear" w:color="auto" w:fill="auto"/>
            <w:noWrap/>
            <w:vAlign w:val="center"/>
            <w:hideMark/>
          </w:tcPr>
          <w:p w14:paraId="5C7E40B3" w14:textId="2BF438FF" w:rsidR="00364C3E" w:rsidRPr="0084045A" w:rsidRDefault="0015649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Total</w:t>
            </w:r>
          </w:p>
        </w:tc>
      </w:tr>
      <w:tr w:rsidR="0015649E" w:rsidRPr="0084045A" w14:paraId="1497D78F" w14:textId="77777777" w:rsidTr="00C3352F">
        <w:trPr>
          <w:trHeight w:val="212"/>
          <w:jc w:val="center"/>
        </w:trPr>
        <w:tc>
          <w:tcPr>
            <w:tcW w:w="728" w:type="dxa"/>
            <w:vMerge w:val="restart"/>
            <w:shd w:val="clear" w:color="auto" w:fill="auto"/>
            <w:noWrap/>
            <w:textDirection w:val="btLr"/>
            <w:vAlign w:val="center"/>
            <w:hideMark/>
          </w:tcPr>
          <w:p w14:paraId="72C75810" w14:textId="77777777" w:rsidR="00364C3E" w:rsidRPr="004445E6" w:rsidRDefault="00364C3E" w:rsidP="00F82804">
            <w:pPr>
              <w:spacing w:after="0" w:line="240" w:lineRule="auto"/>
              <w:ind w:left="113" w:right="113"/>
              <w:jc w:val="center"/>
              <w:rPr>
                <w:rFonts w:ascii="Arial" w:eastAsia="Times New Roman" w:hAnsi="Arial" w:cs="Arial"/>
                <w:b/>
                <w:bCs/>
                <w:noProof/>
                <w:color w:val="000000"/>
                <w:sz w:val="13"/>
                <w:szCs w:val="13"/>
                <w:lang w:val="en-GB" w:eastAsia="es-MX"/>
              </w:rPr>
            </w:pPr>
            <w:r w:rsidRPr="004445E6">
              <w:rPr>
                <w:rFonts w:ascii="Arial" w:eastAsia="Times New Roman" w:hAnsi="Arial" w:cs="Arial"/>
                <w:b/>
                <w:bCs/>
                <w:noProof/>
                <w:color w:val="000000"/>
                <w:sz w:val="13"/>
                <w:szCs w:val="13"/>
                <w:lang w:val="en-GB" w:eastAsia="es-MX"/>
              </w:rPr>
              <w:t>Aguascalientes</w:t>
            </w:r>
          </w:p>
        </w:tc>
        <w:tc>
          <w:tcPr>
            <w:tcW w:w="753" w:type="dxa"/>
            <w:tcBorders>
              <w:bottom w:val="nil"/>
              <w:right w:val="nil"/>
            </w:tcBorders>
            <w:vAlign w:val="center"/>
          </w:tcPr>
          <w:p w14:paraId="648A650E" w14:textId="7E96050F" w:rsidR="00364C3E" w:rsidRPr="0084045A" w:rsidRDefault="0015649E" w:rsidP="00F82804">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0–4</w:t>
            </w:r>
          </w:p>
        </w:tc>
        <w:tc>
          <w:tcPr>
            <w:tcW w:w="768" w:type="dxa"/>
            <w:tcBorders>
              <w:left w:val="nil"/>
              <w:bottom w:val="nil"/>
              <w:right w:val="nil"/>
            </w:tcBorders>
            <w:shd w:val="clear" w:color="auto" w:fill="auto"/>
            <w:noWrap/>
            <w:vAlign w:val="center"/>
            <w:hideMark/>
          </w:tcPr>
          <w:p w14:paraId="2C53C50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17,541</w:t>
            </w:r>
          </w:p>
        </w:tc>
        <w:tc>
          <w:tcPr>
            <w:tcW w:w="768" w:type="dxa"/>
            <w:tcBorders>
              <w:left w:val="nil"/>
              <w:bottom w:val="nil"/>
              <w:right w:val="nil"/>
            </w:tcBorders>
            <w:shd w:val="clear" w:color="auto" w:fill="auto"/>
            <w:noWrap/>
            <w:vAlign w:val="center"/>
            <w:hideMark/>
          </w:tcPr>
          <w:p w14:paraId="24BB139C" w14:textId="05E40694"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6011</w:t>
            </w:r>
          </w:p>
        </w:tc>
        <w:tc>
          <w:tcPr>
            <w:tcW w:w="847" w:type="dxa"/>
            <w:tcBorders>
              <w:left w:val="nil"/>
              <w:bottom w:val="nil"/>
              <w:right w:val="nil"/>
            </w:tcBorders>
            <w:shd w:val="clear" w:color="auto" w:fill="auto"/>
            <w:noWrap/>
            <w:vAlign w:val="center"/>
            <w:hideMark/>
          </w:tcPr>
          <w:p w14:paraId="37EC0EA1"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22,841</w:t>
            </w:r>
          </w:p>
        </w:tc>
        <w:tc>
          <w:tcPr>
            <w:tcW w:w="847" w:type="dxa"/>
            <w:tcBorders>
              <w:left w:val="nil"/>
              <w:bottom w:val="nil"/>
              <w:right w:val="nil"/>
            </w:tcBorders>
            <w:shd w:val="clear" w:color="auto" w:fill="auto"/>
            <w:noWrap/>
            <w:vAlign w:val="center"/>
            <w:hideMark/>
          </w:tcPr>
          <w:p w14:paraId="75FA10D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16,325</w:t>
            </w:r>
          </w:p>
        </w:tc>
        <w:tc>
          <w:tcPr>
            <w:tcW w:w="880" w:type="dxa"/>
            <w:tcBorders>
              <w:left w:val="nil"/>
              <w:bottom w:val="nil"/>
              <w:right w:val="nil"/>
            </w:tcBorders>
            <w:shd w:val="clear" w:color="auto" w:fill="auto"/>
            <w:noWrap/>
            <w:vAlign w:val="center"/>
            <w:hideMark/>
          </w:tcPr>
          <w:p w14:paraId="1565574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20,754</w:t>
            </w:r>
          </w:p>
        </w:tc>
        <w:tc>
          <w:tcPr>
            <w:tcW w:w="768" w:type="dxa"/>
            <w:tcBorders>
              <w:left w:val="nil"/>
              <w:bottom w:val="nil"/>
              <w:right w:val="nil"/>
            </w:tcBorders>
            <w:shd w:val="clear" w:color="auto" w:fill="auto"/>
            <w:noWrap/>
            <w:vAlign w:val="center"/>
            <w:hideMark/>
          </w:tcPr>
          <w:p w14:paraId="6BD2482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14,805</w:t>
            </w:r>
          </w:p>
        </w:tc>
        <w:tc>
          <w:tcPr>
            <w:tcW w:w="847" w:type="dxa"/>
            <w:tcBorders>
              <w:left w:val="nil"/>
              <w:bottom w:val="nil"/>
              <w:right w:val="nil"/>
            </w:tcBorders>
            <w:shd w:val="clear" w:color="auto" w:fill="auto"/>
            <w:noWrap/>
            <w:vAlign w:val="center"/>
            <w:hideMark/>
          </w:tcPr>
          <w:p w14:paraId="7D263E8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14,660</w:t>
            </w:r>
          </w:p>
        </w:tc>
        <w:tc>
          <w:tcPr>
            <w:tcW w:w="847" w:type="dxa"/>
            <w:tcBorders>
              <w:left w:val="nil"/>
              <w:bottom w:val="nil"/>
              <w:right w:val="nil"/>
            </w:tcBorders>
            <w:shd w:val="clear" w:color="auto" w:fill="auto"/>
            <w:noWrap/>
            <w:vAlign w:val="center"/>
            <w:hideMark/>
          </w:tcPr>
          <w:p w14:paraId="3F39BCC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25,338</w:t>
            </w:r>
          </w:p>
        </w:tc>
        <w:tc>
          <w:tcPr>
            <w:tcW w:w="847" w:type="dxa"/>
            <w:tcBorders>
              <w:left w:val="nil"/>
              <w:bottom w:val="nil"/>
              <w:right w:val="nil"/>
            </w:tcBorders>
            <w:shd w:val="clear" w:color="auto" w:fill="auto"/>
            <w:noWrap/>
            <w:vAlign w:val="center"/>
            <w:hideMark/>
          </w:tcPr>
          <w:p w14:paraId="250AE76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16,980</w:t>
            </w:r>
          </w:p>
        </w:tc>
        <w:tc>
          <w:tcPr>
            <w:tcW w:w="945" w:type="dxa"/>
            <w:tcBorders>
              <w:left w:val="nil"/>
              <w:bottom w:val="nil"/>
            </w:tcBorders>
            <w:shd w:val="clear" w:color="auto" w:fill="auto"/>
            <w:noWrap/>
            <w:vAlign w:val="center"/>
            <w:hideMark/>
          </w:tcPr>
          <w:p w14:paraId="2E5BD8C5"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155,255</w:t>
            </w:r>
          </w:p>
        </w:tc>
      </w:tr>
      <w:tr w:rsidR="0015649E" w:rsidRPr="0084045A" w14:paraId="580B976F" w14:textId="77777777" w:rsidTr="00C3352F">
        <w:trPr>
          <w:trHeight w:val="212"/>
          <w:jc w:val="center"/>
        </w:trPr>
        <w:tc>
          <w:tcPr>
            <w:tcW w:w="728" w:type="dxa"/>
            <w:vMerge/>
            <w:shd w:val="clear" w:color="auto" w:fill="auto"/>
            <w:noWrap/>
            <w:textDirection w:val="btLr"/>
            <w:vAlign w:val="center"/>
            <w:hideMark/>
          </w:tcPr>
          <w:p w14:paraId="20354232" w14:textId="77777777" w:rsidR="00364C3E" w:rsidRPr="0084045A" w:rsidRDefault="00364C3E" w:rsidP="00F82804">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6394950" w14:textId="15AC8F96" w:rsidR="00364C3E" w:rsidRPr="0084045A" w:rsidRDefault="0015649E" w:rsidP="00F82804">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5–17</w:t>
            </w:r>
          </w:p>
        </w:tc>
        <w:tc>
          <w:tcPr>
            <w:tcW w:w="768" w:type="dxa"/>
            <w:tcBorders>
              <w:top w:val="nil"/>
              <w:left w:val="nil"/>
              <w:bottom w:val="nil"/>
              <w:right w:val="nil"/>
            </w:tcBorders>
            <w:shd w:val="clear" w:color="auto" w:fill="auto"/>
            <w:noWrap/>
            <w:vAlign w:val="center"/>
            <w:hideMark/>
          </w:tcPr>
          <w:p w14:paraId="4EBE510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26,896</w:t>
            </w:r>
          </w:p>
        </w:tc>
        <w:tc>
          <w:tcPr>
            <w:tcW w:w="768" w:type="dxa"/>
            <w:tcBorders>
              <w:top w:val="nil"/>
              <w:left w:val="nil"/>
              <w:bottom w:val="nil"/>
              <w:right w:val="nil"/>
            </w:tcBorders>
            <w:shd w:val="clear" w:color="auto" w:fill="auto"/>
            <w:noWrap/>
            <w:vAlign w:val="center"/>
            <w:hideMark/>
          </w:tcPr>
          <w:p w14:paraId="7637B157"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12,282</w:t>
            </w:r>
          </w:p>
        </w:tc>
        <w:tc>
          <w:tcPr>
            <w:tcW w:w="847" w:type="dxa"/>
            <w:tcBorders>
              <w:top w:val="nil"/>
              <w:left w:val="nil"/>
              <w:bottom w:val="nil"/>
              <w:right w:val="nil"/>
            </w:tcBorders>
            <w:shd w:val="clear" w:color="auto" w:fill="auto"/>
            <w:noWrap/>
            <w:vAlign w:val="center"/>
            <w:hideMark/>
          </w:tcPr>
          <w:p w14:paraId="519B461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41,499</w:t>
            </w:r>
          </w:p>
        </w:tc>
        <w:tc>
          <w:tcPr>
            <w:tcW w:w="847" w:type="dxa"/>
            <w:tcBorders>
              <w:top w:val="nil"/>
              <w:left w:val="nil"/>
              <w:bottom w:val="nil"/>
              <w:right w:val="nil"/>
            </w:tcBorders>
            <w:shd w:val="clear" w:color="auto" w:fill="auto"/>
            <w:noWrap/>
            <w:vAlign w:val="center"/>
            <w:hideMark/>
          </w:tcPr>
          <w:p w14:paraId="4CDD11B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25,025</w:t>
            </w:r>
          </w:p>
        </w:tc>
        <w:tc>
          <w:tcPr>
            <w:tcW w:w="880" w:type="dxa"/>
            <w:tcBorders>
              <w:top w:val="nil"/>
              <w:left w:val="nil"/>
              <w:bottom w:val="nil"/>
              <w:right w:val="nil"/>
            </w:tcBorders>
            <w:shd w:val="clear" w:color="auto" w:fill="auto"/>
            <w:noWrap/>
            <w:vAlign w:val="center"/>
            <w:hideMark/>
          </w:tcPr>
          <w:p w14:paraId="57FD4AC8"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40,520</w:t>
            </w:r>
          </w:p>
        </w:tc>
        <w:tc>
          <w:tcPr>
            <w:tcW w:w="768" w:type="dxa"/>
            <w:tcBorders>
              <w:top w:val="nil"/>
              <w:left w:val="nil"/>
              <w:bottom w:val="nil"/>
              <w:right w:val="nil"/>
            </w:tcBorders>
            <w:shd w:val="clear" w:color="auto" w:fill="auto"/>
            <w:noWrap/>
            <w:vAlign w:val="center"/>
            <w:hideMark/>
          </w:tcPr>
          <w:p w14:paraId="2B2AC86E"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27,834</w:t>
            </w:r>
          </w:p>
        </w:tc>
        <w:tc>
          <w:tcPr>
            <w:tcW w:w="847" w:type="dxa"/>
            <w:tcBorders>
              <w:top w:val="nil"/>
              <w:left w:val="nil"/>
              <w:bottom w:val="nil"/>
              <w:right w:val="nil"/>
            </w:tcBorders>
            <w:shd w:val="clear" w:color="auto" w:fill="auto"/>
            <w:noWrap/>
            <w:vAlign w:val="center"/>
            <w:hideMark/>
          </w:tcPr>
          <w:p w14:paraId="2357DB69"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38,159</w:t>
            </w:r>
          </w:p>
        </w:tc>
        <w:tc>
          <w:tcPr>
            <w:tcW w:w="847" w:type="dxa"/>
            <w:tcBorders>
              <w:top w:val="nil"/>
              <w:left w:val="nil"/>
              <w:bottom w:val="nil"/>
              <w:right w:val="nil"/>
            </w:tcBorders>
            <w:shd w:val="clear" w:color="auto" w:fill="auto"/>
            <w:noWrap/>
            <w:vAlign w:val="center"/>
            <w:hideMark/>
          </w:tcPr>
          <w:p w14:paraId="7C890E8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48,184</w:t>
            </w:r>
          </w:p>
        </w:tc>
        <w:tc>
          <w:tcPr>
            <w:tcW w:w="847" w:type="dxa"/>
            <w:tcBorders>
              <w:top w:val="nil"/>
              <w:left w:val="nil"/>
              <w:bottom w:val="nil"/>
              <w:right w:val="nil"/>
            </w:tcBorders>
            <w:shd w:val="clear" w:color="auto" w:fill="auto"/>
            <w:noWrap/>
            <w:vAlign w:val="center"/>
            <w:hideMark/>
          </w:tcPr>
          <w:p w14:paraId="30FE500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33,084</w:t>
            </w:r>
          </w:p>
        </w:tc>
        <w:tc>
          <w:tcPr>
            <w:tcW w:w="945" w:type="dxa"/>
            <w:tcBorders>
              <w:top w:val="nil"/>
              <w:left w:val="nil"/>
              <w:bottom w:val="nil"/>
            </w:tcBorders>
            <w:shd w:val="clear" w:color="auto" w:fill="auto"/>
            <w:noWrap/>
            <w:vAlign w:val="center"/>
            <w:hideMark/>
          </w:tcPr>
          <w:p w14:paraId="27508BB0"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293,482</w:t>
            </w:r>
          </w:p>
        </w:tc>
      </w:tr>
      <w:tr w:rsidR="0015649E" w:rsidRPr="0084045A" w14:paraId="79057904" w14:textId="77777777" w:rsidTr="00C3352F">
        <w:trPr>
          <w:trHeight w:val="212"/>
          <w:jc w:val="center"/>
        </w:trPr>
        <w:tc>
          <w:tcPr>
            <w:tcW w:w="728" w:type="dxa"/>
            <w:vMerge/>
            <w:shd w:val="clear" w:color="auto" w:fill="auto"/>
            <w:noWrap/>
            <w:textDirection w:val="btLr"/>
            <w:vAlign w:val="center"/>
            <w:hideMark/>
          </w:tcPr>
          <w:p w14:paraId="4FBD5584" w14:textId="77777777" w:rsidR="00364C3E" w:rsidRPr="0084045A" w:rsidRDefault="00364C3E" w:rsidP="00F82804">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D867AC7" w14:textId="4DD897AF" w:rsidR="00364C3E" w:rsidRPr="0084045A" w:rsidRDefault="0015649E" w:rsidP="00F82804">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18–49</w:t>
            </w:r>
          </w:p>
        </w:tc>
        <w:tc>
          <w:tcPr>
            <w:tcW w:w="768" w:type="dxa"/>
            <w:tcBorders>
              <w:top w:val="nil"/>
              <w:left w:val="nil"/>
              <w:bottom w:val="nil"/>
              <w:right w:val="nil"/>
            </w:tcBorders>
            <w:shd w:val="clear" w:color="auto" w:fill="auto"/>
            <w:noWrap/>
            <w:vAlign w:val="center"/>
            <w:hideMark/>
          </w:tcPr>
          <w:p w14:paraId="1B20E54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31,216</w:t>
            </w:r>
          </w:p>
        </w:tc>
        <w:tc>
          <w:tcPr>
            <w:tcW w:w="768" w:type="dxa"/>
            <w:tcBorders>
              <w:top w:val="nil"/>
              <w:left w:val="nil"/>
              <w:bottom w:val="nil"/>
              <w:right w:val="nil"/>
            </w:tcBorders>
            <w:shd w:val="clear" w:color="auto" w:fill="auto"/>
            <w:noWrap/>
            <w:vAlign w:val="center"/>
            <w:hideMark/>
          </w:tcPr>
          <w:p w14:paraId="5807DAF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15,043</w:t>
            </w:r>
          </w:p>
        </w:tc>
        <w:tc>
          <w:tcPr>
            <w:tcW w:w="847" w:type="dxa"/>
            <w:tcBorders>
              <w:top w:val="nil"/>
              <w:left w:val="nil"/>
              <w:bottom w:val="nil"/>
              <w:right w:val="nil"/>
            </w:tcBorders>
            <w:shd w:val="clear" w:color="auto" w:fill="auto"/>
            <w:noWrap/>
            <w:vAlign w:val="center"/>
            <w:hideMark/>
          </w:tcPr>
          <w:p w14:paraId="4067DBD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50,441</w:t>
            </w:r>
          </w:p>
        </w:tc>
        <w:tc>
          <w:tcPr>
            <w:tcW w:w="847" w:type="dxa"/>
            <w:tcBorders>
              <w:top w:val="nil"/>
              <w:left w:val="nil"/>
              <w:bottom w:val="nil"/>
              <w:right w:val="nil"/>
            </w:tcBorders>
            <w:shd w:val="clear" w:color="auto" w:fill="auto"/>
            <w:noWrap/>
            <w:vAlign w:val="center"/>
            <w:hideMark/>
          </w:tcPr>
          <w:p w14:paraId="6B6ABEF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59,140</w:t>
            </w:r>
          </w:p>
        </w:tc>
        <w:tc>
          <w:tcPr>
            <w:tcW w:w="880" w:type="dxa"/>
            <w:tcBorders>
              <w:top w:val="nil"/>
              <w:left w:val="nil"/>
              <w:bottom w:val="nil"/>
              <w:right w:val="nil"/>
            </w:tcBorders>
            <w:shd w:val="clear" w:color="auto" w:fill="auto"/>
            <w:noWrap/>
            <w:vAlign w:val="center"/>
            <w:hideMark/>
          </w:tcPr>
          <w:p w14:paraId="792C27F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39,819</w:t>
            </w:r>
          </w:p>
        </w:tc>
        <w:tc>
          <w:tcPr>
            <w:tcW w:w="768" w:type="dxa"/>
            <w:tcBorders>
              <w:top w:val="nil"/>
              <w:left w:val="nil"/>
              <w:bottom w:val="nil"/>
              <w:right w:val="nil"/>
            </w:tcBorders>
            <w:shd w:val="clear" w:color="auto" w:fill="auto"/>
            <w:noWrap/>
            <w:vAlign w:val="center"/>
            <w:hideMark/>
          </w:tcPr>
          <w:p w14:paraId="2E056D9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47,668</w:t>
            </w:r>
          </w:p>
        </w:tc>
        <w:tc>
          <w:tcPr>
            <w:tcW w:w="847" w:type="dxa"/>
            <w:tcBorders>
              <w:top w:val="nil"/>
              <w:left w:val="nil"/>
              <w:bottom w:val="nil"/>
              <w:right w:val="nil"/>
            </w:tcBorders>
            <w:shd w:val="clear" w:color="auto" w:fill="auto"/>
            <w:noWrap/>
            <w:vAlign w:val="center"/>
            <w:hideMark/>
          </w:tcPr>
          <w:p w14:paraId="214B263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40,898</w:t>
            </w:r>
          </w:p>
        </w:tc>
        <w:tc>
          <w:tcPr>
            <w:tcW w:w="847" w:type="dxa"/>
            <w:tcBorders>
              <w:top w:val="nil"/>
              <w:left w:val="nil"/>
              <w:bottom w:val="nil"/>
              <w:right w:val="nil"/>
            </w:tcBorders>
            <w:shd w:val="clear" w:color="auto" w:fill="auto"/>
            <w:noWrap/>
            <w:vAlign w:val="center"/>
            <w:hideMark/>
          </w:tcPr>
          <w:p w14:paraId="5B068B7C"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69,931</w:t>
            </w:r>
          </w:p>
        </w:tc>
        <w:tc>
          <w:tcPr>
            <w:tcW w:w="847" w:type="dxa"/>
            <w:tcBorders>
              <w:top w:val="nil"/>
              <w:left w:val="nil"/>
              <w:bottom w:val="nil"/>
              <w:right w:val="nil"/>
            </w:tcBorders>
            <w:shd w:val="clear" w:color="auto" w:fill="auto"/>
            <w:noWrap/>
            <w:vAlign w:val="center"/>
            <w:hideMark/>
          </w:tcPr>
          <w:p w14:paraId="2521FD0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47,858</w:t>
            </w:r>
          </w:p>
        </w:tc>
        <w:tc>
          <w:tcPr>
            <w:tcW w:w="945" w:type="dxa"/>
            <w:tcBorders>
              <w:top w:val="nil"/>
              <w:left w:val="nil"/>
              <w:bottom w:val="nil"/>
            </w:tcBorders>
            <w:shd w:val="clear" w:color="auto" w:fill="auto"/>
            <w:noWrap/>
            <w:vAlign w:val="center"/>
            <w:hideMark/>
          </w:tcPr>
          <w:p w14:paraId="23F49504"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402,015</w:t>
            </w:r>
          </w:p>
        </w:tc>
      </w:tr>
      <w:tr w:rsidR="0015649E" w:rsidRPr="0084045A" w14:paraId="047E7F8A" w14:textId="77777777" w:rsidTr="0090224B">
        <w:trPr>
          <w:trHeight w:val="241"/>
          <w:jc w:val="center"/>
        </w:trPr>
        <w:tc>
          <w:tcPr>
            <w:tcW w:w="728" w:type="dxa"/>
            <w:vMerge/>
            <w:shd w:val="clear" w:color="auto" w:fill="auto"/>
            <w:noWrap/>
            <w:textDirection w:val="btLr"/>
            <w:vAlign w:val="center"/>
            <w:hideMark/>
          </w:tcPr>
          <w:p w14:paraId="620081FE" w14:textId="77777777" w:rsidR="00364C3E" w:rsidRPr="0084045A" w:rsidRDefault="00364C3E" w:rsidP="00F82804">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887CAB5" w14:textId="74C40903" w:rsidR="00364C3E" w:rsidRPr="0084045A" w:rsidRDefault="0015649E" w:rsidP="00F82804">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50–64</w:t>
            </w:r>
          </w:p>
        </w:tc>
        <w:tc>
          <w:tcPr>
            <w:tcW w:w="768" w:type="dxa"/>
            <w:tcBorders>
              <w:top w:val="nil"/>
              <w:left w:val="nil"/>
              <w:bottom w:val="nil"/>
              <w:right w:val="nil"/>
            </w:tcBorders>
            <w:shd w:val="clear" w:color="auto" w:fill="auto"/>
            <w:noWrap/>
            <w:vAlign w:val="center"/>
            <w:hideMark/>
          </w:tcPr>
          <w:p w14:paraId="1C786F00"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10,010</w:t>
            </w:r>
          </w:p>
        </w:tc>
        <w:tc>
          <w:tcPr>
            <w:tcW w:w="768" w:type="dxa"/>
            <w:tcBorders>
              <w:top w:val="nil"/>
              <w:left w:val="nil"/>
              <w:bottom w:val="nil"/>
              <w:right w:val="nil"/>
            </w:tcBorders>
            <w:shd w:val="clear" w:color="auto" w:fill="auto"/>
            <w:noWrap/>
            <w:vAlign w:val="center"/>
            <w:hideMark/>
          </w:tcPr>
          <w:p w14:paraId="53472665" w14:textId="17DCFE03"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4053</w:t>
            </w:r>
          </w:p>
        </w:tc>
        <w:tc>
          <w:tcPr>
            <w:tcW w:w="847" w:type="dxa"/>
            <w:tcBorders>
              <w:top w:val="nil"/>
              <w:left w:val="nil"/>
              <w:bottom w:val="nil"/>
              <w:right w:val="nil"/>
            </w:tcBorders>
            <w:shd w:val="clear" w:color="auto" w:fill="auto"/>
            <w:noWrap/>
            <w:vAlign w:val="center"/>
            <w:hideMark/>
          </w:tcPr>
          <w:p w14:paraId="6B98D0E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17,143</w:t>
            </w:r>
          </w:p>
        </w:tc>
        <w:tc>
          <w:tcPr>
            <w:tcW w:w="847" w:type="dxa"/>
            <w:tcBorders>
              <w:top w:val="nil"/>
              <w:left w:val="nil"/>
              <w:bottom w:val="nil"/>
              <w:right w:val="nil"/>
            </w:tcBorders>
            <w:shd w:val="clear" w:color="auto" w:fill="auto"/>
            <w:noWrap/>
            <w:vAlign w:val="center"/>
            <w:hideMark/>
          </w:tcPr>
          <w:p w14:paraId="6092EA15"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19,136</w:t>
            </w:r>
          </w:p>
        </w:tc>
        <w:tc>
          <w:tcPr>
            <w:tcW w:w="880" w:type="dxa"/>
            <w:tcBorders>
              <w:top w:val="nil"/>
              <w:left w:val="nil"/>
              <w:bottom w:val="nil"/>
              <w:right w:val="nil"/>
            </w:tcBorders>
            <w:shd w:val="clear" w:color="auto" w:fill="auto"/>
            <w:noWrap/>
            <w:vAlign w:val="center"/>
            <w:hideMark/>
          </w:tcPr>
          <w:p w14:paraId="7F2B226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16,949</w:t>
            </w:r>
          </w:p>
        </w:tc>
        <w:tc>
          <w:tcPr>
            <w:tcW w:w="768" w:type="dxa"/>
            <w:tcBorders>
              <w:top w:val="nil"/>
              <w:left w:val="nil"/>
              <w:bottom w:val="nil"/>
              <w:right w:val="nil"/>
            </w:tcBorders>
            <w:shd w:val="clear" w:color="auto" w:fill="auto"/>
            <w:noWrap/>
            <w:vAlign w:val="center"/>
            <w:hideMark/>
          </w:tcPr>
          <w:p w14:paraId="34D4F15D"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17,034</w:t>
            </w:r>
          </w:p>
        </w:tc>
        <w:tc>
          <w:tcPr>
            <w:tcW w:w="847" w:type="dxa"/>
            <w:tcBorders>
              <w:top w:val="nil"/>
              <w:left w:val="nil"/>
              <w:bottom w:val="nil"/>
              <w:right w:val="nil"/>
            </w:tcBorders>
            <w:shd w:val="clear" w:color="auto" w:fill="auto"/>
            <w:noWrap/>
            <w:vAlign w:val="center"/>
            <w:hideMark/>
          </w:tcPr>
          <w:p w14:paraId="683C4C22"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21,620</w:t>
            </w:r>
          </w:p>
        </w:tc>
        <w:tc>
          <w:tcPr>
            <w:tcW w:w="847" w:type="dxa"/>
            <w:tcBorders>
              <w:top w:val="nil"/>
              <w:left w:val="nil"/>
              <w:bottom w:val="nil"/>
              <w:right w:val="nil"/>
            </w:tcBorders>
            <w:shd w:val="clear" w:color="auto" w:fill="auto"/>
            <w:noWrap/>
            <w:vAlign w:val="center"/>
            <w:hideMark/>
          </w:tcPr>
          <w:p w14:paraId="6C419BE6"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40,464</w:t>
            </w:r>
          </w:p>
        </w:tc>
        <w:tc>
          <w:tcPr>
            <w:tcW w:w="847" w:type="dxa"/>
            <w:tcBorders>
              <w:top w:val="nil"/>
              <w:left w:val="nil"/>
              <w:bottom w:val="nil"/>
              <w:right w:val="nil"/>
            </w:tcBorders>
            <w:shd w:val="clear" w:color="auto" w:fill="auto"/>
            <w:noWrap/>
            <w:vAlign w:val="center"/>
            <w:hideMark/>
          </w:tcPr>
          <w:p w14:paraId="2C06C7CF"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21,152</w:t>
            </w:r>
          </w:p>
        </w:tc>
        <w:tc>
          <w:tcPr>
            <w:tcW w:w="945" w:type="dxa"/>
            <w:tcBorders>
              <w:top w:val="nil"/>
              <w:left w:val="nil"/>
              <w:bottom w:val="nil"/>
            </w:tcBorders>
            <w:shd w:val="clear" w:color="auto" w:fill="auto"/>
            <w:noWrap/>
            <w:vAlign w:val="center"/>
            <w:hideMark/>
          </w:tcPr>
          <w:p w14:paraId="1B2C106A"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167,560</w:t>
            </w:r>
          </w:p>
        </w:tc>
      </w:tr>
      <w:tr w:rsidR="0015649E" w:rsidRPr="0084045A" w14:paraId="7CBC98B9" w14:textId="77777777" w:rsidTr="0090224B">
        <w:trPr>
          <w:trHeight w:val="273"/>
          <w:jc w:val="center"/>
        </w:trPr>
        <w:tc>
          <w:tcPr>
            <w:tcW w:w="728" w:type="dxa"/>
            <w:vMerge/>
            <w:shd w:val="clear" w:color="auto" w:fill="auto"/>
            <w:noWrap/>
            <w:textDirection w:val="btLr"/>
            <w:vAlign w:val="center"/>
            <w:hideMark/>
          </w:tcPr>
          <w:p w14:paraId="03EF7A1F" w14:textId="77777777" w:rsidR="00364C3E" w:rsidRPr="0084045A" w:rsidRDefault="00364C3E" w:rsidP="00F82804">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152CB874" w14:textId="0DBC8580" w:rsidR="00364C3E" w:rsidRPr="0084045A" w:rsidRDefault="001B1B04" w:rsidP="00F82804">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w:t>
            </w:r>
            <w:r w:rsidR="0015649E"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6FACEEAA" w14:textId="14096CF1"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2804</w:t>
            </w:r>
          </w:p>
        </w:tc>
        <w:tc>
          <w:tcPr>
            <w:tcW w:w="768" w:type="dxa"/>
            <w:tcBorders>
              <w:top w:val="nil"/>
              <w:left w:val="nil"/>
              <w:bottom w:val="single" w:sz="4" w:space="0" w:color="auto"/>
              <w:right w:val="nil"/>
            </w:tcBorders>
            <w:shd w:val="clear" w:color="auto" w:fill="auto"/>
            <w:noWrap/>
            <w:vAlign w:val="center"/>
            <w:hideMark/>
          </w:tcPr>
          <w:p w14:paraId="584CD642" w14:textId="48A527B3"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1505</w:t>
            </w:r>
          </w:p>
        </w:tc>
        <w:tc>
          <w:tcPr>
            <w:tcW w:w="847" w:type="dxa"/>
            <w:tcBorders>
              <w:top w:val="nil"/>
              <w:left w:val="nil"/>
              <w:bottom w:val="single" w:sz="4" w:space="0" w:color="auto"/>
              <w:right w:val="nil"/>
            </w:tcBorders>
            <w:shd w:val="clear" w:color="auto" w:fill="auto"/>
            <w:noWrap/>
            <w:vAlign w:val="center"/>
            <w:hideMark/>
          </w:tcPr>
          <w:p w14:paraId="16C48E67" w14:textId="02F0E92E"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6512</w:t>
            </w:r>
          </w:p>
        </w:tc>
        <w:tc>
          <w:tcPr>
            <w:tcW w:w="847" w:type="dxa"/>
            <w:tcBorders>
              <w:top w:val="nil"/>
              <w:left w:val="nil"/>
              <w:bottom w:val="single" w:sz="4" w:space="0" w:color="auto"/>
              <w:right w:val="nil"/>
            </w:tcBorders>
            <w:shd w:val="clear" w:color="auto" w:fill="auto"/>
            <w:noWrap/>
            <w:vAlign w:val="center"/>
            <w:hideMark/>
          </w:tcPr>
          <w:p w14:paraId="0D97B287" w14:textId="6F2E3372"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2664</w:t>
            </w:r>
          </w:p>
        </w:tc>
        <w:tc>
          <w:tcPr>
            <w:tcW w:w="880" w:type="dxa"/>
            <w:tcBorders>
              <w:top w:val="nil"/>
              <w:left w:val="nil"/>
              <w:bottom w:val="single" w:sz="4" w:space="0" w:color="auto"/>
              <w:right w:val="nil"/>
            </w:tcBorders>
            <w:shd w:val="clear" w:color="auto" w:fill="auto"/>
            <w:noWrap/>
            <w:vAlign w:val="center"/>
            <w:hideMark/>
          </w:tcPr>
          <w:p w14:paraId="0FA8A5DC" w14:textId="5A787CEC"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7338</w:t>
            </w:r>
          </w:p>
        </w:tc>
        <w:tc>
          <w:tcPr>
            <w:tcW w:w="768" w:type="dxa"/>
            <w:tcBorders>
              <w:top w:val="nil"/>
              <w:left w:val="nil"/>
              <w:bottom w:val="single" w:sz="4" w:space="0" w:color="auto"/>
              <w:right w:val="nil"/>
            </w:tcBorders>
            <w:shd w:val="clear" w:color="auto" w:fill="auto"/>
            <w:noWrap/>
            <w:vAlign w:val="center"/>
            <w:hideMark/>
          </w:tcPr>
          <w:p w14:paraId="53EFA0F8" w14:textId="5B5D58B4"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2605</w:t>
            </w:r>
          </w:p>
        </w:tc>
        <w:tc>
          <w:tcPr>
            <w:tcW w:w="847" w:type="dxa"/>
            <w:tcBorders>
              <w:top w:val="nil"/>
              <w:left w:val="nil"/>
              <w:bottom w:val="single" w:sz="4" w:space="0" w:color="auto"/>
              <w:right w:val="nil"/>
            </w:tcBorders>
            <w:shd w:val="clear" w:color="auto" w:fill="auto"/>
            <w:noWrap/>
            <w:vAlign w:val="center"/>
            <w:hideMark/>
          </w:tcPr>
          <w:p w14:paraId="2AFF1ED7" w14:textId="2720CB9B"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7080</w:t>
            </w:r>
          </w:p>
        </w:tc>
        <w:tc>
          <w:tcPr>
            <w:tcW w:w="847" w:type="dxa"/>
            <w:tcBorders>
              <w:top w:val="nil"/>
              <w:left w:val="nil"/>
              <w:bottom w:val="single" w:sz="4" w:space="0" w:color="auto"/>
              <w:right w:val="nil"/>
            </w:tcBorders>
            <w:shd w:val="clear" w:color="auto" w:fill="auto"/>
            <w:noWrap/>
            <w:vAlign w:val="center"/>
            <w:hideMark/>
          </w:tcPr>
          <w:p w14:paraId="184EE24B" w14:textId="77777777"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11,792</w:t>
            </w:r>
          </w:p>
        </w:tc>
        <w:tc>
          <w:tcPr>
            <w:tcW w:w="847" w:type="dxa"/>
            <w:tcBorders>
              <w:top w:val="nil"/>
              <w:left w:val="nil"/>
              <w:bottom w:val="single" w:sz="4" w:space="0" w:color="auto"/>
              <w:right w:val="nil"/>
            </w:tcBorders>
            <w:shd w:val="clear" w:color="auto" w:fill="auto"/>
            <w:noWrap/>
            <w:vAlign w:val="center"/>
            <w:hideMark/>
          </w:tcPr>
          <w:p w14:paraId="254C15F7" w14:textId="302FC776" w:rsidR="00364C3E" w:rsidRPr="0084045A" w:rsidRDefault="00364C3E" w:rsidP="00F82804">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6151</w:t>
            </w:r>
          </w:p>
        </w:tc>
        <w:tc>
          <w:tcPr>
            <w:tcW w:w="945" w:type="dxa"/>
            <w:tcBorders>
              <w:top w:val="nil"/>
              <w:left w:val="nil"/>
              <w:bottom w:val="single" w:sz="4" w:space="0" w:color="auto"/>
            </w:tcBorders>
            <w:shd w:val="clear" w:color="auto" w:fill="auto"/>
            <w:noWrap/>
            <w:vAlign w:val="center"/>
            <w:hideMark/>
          </w:tcPr>
          <w:p w14:paraId="72F3597A"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48,451</w:t>
            </w:r>
          </w:p>
        </w:tc>
      </w:tr>
      <w:tr w:rsidR="0015649E" w:rsidRPr="0084045A" w14:paraId="12CBE0BF" w14:textId="77777777" w:rsidTr="00C3352F">
        <w:trPr>
          <w:trHeight w:val="212"/>
          <w:jc w:val="center"/>
        </w:trPr>
        <w:tc>
          <w:tcPr>
            <w:tcW w:w="728" w:type="dxa"/>
            <w:vMerge w:val="restart"/>
            <w:shd w:val="clear" w:color="auto" w:fill="auto"/>
            <w:noWrap/>
            <w:textDirection w:val="btLr"/>
            <w:vAlign w:val="center"/>
            <w:hideMark/>
          </w:tcPr>
          <w:p w14:paraId="6A3BF7B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Baja California</w:t>
            </w:r>
          </w:p>
        </w:tc>
        <w:tc>
          <w:tcPr>
            <w:tcW w:w="753" w:type="dxa"/>
            <w:tcBorders>
              <w:bottom w:val="nil"/>
              <w:right w:val="nil"/>
            </w:tcBorders>
            <w:vAlign w:val="center"/>
          </w:tcPr>
          <w:p w14:paraId="199A9008" w14:textId="6245DF4B"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0–4</w:t>
            </w:r>
          </w:p>
        </w:tc>
        <w:tc>
          <w:tcPr>
            <w:tcW w:w="768" w:type="dxa"/>
            <w:tcBorders>
              <w:left w:val="nil"/>
              <w:bottom w:val="nil"/>
              <w:right w:val="nil"/>
            </w:tcBorders>
            <w:shd w:val="clear" w:color="auto" w:fill="auto"/>
            <w:noWrap/>
            <w:vAlign w:val="center"/>
            <w:hideMark/>
          </w:tcPr>
          <w:p w14:paraId="59943C0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42,531</w:t>
            </w:r>
          </w:p>
        </w:tc>
        <w:tc>
          <w:tcPr>
            <w:tcW w:w="768" w:type="dxa"/>
            <w:tcBorders>
              <w:left w:val="nil"/>
              <w:bottom w:val="nil"/>
              <w:right w:val="nil"/>
            </w:tcBorders>
            <w:shd w:val="clear" w:color="auto" w:fill="auto"/>
            <w:noWrap/>
            <w:vAlign w:val="center"/>
            <w:hideMark/>
          </w:tcPr>
          <w:p w14:paraId="26CEB59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14,424</w:t>
            </w:r>
          </w:p>
        </w:tc>
        <w:tc>
          <w:tcPr>
            <w:tcW w:w="847" w:type="dxa"/>
            <w:tcBorders>
              <w:left w:val="nil"/>
              <w:bottom w:val="nil"/>
              <w:right w:val="nil"/>
            </w:tcBorders>
            <w:shd w:val="clear" w:color="auto" w:fill="auto"/>
            <w:noWrap/>
            <w:vAlign w:val="center"/>
            <w:hideMark/>
          </w:tcPr>
          <w:p w14:paraId="63189F9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54,245</w:t>
            </w:r>
          </w:p>
        </w:tc>
        <w:tc>
          <w:tcPr>
            <w:tcW w:w="847" w:type="dxa"/>
            <w:tcBorders>
              <w:left w:val="nil"/>
              <w:bottom w:val="nil"/>
              <w:right w:val="nil"/>
            </w:tcBorders>
            <w:shd w:val="clear" w:color="auto" w:fill="auto"/>
            <w:noWrap/>
            <w:vAlign w:val="center"/>
            <w:hideMark/>
          </w:tcPr>
          <w:p w14:paraId="42B05AB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38,368</w:t>
            </w:r>
          </w:p>
        </w:tc>
        <w:tc>
          <w:tcPr>
            <w:tcW w:w="880" w:type="dxa"/>
            <w:tcBorders>
              <w:left w:val="nil"/>
              <w:bottom w:val="nil"/>
              <w:right w:val="nil"/>
            </w:tcBorders>
            <w:shd w:val="clear" w:color="auto" w:fill="auto"/>
            <w:noWrap/>
            <w:vAlign w:val="center"/>
            <w:hideMark/>
          </w:tcPr>
          <w:p w14:paraId="02953B6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48,272</w:t>
            </w:r>
          </w:p>
        </w:tc>
        <w:tc>
          <w:tcPr>
            <w:tcW w:w="768" w:type="dxa"/>
            <w:tcBorders>
              <w:left w:val="nil"/>
              <w:bottom w:val="nil"/>
              <w:right w:val="nil"/>
            </w:tcBorders>
            <w:shd w:val="clear" w:color="auto" w:fill="auto"/>
            <w:noWrap/>
            <w:vAlign w:val="center"/>
            <w:hideMark/>
          </w:tcPr>
          <w:p w14:paraId="3213DFB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34,078</w:t>
            </w:r>
          </w:p>
        </w:tc>
        <w:tc>
          <w:tcPr>
            <w:tcW w:w="847" w:type="dxa"/>
            <w:tcBorders>
              <w:left w:val="nil"/>
              <w:bottom w:val="nil"/>
              <w:right w:val="nil"/>
            </w:tcBorders>
            <w:shd w:val="clear" w:color="auto" w:fill="auto"/>
            <w:noWrap/>
            <w:vAlign w:val="center"/>
            <w:hideMark/>
          </w:tcPr>
          <w:p w14:paraId="3F7A436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34,150</w:t>
            </w:r>
          </w:p>
        </w:tc>
        <w:tc>
          <w:tcPr>
            <w:tcW w:w="847" w:type="dxa"/>
            <w:tcBorders>
              <w:left w:val="nil"/>
              <w:bottom w:val="nil"/>
              <w:right w:val="nil"/>
            </w:tcBorders>
            <w:shd w:val="clear" w:color="auto" w:fill="auto"/>
            <w:noWrap/>
            <w:vAlign w:val="center"/>
            <w:hideMark/>
          </w:tcPr>
          <w:p w14:paraId="5078A1A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59,588</w:t>
            </w:r>
          </w:p>
        </w:tc>
        <w:tc>
          <w:tcPr>
            <w:tcW w:w="847" w:type="dxa"/>
            <w:tcBorders>
              <w:left w:val="nil"/>
              <w:bottom w:val="nil"/>
              <w:right w:val="nil"/>
            </w:tcBorders>
            <w:shd w:val="clear" w:color="auto" w:fill="auto"/>
            <w:noWrap/>
            <w:vAlign w:val="center"/>
            <w:hideMark/>
          </w:tcPr>
          <w:p w14:paraId="3EDF733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40,284</w:t>
            </w:r>
          </w:p>
        </w:tc>
        <w:tc>
          <w:tcPr>
            <w:tcW w:w="945" w:type="dxa"/>
            <w:tcBorders>
              <w:left w:val="nil"/>
              <w:bottom w:val="nil"/>
            </w:tcBorders>
            <w:shd w:val="clear" w:color="auto" w:fill="auto"/>
            <w:noWrap/>
            <w:vAlign w:val="center"/>
            <w:hideMark/>
          </w:tcPr>
          <w:p w14:paraId="1D52F69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365,941</w:t>
            </w:r>
          </w:p>
        </w:tc>
      </w:tr>
      <w:tr w:rsidR="0015649E" w:rsidRPr="0084045A" w14:paraId="77685927" w14:textId="77777777" w:rsidTr="00C3352F">
        <w:trPr>
          <w:trHeight w:val="212"/>
          <w:jc w:val="center"/>
        </w:trPr>
        <w:tc>
          <w:tcPr>
            <w:tcW w:w="728" w:type="dxa"/>
            <w:vMerge/>
            <w:shd w:val="clear" w:color="auto" w:fill="auto"/>
            <w:noWrap/>
            <w:textDirection w:val="btLr"/>
            <w:vAlign w:val="center"/>
            <w:hideMark/>
          </w:tcPr>
          <w:p w14:paraId="3279AE9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012BC155" w14:textId="294E8669"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5–17</w:t>
            </w:r>
          </w:p>
        </w:tc>
        <w:tc>
          <w:tcPr>
            <w:tcW w:w="768" w:type="dxa"/>
            <w:tcBorders>
              <w:top w:val="nil"/>
              <w:left w:val="nil"/>
              <w:bottom w:val="nil"/>
              <w:right w:val="nil"/>
            </w:tcBorders>
            <w:shd w:val="clear" w:color="auto" w:fill="auto"/>
            <w:noWrap/>
            <w:vAlign w:val="center"/>
            <w:hideMark/>
          </w:tcPr>
          <w:p w14:paraId="06A491A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65,855</w:t>
            </w:r>
          </w:p>
        </w:tc>
        <w:tc>
          <w:tcPr>
            <w:tcW w:w="768" w:type="dxa"/>
            <w:tcBorders>
              <w:top w:val="nil"/>
              <w:left w:val="nil"/>
              <w:bottom w:val="nil"/>
              <w:right w:val="nil"/>
            </w:tcBorders>
            <w:shd w:val="clear" w:color="auto" w:fill="auto"/>
            <w:noWrap/>
            <w:vAlign w:val="center"/>
            <w:hideMark/>
          </w:tcPr>
          <w:p w14:paraId="7273865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29,684</w:t>
            </w:r>
          </w:p>
        </w:tc>
        <w:tc>
          <w:tcPr>
            <w:tcW w:w="847" w:type="dxa"/>
            <w:tcBorders>
              <w:top w:val="nil"/>
              <w:left w:val="nil"/>
              <w:bottom w:val="nil"/>
              <w:right w:val="nil"/>
            </w:tcBorders>
            <w:shd w:val="clear" w:color="auto" w:fill="auto"/>
            <w:noWrap/>
            <w:vAlign w:val="center"/>
            <w:hideMark/>
          </w:tcPr>
          <w:p w14:paraId="54F6579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99,017</w:t>
            </w:r>
          </w:p>
        </w:tc>
        <w:tc>
          <w:tcPr>
            <w:tcW w:w="847" w:type="dxa"/>
            <w:tcBorders>
              <w:top w:val="nil"/>
              <w:left w:val="nil"/>
              <w:bottom w:val="nil"/>
              <w:right w:val="nil"/>
            </w:tcBorders>
            <w:shd w:val="clear" w:color="auto" w:fill="auto"/>
            <w:noWrap/>
            <w:vAlign w:val="center"/>
            <w:hideMark/>
          </w:tcPr>
          <w:p w14:paraId="098B001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58,954</w:t>
            </w:r>
          </w:p>
        </w:tc>
        <w:tc>
          <w:tcPr>
            <w:tcW w:w="880" w:type="dxa"/>
            <w:tcBorders>
              <w:top w:val="nil"/>
              <w:left w:val="nil"/>
              <w:bottom w:val="nil"/>
              <w:right w:val="nil"/>
            </w:tcBorders>
            <w:shd w:val="clear" w:color="auto" w:fill="auto"/>
            <w:noWrap/>
            <w:vAlign w:val="center"/>
            <w:hideMark/>
          </w:tcPr>
          <w:p w14:paraId="3490449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94,258</w:t>
            </w:r>
          </w:p>
        </w:tc>
        <w:tc>
          <w:tcPr>
            <w:tcW w:w="768" w:type="dxa"/>
            <w:tcBorders>
              <w:top w:val="nil"/>
              <w:left w:val="nil"/>
              <w:bottom w:val="nil"/>
              <w:right w:val="nil"/>
            </w:tcBorders>
            <w:shd w:val="clear" w:color="auto" w:fill="auto"/>
            <w:noWrap/>
            <w:vAlign w:val="center"/>
            <w:hideMark/>
          </w:tcPr>
          <w:p w14:paraId="1DA3DF2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63,940</w:t>
            </w:r>
          </w:p>
        </w:tc>
        <w:tc>
          <w:tcPr>
            <w:tcW w:w="847" w:type="dxa"/>
            <w:tcBorders>
              <w:top w:val="nil"/>
              <w:left w:val="nil"/>
              <w:bottom w:val="nil"/>
              <w:right w:val="nil"/>
            </w:tcBorders>
            <w:shd w:val="clear" w:color="auto" w:fill="auto"/>
            <w:noWrap/>
            <w:vAlign w:val="center"/>
            <w:hideMark/>
          </w:tcPr>
          <w:p w14:paraId="32B37DA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87,747</w:t>
            </w:r>
          </w:p>
        </w:tc>
        <w:tc>
          <w:tcPr>
            <w:tcW w:w="847" w:type="dxa"/>
            <w:tcBorders>
              <w:top w:val="nil"/>
              <w:left w:val="nil"/>
              <w:bottom w:val="nil"/>
              <w:right w:val="nil"/>
            </w:tcBorders>
            <w:shd w:val="clear" w:color="auto" w:fill="auto"/>
            <w:noWrap/>
            <w:vAlign w:val="center"/>
            <w:hideMark/>
          </w:tcPr>
          <w:p w14:paraId="2AE958C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110,965</w:t>
            </w:r>
          </w:p>
        </w:tc>
        <w:tc>
          <w:tcPr>
            <w:tcW w:w="847" w:type="dxa"/>
            <w:tcBorders>
              <w:top w:val="nil"/>
              <w:left w:val="nil"/>
              <w:bottom w:val="nil"/>
              <w:right w:val="nil"/>
            </w:tcBorders>
            <w:shd w:val="clear" w:color="auto" w:fill="auto"/>
            <w:noWrap/>
            <w:vAlign w:val="center"/>
            <w:hideMark/>
          </w:tcPr>
          <w:p w14:paraId="54FE7D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76,340</w:t>
            </w:r>
          </w:p>
        </w:tc>
        <w:tc>
          <w:tcPr>
            <w:tcW w:w="945" w:type="dxa"/>
            <w:tcBorders>
              <w:top w:val="nil"/>
              <w:left w:val="nil"/>
              <w:bottom w:val="nil"/>
            </w:tcBorders>
            <w:shd w:val="clear" w:color="auto" w:fill="auto"/>
            <w:noWrap/>
            <w:vAlign w:val="center"/>
            <w:hideMark/>
          </w:tcPr>
          <w:p w14:paraId="422A9A2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686,759</w:t>
            </w:r>
          </w:p>
        </w:tc>
      </w:tr>
      <w:tr w:rsidR="0015649E" w:rsidRPr="0084045A" w14:paraId="57DA7715" w14:textId="77777777" w:rsidTr="00C3352F">
        <w:trPr>
          <w:trHeight w:val="212"/>
          <w:jc w:val="center"/>
        </w:trPr>
        <w:tc>
          <w:tcPr>
            <w:tcW w:w="728" w:type="dxa"/>
            <w:vMerge/>
            <w:shd w:val="clear" w:color="auto" w:fill="auto"/>
            <w:noWrap/>
            <w:textDirection w:val="btLr"/>
            <w:vAlign w:val="center"/>
            <w:hideMark/>
          </w:tcPr>
          <w:p w14:paraId="7931139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6AC993BF" w14:textId="12ACDEB7"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18–49</w:t>
            </w:r>
          </w:p>
        </w:tc>
        <w:tc>
          <w:tcPr>
            <w:tcW w:w="768" w:type="dxa"/>
            <w:tcBorders>
              <w:top w:val="nil"/>
              <w:left w:val="nil"/>
              <w:bottom w:val="nil"/>
              <w:right w:val="nil"/>
            </w:tcBorders>
            <w:shd w:val="clear" w:color="auto" w:fill="auto"/>
            <w:noWrap/>
            <w:vAlign w:val="center"/>
            <w:hideMark/>
          </w:tcPr>
          <w:p w14:paraId="5235E50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88,389</w:t>
            </w:r>
          </w:p>
        </w:tc>
        <w:tc>
          <w:tcPr>
            <w:tcW w:w="768" w:type="dxa"/>
            <w:tcBorders>
              <w:top w:val="nil"/>
              <w:left w:val="nil"/>
              <w:bottom w:val="nil"/>
              <w:right w:val="nil"/>
            </w:tcBorders>
            <w:shd w:val="clear" w:color="auto" w:fill="auto"/>
            <w:noWrap/>
            <w:vAlign w:val="center"/>
            <w:hideMark/>
          </w:tcPr>
          <w:p w14:paraId="789FDA8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41,941</w:t>
            </w:r>
          </w:p>
        </w:tc>
        <w:tc>
          <w:tcPr>
            <w:tcW w:w="847" w:type="dxa"/>
            <w:tcBorders>
              <w:top w:val="nil"/>
              <w:left w:val="nil"/>
              <w:bottom w:val="nil"/>
              <w:right w:val="nil"/>
            </w:tcBorders>
            <w:shd w:val="clear" w:color="auto" w:fill="auto"/>
            <w:noWrap/>
            <w:vAlign w:val="center"/>
            <w:hideMark/>
          </w:tcPr>
          <w:p w14:paraId="278FC54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138,485</w:t>
            </w:r>
          </w:p>
        </w:tc>
        <w:tc>
          <w:tcPr>
            <w:tcW w:w="847" w:type="dxa"/>
            <w:tcBorders>
              <w:top w:val="nil"/>
              <w:left w:val="nil"/>
              <w:bottom w:val="nil"/>
              <w:right w:val="nil"/>
            </w:tcBorders>
            <w:shd w:val="clear" w:color="auto" w:fill="auto"/>
            <w:noWrap/>
            <w:vAlign w:val="center"/>
            <w:hideMark/>
          </w:tcPr>
          <w:p w14:paraId="519063C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159,920</w:t>
            </w:r>
          </w:p>
        </w:tc>
        <w:tc>
          <w:tcPr>
            <w:tcW w:w="880" w:type="dxa"/>
            <w:tcBorders>
              <w:top w:val="nil"/>
              <w:left w:val="nil"/>
              <w:bottom w:val="nil"/>
              <w:right w:val="nil"/>
            </w:tcBorders>
            <w:shd w:val="clear" w:color="auto" w:fill="auto"/>
            <w:noWrap/>
            <w:vAlign w:val="center"/>
            <w:hideMark/>
          </w:tcPr>
          <w:p w14:paraId="2B4F9B9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106,069</w:t>
            </w:r>
          </w:p>
        </w:tc>
        <w:tc>
          <w:tcPr>
            <w:tcW w:w="768" w:type="dxa"/>
            <w:tcBorders>
              <w:top w:val="nil"/>
              <w:left w:val="nil"/>
              <w:bottom w:val="nil"/>
              <w:right w:val="nil"/>
            </w:tcBorders>
            <w:shd w:val="clear" w:color="auto" w:fill="auto"/>
            <w:noWrap/>
            <w:vAlign w:val="center"/>
            <w:hideMark/>
          </w:tcPr>
          <w:p w14:paraId="281187D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125,096</w:t>
            </w:r>
          </w:p>
        </w:tc>
        <w:tc>
          <w:tcPr>
            <w:tcW w:w="847" w:type="dxa"/>
            <w:tcBorders>
              <w:top w:val="nil"/>
              <w:left w:val="nil"/>
              <w:bottom w:val="nil"/>
              <w:right w:val="nil"/>
            </w:tcBorders>
            <w:shd w:val="clear" w:color="auto" w:fill="auto"/>
            <w:noWrap/>
            <w:vAlign w:val="center"/>
            <w:hideMark/>
          </w:tcPr>
          <w:p w14:paraId="4395FB1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107,213</w:t>
            </w:r>
          </w:p>
        </w:tc>
        <w:tc>
          <w:tcPr>
            <w:tcW w:w="847" w:type="dxa"/>
            <w:tcBorders>
              <w:top w:val="nil"/>
              <w:left w:val="nil"/>
              <w:bottom w:val="nil"/>
              <w:right w:val="nil"/>
            </w:tcBorders>
            <w:shd w:val="clear" w:color="auto" w:fill="auto"/>
            <w:noWrap/>
            <w:vAlign w:val="center"/>
            <w:hideMark/>
          </w:tcPr>
          <w:p w14:paraId="6BCF222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183,115</w:t>
            </w:r>
          </w:p>
        </w:tc>
        <w:tc>
          <w:tcPr>
            <w:tcW w:w="847" w:type="dxa"/>
            <w:tcBorders>
              <w:top w:val="nil"/>
              <w:left w:val="nil"/>
              <w:bottom w:val="nil"/>
              <w:right w:val="nil"/>
            </w:tcBorders>
            <w:shd w:val="clear" w:color="auto" w:fill="auto"/>
            <w:noWrap/>
            <w:vAlign w:val="center"/>
            <w:hideMark/>
          </w:tcPr>
          <w:p w14:paraId="045D5EB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125,174</w:t>
            </w:r>
          </w:p>
        </w:tc>
        <w:tc>
          <w:tcPr>
            <w:tcW w:w="945" w:type="dxa"/>
            <w:tcBorders>
              <w:top w:val="nil"/>
              <w:left w:val="nil"/>
              <w:bottom w:val="nil"/>
            </w:tcBorders>
            <w:shd w:val="clear" w:color="auto" w:fill="auto"/>
            <w:noWrap/>
            <w:vAlign w:val="center"/>
            <w:hideMark/>
          </w:tcPr>
          <w:p w14:paraId="0D06C5A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1,075,402</w:t>
            </w:r>
          </w:p>
        </w:tc>
      </w:tr>
      <w:tr w:rsidR="0015649E" w:rsidRPr="0084045A" w14:paraId="4EE3F39B" w14:textId="77777777" w:rsidTr="00C3352F">
        <w:trPr>
          <w:trHeight w:val="212"/>
          <w:jc w:val="center"/>
        </w:trPr>
        <w:tc>
          <w:tcPr>
            <w:tcW w:w="728" w:type="dxa"/>
            <w:vMerge/>
            <w:shd w:val="clear" w:color="auto" w:fill="auto"/>
            <w:noWrap/>
            <w:textDirection w:val="btLr"/>
            <w:vAlign w:val="center"/>
            <w:hideMark/>
          </w:tcPr>
          <w:p w14:paraId="7317366B"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C8FA63F" w14:textId="5B01A286"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50–64</w:t>
            </w:r>
          </w:p>
        </w:tc>
        <w:tc>
          <w:tcPr>
            <w:tcW w:w="768" w:type="dxa"/>
            <w:tcBorders>
              <w:top w:val="nil"/>
              <w:left w:val="nil"/>
              <w:bottom w:val="nil"/>
              <w:right w:val="nil"/>
            </w:tcBorders>
            <w:shd w:val="clear" w:color="auto" w:fill="auto"/>
            <w:noWrap/>
            <w:vAlign w:val="center"/>
            <w:hideMark/>
          </w:tcPr>
          <w:p w14:paraId="0DE9B70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27,075</w:t>
            </w:r>
          </w:p>
        </w:tc>
        <w:tc>
          <w:tcPr>
            <w:tcW w:w="768" w:type="dxa"/>
            <w:tcBorders>
              <w:top w:val="nil"/>
              <w:left w:val="nil"/>
              <w:bottom w:val="nil"/>
              <w:right w:val="nil"/>
            </w:tcBorders>
            <w:shd w:val="clear" w:color="auto" w:fill="auto"/>
            <w:noWrap/>
            <w:vAlign w:val="center"/>
            <w:hideMark/>
          </w:tcPr>
          <w:p w14:paraId="5A1E34F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10,959</w:t>
            </w:r>
          </w:p>
        </w:tc>
        <w:tc>
          <w:tcPr>
            <w:tcW w:w="847" w:type="dxa"/>
            <w:tcBorders>
              <w:top w:val="nil"/>
              <w:left w:val="nil"/>
              <w:bottom w:val="nil"/>
              <w:right w:val="nil"/>
            </w:tcBorders>
            <w:shd w:val="clear" w:color="auto" w:fill="auto"/>
            <w:noWrap/>
            <w:vAlign w:val="center"/>
            <w:hideMark/>
          </w:tcPr>
          <w:p w14:paraId="53E3E4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46,346</w:t>
            </w:r>
          </w:p>
        </w:tc>
        <w:tc>
          <w:tcPr>
            <w:tcW w:w="847" w:type="dxa"/>
            <w:tcBorders>
              <w:top w:val="nil"/>
              <w:left w:val="nil"/>
              <w:bottom w:val="nil"/>
              <w:right w:val="nil"/>
            </w:tcBorders>
            <w:shd w:val="clear" w:color="auto" w:fill="auto"/>
            <w:noWrap/>
            <w:vAlign w:val="center"/>
            <w:hideMark/>
          </w:tcPr>
          <w:p w14:paraId="68CB192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51,725</w:t>
            </w:r>
          </w:p>
        </w:tc>
        <w:tc>
          <w:tcPr>
            <w:tcW w:w="880" w:type="dxa"/>
            <w:tcBorders>
              <w:top w:val="nil"/>
              <w:left w:val="nil"/>
              <w:bottom w:val="nil"/>
              <w:right w:val="nil"/>
            </w:tcBorders>
            <w:shd w:val="clear" w:color="auto" w:fill="auto"/>
            <w:noWrap/>
            <w:vAlign w:val="center"/>
            <w:hideMark/>
          </w:tcPr>
          <w:p w14:paraId="5290B5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45,802</w:t>
            </w:r>
          </w:p>
        </w:tc>
        <w:tc>
          <w:tcPr>
            <w:tcW w:w="768" w:type="dxa"/>
            <w:tcBorders>
              <w:top w:val="nil"/>
              <w:left w:val="nil"/>
              <w:bottom w:val="nil"/>
              <w:right w:val="nil"/>
            </w:tcBorders>
            <w:shd w:val="clear" w:color="auto" w:fill="auto"/>
            <w:noWrap/>
            <w:vAlign w:val="center"/>
            <w:hideMark/>
          </w:tcPr>
          <w:p w14:paraId="1494876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46,022</w:t>
            </w:r>
          </w:p>
        </w:tc>
        <w:tc>
          <w:tcPr>
            <w:tcW w:w="847" w:type="dxa"/>
            <w:tcBorders>
              <w:top w:val="nil"/>
              <w:left w:val="nil"/>
              <w:bottom w:val="nil"/>
              <w:right w:val="nil"/>
            </w:tcBorders>
            <w:shd w:val="clear" w:color="auto" w:fill="auto"/>
            <w:noWrap/>
            <w:vAlign w:val="center"/>
            <w:hideMark/>
          </w:tcPr>
          <w:p w14:paraId="211B50D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58,685</w:t>
            </w:r>
          </w:p>
        </w:tc>
        <w:tc>
          <w:tcPr>
            <w:tcW w:w="847" w:type="dxa"/>
            <w:tcBorders>
              <w:top w:val="nil"/>
              <w:left w:val="nil"/>
              <w:bottom w:val="nil"/>
              <w:right w:val="nil"/>
            </w:tcBorders>
            <w:shd w:val="clear" w:color="auto" w:fill="auto"/>
            <w:noWrap/>
            <w:vAlign w:val="center"/>
            <w:hideMark/>
          </w:tcPr>
          <w:p w14:paraId="2FF7FF9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110,329</w:t>
            </w:r>
          </w:p>
        </w:tc>
        <w:tc>
          <w:tcPr>
            <w:tcW w:w="847" w:type="dxa"/>
            <w:tcBorders>
              <w:top w:val="nil"/>
              <w:left w:val="nil"/>
              <w:bottom w:val="nil"/>
              <w:right w:val="nil"/>
            </w:tcBorders>
            <w:shd w:val="clear" w:color="auto" w:fill="auto"/>
            <w:noWrap/>
            <w:vAlign w:val="center"/>
            <w:hideMark/>
          </w:tcPr>
          <w:p w14:paraId="581567B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57,911</w:t>
            </w:r>
          </w:p>
        </w:tc>
        <w:tc>
          <w:tcPr>
            <w:tcW w:w="945" w:type="dxa"/>
            <w:tcBorders>
              <w:top w:val="nil"/>
              <w:left w:val="nil"/>
              <w:bottom w:val="nil"/>
            </w:tcBorders>
            <w:shd w:val="clear" w:color="auto" w:fill="auto"/>
            <w:noWrap/>
            <w:vAlign w:val="center"/>
            <w:hideMark/>
          </w:tcPr>
          <w:p w14:paraId="4839079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454,854</w:t>
            </w:r>
          </w:p>
        </w:tc>
      </w:tr>
      <w:tr w:rsidR="0015649E" w:rsidRPr="0084045A" w14:paraId="7C5D9C82" w14:textId="77777777" w:rsidTr="00C3352F">
        <w:trPr>
          <w:trHeight w:val="212"/>
          <w:jc w:val="center"/>
        </w:trPr>
        <w:tc>
          <w:tcPr>
            <w:tcW w:w="728" w:type="dxa"/>
            <w:vMerge/>
            <w:shd w:val="clear" w:color="auto" w:fill="auto"/>
            <w:noWrap/>
            <w:textDirection w:val="btLr"/>
            <w:vAlign w:val="center"/>
            <w:hideMark/>
          </w:tcPr>
          <w:p w14:paraId="1A05686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5C835B96" w14:textId="68C4E5AA"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w:t>
            </w:r>
            <w:r w:rsidR="0015649E"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365D625C" w14:textId="3403BEA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6684</w:t>
            </w:r>
          </w:p>
        </w:tc>
        <w:tc>
          <w:tcPr>
            <w:tcW w:w="768" w:type="dxa"/>
            <w:tcBorders>
              <w:top w:val="nil"/>
              <w:left w:val="nil"/>
              <w:bottom w:val="single" w:sz="4" w:space="0" w:color="auto"/>
              <w:right w:val="nil"/>
            </w:tcBorders>
            <w:shd w:val="clear" w:color="auto" w:fill="auto"/>
            <w:noWrap/>
            <w:vAlign w:val="center"/>
            <w:hideMark/>
          </w:tcPr>
          <w:p w14:paraId="3793273C" w14:textId="0EB5DCC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3603</w:t>
            </w:r>
          </w:p>
        </w:tc>
        <w:tc>
          <w:tcPr>
            <w:tcW w:w="847" w:type="dxa"/>
            <w:tcBorders>
              <w:top w:val="nil"/>
              <w:left w:val="nil"/>
              <w:bottom w:val="single" w:sz="4" w:space="0" w:color="auto"/>
              <w:right w:val="nil"/>
            </w:tcBorders>
            <w:shd w:val="clear" w:color="auto" w:fill="auto"/>
            <w:noWrap/>
            <w:vAlign w:val="center"/>
            <w:hideMark/>
          </w:tcPr>
          <w:p w14:paraId="2354EB0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15,658</w:t>
            </w:r>
          </w:p>
        </w:tc>
        <w:tc>
          <w:tcPr>
            <w:tcW w:w="847" w:type="dxa"/>
            <w:tcBorders>
              <w:top w:val="nil"/>
              <w:left w:val="nil"/>
              <w:bottom w:val="single" w:sz="4" w:space="0" w:color="auto"/>
              <w:right w:val="nil"/>
            </w:tcBorders>
            <w:shd w:val="clear" w:color="auto" w:fill="auto"/>
            <w:noWrap/>
            <w:vAlign w:val="center"/>
            <w:hideMark/>
          </w:tcPr>
          <w:p w14:paraId="0BC981A1" w14:textId="71E32BB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6433</w:t>
            </w:r>
          </w:p>
        </w:tc>
        <w:tc>
          <w:tcPr>
            <w:tcW w:w="880" w:type="dxa"/>
            <w:tcBorders>
              <w:top w:val="nil"/>
              <w:left w:val="nil"/>
              <w:bottom w:val="single" w:sz="4" w:space="0" w:color="auto"/>
              <w:right w:val="nil"/>
            </w:tcBorders>
            <w:shd w:val="clear" w:color="auto" w:fill="auto"/>
            <w:noWrap/>
            <w:vAlign w:val="center"/>
            <w:hideMark/>
          </w:tcPr>
          <w:p w14:paraId="4C7EAA4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17,799</w:t>
            </w:r>
          </w:p>
        </w:tc>
        <w:tc>
          <w:tcPr>
            <w:tcW w:w="768" w:type="dxa"/>
            <w:tcBorders>
              <w:top w:val="nil"/>
              <w:left w:val="nil"/>
              <w:bottom w:val="single" w:sz="4" w:space="0" w:color="auto"/>
              <w:right w:val="nil"/>
            </w:tcBorders>
            <w:shd w:val="clear" w:color="auto" w:fill="auto"/>
            <w:noWrap/>
            <w:vAlign w:val="center"/>
            <w:hideMark/>
          </w:tcPr>
          <w:p w14:paraId="3257F0EA" w14:textId="3310BD2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6346</w:t>
            </w:r>
          </w:p>
        </w:tc>
        <w:tc>
          <w:tcPr>
            <w:tcW w:w="847" w:type="dxa"/>
            <w:tcBorders>
              <w:top w:val="nil"/>
              <w:left w:val="nil"/>
              <w:bottom w:val="single" w:sz="4" w:space="0" w:color="auto"/>
              <w:right w:val="nil"/>
            </w:tcBorders>
            <w:shd w:val="clear" w:color="auto" w:fill="auto"/>
            <w:noWrap/>
            <w:vAlign w:val="center"/>
            <w:hideMark/>
          </w:tcPr>
          <w:p w14:paraId="72C2098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17,384</w:t>
            </w:r>
          </w:p>
        </w:tc>
        <w:tc>
          <w:tcPr>
            <w:tcW w:w="847" w:type="dxa"/>
            <w:tcBorders>
              <w:top w:val="nil"/>
              <w:left w:val="nil"/>
              <w:bottom w:val="single" w:sz="4" w:space="0" w:color="auto"/>
              <w:right w:val="nil"/>
            </w:tcBorders>
            <w:shd w:val="clear" w:color="auto" w:fill="auto"/>
            <w:noWrap/>
            <w:vAlign w:val="center"/>
            <w:hideMark/>
          </w:tcPr>
          <w:p w14:paraId="18F4C66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29,171</w:t>
            </w:r>
          </w:p>
        </w:tc>
        <w:tc>
          <w:tcPr>
            <w:tcW w:w="847" w:type="dxa"/>
            <w:tcBorders>
              <w:top w:val="nil"/>
              <w:left w:val="nil"/>
              <w:bottom w:val="single" w:sz="4" w:space="0" w:color="auto"/>
              <w:right w:val="nil"/>
            </w:tcBorders>
            <w:shd w:val="clear" w:color="auto" w:fill="auto"/>
            <w:noWrap/>
            <w:vAlign w:val="center"/>
            <w:hideMark/>
          </w:tcPr>
          <w:p w14:paraId="016B499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15,327</w:t>
            </w:r>
          </w:p>
        </w:tc>
        <w:tc>
          <w:tcPr>
            <w:tcW w:w="945" w:type="dxa"/>
            <w:tcBorders>
              <w:top w:val="nil"/>
              <w:left w:val="nil"/>
              <w:bottom w:val="single" w:sz="4" w:space="0" w:color="auto"/>
            </w:tcBorders>
            <w:shd w:val="clear" w:color="auto" w:fill="auto"/>
            <w:noWrap/>
            <w:vAlign w:val="center"/>
            <w:hideMark/>
          </w:tcPr>
          <w:p w14:paraId="0BF2CAE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118,406</w:t>
            </w:r>
          </w:p>
        </w:tc>
      </w:tr>
      <w:tr w:rsidR="0015649E" w:rsidRPr="0084045A" w14:paraId="3542193A" w14:textId="77777777" w:rsidTr="00C3352F">
        <w:trPr>
          <w:trHeight w:val="212"/>
          <w:jc w:val="center"/>
        </w:trPr>
        <w:tc>
          <w:tcPr>
            <w:tcW w:w="728" w:type="dxa"/>
            <w:vMerge w:val="restart"/>
            <w:shd w:val="clear" w:color="auto" w:fill="auto"/>
            <w:noWrap/>
            <w:textDirection w:val="btLr"/>
            <w:vAlign w:val="center"/>
            <w:hideMark/>
          </w:tcPr>
          <w:p w14:paraId="2E4A283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Baja California Sur</w:t>
            </w:r>
          </w:p>
        </w:tc>
        <w:tc>
          <w:tcPr>
            <w:tcW w:w="753" w:type="dxa"/>
            <w:tcBorders>
              <w:bottom w:val="nil"/>
              <w:right w:val="nil"/>
            </w:tcBorders>
            <w:vAlign w:val="center"/>
          </w:tcPr>
          <w:p w14:paraId="6DF5A74F" w14:textId="36294EBC"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0–4</w:t>
            </w:r>
          </w:p>
        </w:tc>
        <w:tc>
          <w:tcPr>
            <w:tcW w:w="768" w:type="dxa"/>
            <w:tcBorders>
              <w:left w:val="nil"/>
              <w:bottom w:val="nil"/>
              <w:right w:val="nil"/>
            </w:tcBorders>
            <w:shd w:val="clear" w:color="auto" w:fill="auto"/>
            <w:noWrap/>
            <w:vAlign w:val="center"/>
            <w:hideMark/>
          </w:tcPr>
          <w:p w14:paraId="04208008" w14:textId="69BE436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8564</w:t>
            </w:r>
          </w:p>
        </w:tc>
        <w:tc>
          <w:tcPr>
            <w:tcW w:w="768" w:type="dxa"/>
            <w:tcBorders>
              <w:left w:val="nil"/>
              <w:bottom w:val="nil"/>
              <w:right w:val="nil"/>
            </w:tcBorders>
            <w:shd w:val="clear" w:color="auto" w:fill="auto"/>
            <w:noWrap/>
            <w:vAlign w:val="center"/>
            <w:hideMark/>
          </w:tcPr>
          <w:p w14:paraId="6DDC6FF8" w14:textId="432CE710"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2973</w:t>
            </w:r>
          </w:p>
        </w:tc>
        <w:tc>
          <w:tcPr>
            <w:tcW w:w="847" w:type="dxa"/>
            <w:tcBorders>
              <w:left w:val="nil"/>
              <w:bottom w:val="nil"/>
              <w:right w:val="nil"/>
            </w:tcBorders>
            <w:shd w:val="clear" w:color="auto" w:fill="auto"/>
            <w:noWrap/>
            <w:vAlign w:val="center"/>
            <w:hideMark/>
          </w:tcPr>
          <w:p w14:paraId="3CC07EB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11,441</w:t>
            </w:r>
          </w:p>
        </w:tc>
        <w:tc>
          <w:tcPr>
            <w:tcW w:w="847" w:type="dxa"/>
            <w:tcBorders>
              <w:left w:val="nil"/>
              <w:bottom w:val="nil"/>
              <w:right w:val="nil"/>
            </w:tcBorders>
            <w:shd w:val="clear" w:color="auto" w:fill="auto"/>
            <w:noWrap/>
            <w:vAlign w:val="center"/>
            <w:hideMark/>
          </w:tcPr>
          <w:p w14:paraId="3FCA3BF9" w14:textId="2CA93B70"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8280</w:t>
            </w:r>
          </w:p>
        </w:tc>
        <w:tc>
          <w:tcPr>
            <w:tcW w:w="880" w:type="dxa"/>
            <w:tcBorders>
              <w:left w:val="nil"/>
              <w:bottom w:val="nil"/>
              <w:right w:val="nil"/>
            </w:tcBorders>
            <w:shd w:val="clear" w:color="auto" w:fill="auto"/>
            <w:noWrap/>
            <w:vAlign w:val="center"/>
            <w:hideMark/>
          </w:tcPr>
          <w:p w14:paraId="4C6BA5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10,654</w:t>
            </w:r>
          </w:p>
        </w:tc>
        <w:tc>
          <w:tcPr>
            <w:tcW w:w="768" w:type="dxa"/>
            <w:tcBorders>
              <w:left w:val="nil"/>
              <w:bottom w:val="nil"/>
              <w:right w:val="nil"/>
            </w:tcBorders>
            <w:shd w:val="clear" w:color="auto" w:fill="auto"/>
            <w:noWrap/>
            <w:vAlign w:val="center"/>
            <w:hideMark/>
          </w:tcPr>
          <w:p w14:paraId="58ADD5B8" w14:textId="7359FD5E"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7692</w:t>
            </w:r>
          </w:p>
        </w:tc>
        <w:tc>
          <w:tcPr>
            <w:tcW w:w="847" w:type="dxa"/>
            <w:tcBorders>
              <w:left w:val="nil"/>
              <w:bottom w:val="nil"/>
              <w:right w:val="nil"/>
            </w:tcBorders>
            <w:shd w:val="clear" w:color="auto" w:fill="auto"/>
            <w:noWrap/>
            <w:vAlign w:val="center"/>
            <w:hideMark/>
          </w:tcPr>
          <w:p w14:paraId="1FECCA2A" w14:textId="5E59FC80"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7793</w:t>
            </w:r>
          </w:p>
        </w:tc>
        <w:tc>
          <w:tcPr>
            <w:tcW w:w="847" w:type="dxa"/>
            <w:tcBorders>
              <w:left w:val="nil"/>
              <w:bottom w:val="nil"/>
              <w:right w:val="nil"/>
            </w:tcBorders>
            <w:shd w:val="clear" w:color="auto" w:fill="auto"/>
            <w:noWrap/>
            <w:vAlign w:val="center"/>
            <w:hideMark/>
          </w:tcPr>
          <w:p w14:paraId="5A146A5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13,720</w:t>
            </w:r>
          </w:p>
        </w:tc>
        <w:tc>
          <w:tcPr>
            <w:tcW w:w="847" w:type="dxa"/>
            <w:tcBorders>
              <w:left w:val="nil"/>
              <w:bottom w:val="nil"/>
              <w:right w:val="nil"/>
            </w:tcBorders>
            <w:shd w:val="clear" w:color="auto" w:fill="auto"/>
            <w:noWrap/>
            <w:vAlign w:val="center"/>
            <w:hideMark/>
          </w:tcPr>
          <w:p w14:paraId="5C3FCD6A" w14:textId="3D38B65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9364</w:t>
            </w:r>
          </w:p>
        </w:tc>
        <w:tc>
          <w:tcPr>
            <w:tcW w:w="945" w:type="dxa"/>
            <w:tcBorders>
              <w:left w:val="nil"/>
              <w:bottom w:val="nil"/>
            </w:tcBorders>
            <w:shd w:val="clear" w:color="auto" w:fill="auto"/>
            <w:noWrap/>
            <w:vAlign w:val="center"/>
            <w:hideMark/>
          </w:tcPr>
          <w:p w14:paraId="16B83E7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80,481</w:t>
            </w:r>
          </w:p>
        </w:tc>
      </w:tr>
      <w:tr w:rsidR="0015649E" w:rsidRPr="0084045A" w14:paraId="451E9F6D" w14:textId="77777777" w:rsidTr="00C3352F">
        <w:trPr>
          <w:trHeight w:val="212"/>
          <w:jc w:val="center"/>
        </w:trPr>
        <w:tc>
          <w:tcPr>
            <w:tcW w:w="728" w:type="dxa"/>
            <w:vMerge/>
            <w:shd w:val="clear" w:color="auto" w:fill="auto"/>
            <w:noWrap/>
            <w:textDirection w:val="btLr"/>
            <w:vAlign w:val="center"/>
            <w:hideMark/>
          </w:tcPr>
          <w:p w14:paraId="43CE9B6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682D0713" w14:textId="1D8E0A8C"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5–17</w:t>
            </w:r>
          </w:p>
        </w:tc>
        <w:tc>
          <w:tcPr>
            <w:tcW w:w="768" w:type="dxa"/>
            <w:tcBorders>
              <w:top w:val="nil"/>
              <w:left w:val="nil"/>
              <w:bottom w:val="nil"/>
              <w:right w:val="nil"/>
            </w:tcBorders>
            <w:shd w:val="clear" w:color="auto" w:fill="auto"/>
            <w:noWrap/>
            <w:vAlign w:val="center"/>
            <w:hideMark/>
          </w:tcPr>
          <w:p w14:paraId="22754E6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12,882</w:t>
            </w:r>
          </w:p>
        </w:tc>
        <w:tc>
          <w:tcPr>
            <w:tcW w:w="768" w:type="dxa"/>
            <w:tcBorders>
              <w:top w:val="nil"/>
              <w:left w:val="nil"/>
              <w:bottom w:val="nil"/>
              <w:right w:val="nil"/>
            </w:tcBorders>
            <w:shd w:val="clear" w:color="auto" w:fill="auto"/>
            <w:noWrap/>
            <w:vAlign w:val="center"/>
            <w:hideMark/>
          </w:tcPr>
          <w:p w14:paraId="094C96FD" w14:textId="6D37555A"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5905</w:t>
            </w:r>
          </w:p>
        </w:tc>
        <w:tc>
          <w:tcPr>
            <w:tcW w:w="847" w:type="dxa"/>
            <w:tcBorders>
              <w:top w:val="nil"/>
              <w:left w:val="nil"/>
              <w:bottom w:val="nil"/>
              <w:right w:val="nil"/>
            </w:tcBorders>
            <w:shd w:val="clear" w:color="auto" w:fill="auto"/>
            <w:noWrap/>
            <w:vAlign w:val="center"/>
            <w:hideMark/>
          </w:tcPr>
          <w:p w14:paraId="5A4920C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20,030</w:t>
            </w:r>
          </w:p>
        </w:tc>
        <w:tc>
          <w:tcPr>
            <w:tcW w:w="847" w:type="dxa"/>
            <w:tcBorders>
              <w:top w:val="nil"/>
              <w:left w:val="nil"/>
              <w:bottom w:val="nil"/>
              <w:right w:val="nil"/>
            </w:tcBorders>
            <w:shd w:val="clear" w:color="auto" w:fill="auto"/>
            <w:noWrap/>
            <w:vAlign w:val="center"/>
            <w:hideMark/>
          </w:tcPr>
          <w:p w14:paraId="427B6D5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12,124</w:t>
            </w:r>
          </w:p>
        </w:tc>
        <w:tc>
          <w:tcPr>
            <w:tcW w:w="880" w:type="dxa"/>
            <w:tcBorders>
              <w:top w:val="nil"/>
              <w:left w:val="nil"/>
              <w:bottom w:val="nil"/>
              <w:right w:val="nil"/>
            </w:tcBorders>
            <w:shd w:val="clear" w:color="auto" w:fill="auto"/>
            <w:noWrap/>
            <w:vAlign w:val="center"/>
            <w:hideMark/>
          </w:tcPr>
          <w:p w14:paraId="141DECB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19,701</w:t>
            </w:r>
          </w:p>
        </w:tc>
        <w:tc>
          <w:tcPr>
            <w:tcW w:w="768" w:type="dxa"/>
            <w:tcBorders>
              <w:top w:val="nil"/>
              <w:left w:val="nil"/>
              <w:bottom w:val="nil"/>
              <w:right w:val="nil"/>
            </w:tcBorders>
            <w:shd w:val="clear" w:color="auto" w:fill="auto"/>
            <w:noWrap/>
            <w:vAlign w:val="center"/>
            <w:hideMark/>
          </w:tcPr>
          <w:p w14:paraId="5B0FAB2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13,581</w:t>
            </w:r>
          </w:p>
        </w:tc>
        <w:tc>
          <w:tcPr>
            <w:tcW w:w="847" w:type="dxa"/>
            <w:tcBorders>
              <w:top w:val="nil"/>
              <w:left w:val="nil"/>
              <w:bottom w:val="nil"/>
              <w:right w:val="nil"/>
            </w:tcBorders>
            <w:shd w:val="clear" w:color="auto" w:fill="auto"/>
            <w:noWrap/>
            <w:vAlign w:val="center"/>
            <w:hideMark/>
          </w:tcPr>
          <w:p w14:paraId="0325121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18,795</w:t>
            </w:r>
          </w:p>
        </w:tc>
        <w:tc>
          <w:tcPr>
            <w:tcW w:w="847" w:type="dxa"/>
            <w:tcBorders>
              <w:top w:val="nil"/>
              <w:left w:val="nil"/>
              <w:bottom w:val="nil"/>
              <w:right w:val="nil"/>
            </w:tcBorders>
            <w:shd w:val="clear" w:color="auto" w:fill="auto"/>
            <w:noWrap/>
            <w:vAlign w:val="center"/>
            <w:hideMark/>
          </w:tcPr>
          <w:p w14:paraId="4033D4E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23,973</w:t>
            </w:r>
          </w:p>
        </w:tc>
        <w:tc>
          <w:tcPr>
            <w:tcW w:w="847" w:type="dxa"/>
            <w:tcBorders>
              <w:top w:val="nil"/>
              <w:left w:val="nil"/>
              <w:bottom w:val="nil"/>
              <w:right w:val="nil"/>
            </w:tcBorders>
            <w:shd w:val="clear" w:color="auto" w:fill="auto"/>
            <w:noWrap/>
            <w:vAlign w:val="center"/>
            <w:hideMark/>
          </w:tcPr>
          <w:p w14:paraId="1F7C300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16,635</w:t>
            </w:r>
          </w:p>
        </w:tc>
        <w:tc>
          <w:tcPr>
            <w:tcW w:w="945" w:type="dxa"/>
            <w:tcBorders>
              <w:top w:val="nil"/>
              <w:left w:val="nil"/>
              <w:bottom w:val="nil"/>
            </w:tcBorders>
            <w:shd w:val="clear" w:color="auto" w:fill="auto"/>
            <w:noWrap/>
            <w:vAlign w:val="center"/>
            <w:hideMark/>
          </w:tcPr>
          <w:p w14:paraId="7A4BB2FD"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143,625</w:t>
            </w:r>
          </w:p>
        </w:tc>
      </w:tr>
      <w:tr w:rsidR="0015649E" w:rsidRPr="0084045A" w14:paraId="7E8BFF3D" w14:textId="77777777" w:rsidTr="00C3352F">
        <w:trPr>
          <w:trHeight w:val="212"/>
          <w:jc w:val="center"/>
        </w:trPr>
        <w:tc>
          <w:tcPr>
            <w:tcW w:w="728" w:type="dxa"/>
            <w:vMerge/>
            <w:shd w:val="clear" w:color="auto" w:fill="auto"/>
            <w:noWrap/>
            <w:textDirection w:val="btLr"/>
            <w:vAlign w:val="center"/>
            <w:hideMark/>
          </w:tcPr>
          <w:p w14:paraId="42D6FAD4"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C6175E0" w14:textId="6729D525"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18–49</w:t>
            </w:r>
          </w:p>
        </w:tc>
        <w:tc>
          <w:tcPr>
            <w:tcW w:w="768" w:type="dxa"/>
            <w:tcBorders>
              <w:top w:val="nil"/>
              <w:left w:val="nil"/>
              <w:bottom w:val="nil"/>
              <w:right w:val="nil"/>
            </w:tcBorders>
            <w:shd w:val="clear" w:color="auto" w:fill="auto"/>
            <w:noWrap/>
            <w:vAlign w:val="center"/>
            <w:hideMark/>
          </w:tcPr>
          <w:p w14:paraId="51F3EA9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17,972</w:t>
            </w:r>
          </w:p>
        </w:tc>
        <w:tc>
          <w:tcPr>
            <w:tcW w:w="768" w:type="dxa"/>
            <w:tcBorders>
              <w:top w:val="nil"/>
              <w:left w:val="nil"/>
              <w:bottom w:val="nil"/>
              <w:right w:val="nil"/>
            </w:tcBorders>
            <w:shd w:val="clear" w:color="auto" w:fill="auto"/>
            <w:noWrap/>
            <w:vAlign w:val="center"/>
            <w:hideMark/>
          </w:tcPr>
          <w:p w14:paraId="157A8E80" w14:textId="4AE2DACF"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8651</w:t>
            </w:r>
          </w:p>
        </w:tc>
        <w:tc>
          <w:tcPr>
            <w:tcW w:w="847" w:type="dxa"/>
            <w:tcBorders>
              <w:top w:val="nil"/>
              <w:left w:val="nil"/>
              <w:bottom w:val="nil"/>
              <w:right w:val="nil"/>
            </w:tcBorders>
            <w:shd w:val="clear" w:color="auto" w:fill="auto"/>
            <w:noWrap/>
            <w:vAlign w:val="center"/>
            <w:hideMark/>
          </w:tcPr>
          <w:p w14:paraId="19B9857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28,979</w:t>
            </w:r>
          </w:p>
        </w:tc>
        <w:tc>
          <w:tcPr>
            <w:tcW w:w="847" w:type="dxa"/>
            <w:tcBorders>
              <w:top w:val="nil"/>
              <w:left w:val="nil"/>
              <w:bottom w:val="nil"/>
              <w:right w:val="nil"/>
            </w:tcBorders>
            <w:shd w:val="clear" w:color="auto" w:fill="auto"/>
            <w:noWrap/>
            <w:vAlign w:val="center"/>
            <w:hideMark/>
          </w:tcPr>
          <w:p w14:paraId="7D41EC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33,946</w:t>
            </w:r>
          </w:p>
        </w:tc>
        <w:tc>
          <w:tcPr>
            <w:tcW w:w="880" w:type="dxa"/>
            <w:tcBorders>
              <w:top w:val="nil"/>
              <w:left w:val="nil"/>
              <w:bottom w:val="nil"/>
              <w:right w:val="nil"/>
            </w:tcBorders>
            <w:shd w:val="clear" w:color="auto" w:fill="auto"/>
            <w:noWrap/>
            <w:vAlign w:val="center"/>
            <w:hideMark/>
          </w:tcPr>
          <w:p w14:paraId="650FC67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22,838</w:t>
            </w:r>
          </w:p>
        </w:tc>
        <w:tc>
          <w:tcPr>
            <w:tcW w:w="768" w:type="dxa"/>
            <w:tcBorders>
              <w:top w:val="nil"/>
              <w:left w:val="nil"/>
              <w:bottom w:val="nil"/>
              <w:right w:val="nil"/>
            </w:tcBorders>
            <w:shd w:val="clear" w:color="auto" w:fill="auto"/>
            <w:noWrap/>
            <w:vAlign w:val="center"/>
            <w:hideMark/>
          </w:tcPr>
          <w:p w14:paraId="293E480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27,320</w:t>
            </w:r>
          </w:p>
        </w:tc>
        <w:tc>
          <w:tcPr>
            <w:tcW w:w="847" w:type="dxa"/>
            <w:tcBorders>
              <w:top w:val="nil"/>
              <w:left w:val="nil"/>
              <w:bottom w:val="nil"/>
              <w:right w:val="nil"/>
            </w:tcBorders>
            <w:shd w:val="clear" w:color="auto" w:fill="auto"/>
            <w:noWrap/>
            <w:vAlign w:val="center"/>
            <w:hideMark/>
          </w:tcPr>
          <w:p w14:paraId="555F261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23,543</w:t>
            </w:r>
          </w:p>
        </w:tc>
        <w:tc>
          <w:tcPr>
            <w:tcW w:w="847" w:type="dxa"/>
            <w:tcBorders>
              <w:top w:val="nil"/>
              <w:left w:val="nil"/>
              <w:bottom w:val="nil"/>
              <w:right w:val="nil"/>
            </w:tcBorders>
            <w:shd w:val="clear" w:color="auto" w:fill="auto"/>
            <w:noWrap/>
            <w:vAlign w:val="center"/>
            <w:hideMark/>
          </w:tcPr>
          <w:p w14:paraId="3E45148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40,423</w:t>
            </w:r>
          </w:p>
        </w:tc>
        <w:tc>
          <w:tcPr>
            <w:tcW w:w="847" w:type="dxa"/>
            <w:tcBorders>
              <w:top w:val="nil"/>
              <w:left w:val="nil"/>
              <w:bottom w:val="nil"/>
              <w:right w:val="nil"/>
            </w:tcBorders>
            <w:shd w:val="clear" w:color="auto" w:fill="auto"/>
            <w:noWrap/>
            <w:vAlign w:val="center"/>
            <w:hideMark/>
          </w:tcPr>
          <w:p w14:paraId="7B304BA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27,770</w:t>
            </w:r>
          </w:p>
        </w:tc>
        <w:tc>
          <w:tcPr>
            <w:tcW w:w="945" w:type="dxa"/>
            <w:tcBorders>
              <w:top w:val="nil"/>
              <w:left w:val="nil"/>
              <w:bottom w:val="nil"/>
            </w:tcBorders>
            <w:shd w:val="clear" w:color="auto" w:fill="auto"/>
            <w:noWrap/>
            <w:vAlign w:val="center"/>
            <w:hideMark/>
          </w:tcPr>
          <w:p w14:paraId="06D39872"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231,442</w:t>
            </w:r>
          </w:p>
        </w:tc>
      </w:tr>
      <w:tr w:rsidR="0015649E" w:rsidRPr="0084045A" w14:paraId="1A14B8D8" w14:textId="77777777" w:rsidTr="00C3352F">
        <w:trPr>
          <w:trHeight w:val="212"/>
          <w:jc w:val="center"/>
        </w:trPr>
        <w:tc>
          <w:tcPr>
            <w:tcW w:w="728" w:type="dxa"/>
            <w:vMerge/>
            <w:shd w:val="clear" w:color="auto" w:fill="auto"/>
            <w:noWrap/>
            <w:textDirection w:val="btLr"/>
            <w:vAlign w:val="center"/>
            <w:hideMark/>
          </w:tcPr>
          <w:p w14:paraId="5BCBBF5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2787A4C" w14:textId="6D5AB972"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50–64</w:t>
            </w:r>
          </w:p>
        </w:tc>
        <w:tc>
          <w:tcPr>
            <w:tcW w:w="768" w:type="dxa"/>
            <w:tcBorders>
              <w:top w:val="nil"/>
              <w:left w:val="nil"/>
              <w:bottom w:val="nil"/>
              <w:right w:val="nil"/>
            </w:tcBorders>
            <w:shd w:val="clear" w:color="auto" w:fill="auto"/>
            <w:noWrap/>
            <w:vAlign w:val="center"/>
            <w:hideMark/>
          </w:tcPr>
          <w:p w14:paraId="52F87B97" w14:textId="4C8932A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5454</w:t>
            </w:r>
          </w:p>
        </w:tc>
        <w:tc>
          <w:tcPr>
            <w:tcW w:w="768" w:type="dxa"/>
            <w:tcBorders>
              <w:top w:val="nil"/>
              <w:left w:val="nil"/>
              <w:bottom w:val="nil"/>
              <w:right w:val="nil"/>
            </w:tcBorders>
            <w:shd w:val="clear" w:color="auto" w:fill="auto"/>
            <w:noWrap/>
            <w:vAlign w:val="center"/>
            <w:hideMark/>
          </w:tcPr>
          <w:p w14:paraId="21AA42B9" w14:textId="46688A8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2221</w:t>
            </w:r>
          </w:p>
        </w:tc>
        <w:tc>
          <w:tcPr>
            <w:tcW w:w="847" w:type="dxa"/>
            <w:tcBorders>
              <w:top w:val="nil"/>
              <w:left w:val="nil"/>
              <w:bottom w:val="nil"/>
              <w:right w:val="nil"/>
            </w:tcBorders>
            <w:shd w:val="clear" w:color="auto" w:fill="auto"/>
            <w:noWrap/>
            <w:vAlign w:val="center"/>
            <w:hideMark/>
          </w:tcPr>
          <w:p w14:paraId="1BCE7825" w14:textId="33974BCA"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9449</w:t>
            </w:r>
          </w:p>
        </w:tc>
        <w:tc>
          <w:tcPr>
            <w:tcW w:w="847" w:type="dxa"/>
            <w:tcBorders>
              <w:top w:val="nil"/>
              <w:left w:val="nil"/>
              <w:bottom w:val="nil"/>
              <w:right w:val="nil"/>
            </w:tcBorders>
            <w:shd w:val="clear" w:color="auto" w:fill="auto"/>
            <w:noWrap/>
            <w:vAlign w:val="center"/>
            <w:hideMark/>
          </w:tcPr>
          <w:p w14:paraId="5AE3DB1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10,606</w:t>
            </w:r>
          </w:p>
        </w:tc>
        <w:tc>
          <w:tcPr>
            <w:tcW w:w="880" w:type="dxa"/>
            <w:tcBorders>
              <w:top w:val="nil"/>
              <w:left w:val="nil"/>
              <w:bottom w:val="nil"/>
              <w:right w:val="nil"/>
            </w:tcBorders>
            <w:shd w:val="clear" w:color="auto" w:fill="auto"/>
            <w:noWrap/>
            <w:vAlign w:val="center"/>
            <w:hideMark/>
          </w:tcPr>
          <w:p w14:paraId="7259BFCC" w14:textId="4E4349B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9445</w:t>
            </w:r>
          </w:p>
        </w:tc>
        <w:tc>
          <w:tcPr>
            <w:tcW w:w="768" w:type="dxa"/>
            <w:tcBorders>
              <w:top w:val="nil"/>
              <w:left w:val="nil"/>
              <w:bottom w:val="nil"/>
              <w:right w:val="nil"/>
            </w:tcBorders>
            <w:shd w:val="clear" w:color="auto" w:fill="auto"/>
            <w:noWrap/>
            <w:vAlign w:val="center"/>
            <w:hideMark/>
          </w:tcPr>
          <w:p w14:paraId="781FF442" w14:textId="066EE5D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9543</w:t>
            </w:r>
          </w:p>
        </w:tc>
        <w:tc>
          <w:tcPr>
            <w:tcW w:w="847" w:type="dxa"/>
            <w:tcBorders>
              <w:top w:val="nil"/>
              <w:left w:val="nil"/>
              <w:bottom w:val="nil"/>
              <w:right w:val="nil"/>
            </w:tcBorders>
            <w:shd w:val="clear" w:color="auto" w:fill="auto"/>
            <w:noWrap/>
            <w:vAlign w:val="center"/>
            <w:hideMark/>
          </w:tcPr>
          <w:p w14:paraId="7CEA919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12,208</w:t>
            </w:r>
          </w:p>
        </w:tc>
        <w:tc>
          <w:tcPr>
            <w:tcW w:w="847" w:type="dxa"/>
            <w:tcBorders>
              <w:top w:val="nil"/>
              <w:left w:val="nil"/>
              <w:bottom w:val="nil"/>
              <w:right w:val="nil"/>
            </w:tcBorders>
            <w:shd w:val="clear" w:color="auto" w:fill="auto"/>
            <w:noWrap/>
            <w:vAlign w:val="center"/>
            <w:hideMark/>
          </w:tcPr>
          <w:p w14:paraId="4DE14E2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23,038</w:t>
            </w:r>
          </w:p>
        </w:tc>
        <w:tc>
          <w:tcPr>
            <w:tcW w:w="847" w:type="dxa"/>
            <w:tcBorders>
              <w:top w:val="nil"/>
              <w:left w:val="nil"/>
              <w:bottom w:val="nil"/>
              <w:right w:val="nil"/>
            </w:tcBorders>
            <w:shd w:val="clear" w:color="auto" w:fill="auto"/>
            <w:noWrap/>
            <w:vAlign w:val="center"/>
            <w:hideMark/>
          </w:tcPr>
          <w:p w14:paraId="57806D2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12,146</w:t>
            </w:r>
          </w:p>
        </w:tc>
        <w:tc>
          <w:tcPr>
            <w:tcW w:w="945" w:type="dxa"/>
            <w:tcBorders>
              <w:top w:val="nil"/>
              <w:left w:val="nil"/>
              <w:bottom w:val="nil"/>
            </w:tcBorders>
            <w:shd w:val="clear" w:color="auto" w:fill="auto"/>
            <w:noWrap/>
            <w:vAlign w:val="center"/>
            <w:hideMark/>
          </w:tcPr>
          <w:p w14:paraId="74E897C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94,108</w:t>
            </w:r>
          </w:p>
        </w:tc>
      </w:tr>
      <w:tr w:rsidR="0015649E" w:rsidRPr="0084045A" w14:paraId="2189D74F" w14:textId="77777777" w:rsidTr="00C3352F">
        <w:trPr>
          <w:trHeight w:val="212"/>
          <w:jc w:val="center"/>
        </w:trPr>
        <w:tc>
          <w:tcPr>
            <w:tcW w:w="728" w:type="dxa"/>
            <w:vMerge/>
            <w:shd w:val="clear" w:color="auto" w:fill="auto"/>
            <w:noWrap/>
            <w:textDirection w:val="btLr"/>
            <w:vAlign w:val="center"/>
            <w:hideMark/>
          </w:tcPr>
          <w:p w14:paraId="2803E57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38864259" w14:textId="67734695" w:rsidR="0015649E" w:rsidRPr="0084045A" w:rsidRDefault="00F8418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w:t>
            </w:r>
            <w:r w:rsidR="0015649E"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11AC1472" w14:textId="4C67C32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1297</w:t>
            </w:r>
          </w:p>
        </w:tc>
        <w:tc>
          <w:tcPr>
            <w:tcW w:w="768" w:type="dxa"/>
            <w:tcBorders>
              <w:top w:val="nil"/>
              <w:left w:val="nil"/>
              <w:bottom w:val="single" w:sz="4" w:space="0" w:color="auto"/>
              <w:right w:val="nil"/>
            </w:tcBorders>
            <w:shd w:val="clear" w:color="auto" w:fill="auto"/>
            <w:noWrap/>
            <w:vAlign w:val="center"/>
            <w:hideMark/>
          </w:tcPr>
          <w:p w14:paraId="1199112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712</w:t>
            </w:r>
          </w:p>
        </w:tc>
        <w:tc>
          <w:tcPr>
            <w:tcW w:w="847" w:type="dxa"/>
            <w:tcBorders>
              <w:top w:val="nil"/>
              <w:left w:val="nil"/>
              <w:bottom w:val="single" w:sz="4" w:space="0" w:color="auto"/>
              <w:right w:val="nil"/>
            </w:tcBorders>
            <w:shd w:val="clear" w:color="auto" w:fill="auto"/>
            <w:noWrap/>
            <w:vAlign w:val="center"/>
            <w:hideMark/>
          </w:tcPr>
          <w:p w14:paraId="38343121" w14:textId="43B6A72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3148</w:t>
            </w:r>
          </w:p>
        </w:tc>
        <w:tc>
          <w:tcPr>
            <w:tcW w:w="847" w:type="dxa"/>
            <w:tcBorders>
              <w:top w:val="nil"/>
              <w:left w:val="nil"/>
              <w:bottom w:val="single" w:sz="4" w:space="0" w:color="auto"/>
              <w:right w:val="nil"/>
            </w:tcBorders>
            <w:shd w:val="clear" w:color="auto" w:fill="auto"/>
            <w:noWrap/>
            <w:vAlign w:val="center"/>
            <w:hideMark/>
          </w:tcPr>
          <w:p w14:paraId="454D93A8" w14:textId="51366F6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1315</w:t>
            </w:r>
          </w:p>
        </w:tc>
        <w:tc>
          <w:tcPr>
            <w:tcW w:w="880" w:type="dxa"/>
            <w:tcBorders>
              <w:top w:val="nil"/>
              <w:left w:val="nil"/>
              <w:bottom w:val="single" w:sz="4" w:space="0" w:color="auto"/>
              <w:right w:val="nil"/>
            </w:tcBorders>
            <w:shd w:val="clear" w:color="auto" w:fill="auto"/>
            <w:noWrap/>
            <w:vAlign w:val="center"/>
            <w:hideMark/>
          </w:tcPr>
          <w:p w14:paraId="4C26779C" w14:textId="305CE17E"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3699</w:t>
            </w:r>
          </w:p>
        </w:tc>
        <w:tc>
          <w:tcPr>
            <w:tcW w:w="768" w:type="dxa"/>
            <w:tcBorders>
              <w:top w:val="nil"/>
              <w:left w:val="nil"/>
              <w:bottom w:val="single" w:sz="4" w:space="0" w:color="auto"/>
              <w:right w:val="nil"/>
            </w:tcBorders>
            <w:shd w:val="clear" w:color="auto" w:fill="auto"/>
            <w:noWrap/>
            <w:vAlign w:val="center"/>
            <w:hideMark/>
          </w:tcPr>
          <w:p w14:paraId="7AC784DE" w14:textId="76436A2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1340</w:t>
            </w:r>
          </w:p>
        </w:tc>
        <w:tc>
          <w:tcPr>
            <w:tcW w:w="847" w:type="dxa"/>
            <w:tcBorders>
              <w:top w:val="nil"/>
              <w:left w:val="nil"/>
              <w:bottom w:val="single" w:sz="4" w:space="0" w:color="auto"/>
              <w:right w:val="nil"/>
            </w:tcBorders>
            <w:shd w:val="clear" w:color="auto" w:fill="auto"/>
            <w:noWrap/>
            <w:vAlign w:val="center"/>
            <w:hideMark/>
          </w:tcPr>
          <w:p w14:paraId="534139C0" w14:textId="134C29AC"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3673</w:t>
            </w:r>
          </w:p>
        </w:tc>
        <w:tc>
          <w:tcPr>
            <w:tcW w:w="847" w:type="dxa"/>
            <w:tcBorders>
              <w:top w:val="nil"/>
              <w:left w:val="nil"/>
              <w:bottom w:val="single" w:sz="4" w:space="0" w:color="auto"/>
              <w:right w:val="nil"/>
            </w:tcBorders>
            <w:shd w:val="clear" w:color="auto" w:fill="auto"/>
            <w:noWrap/>
            <w:vAlign w:val="center"/>
            <w:hideMark/>
          </w:tcPr>
          <w:p w14:paraId="08515365" w14:textId="6BE7545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6167</w:t>
            </w:r>
          </w:p>
        </w:tc>
        <w:tc>
          <w:tcPr>
            <w:tcW w:w="847" w:type="dxa"/>
            <w:tcBorders>
              <w:top w:val="nil"/>
              <w:left w:val="nil"/>
              <w:bottom w:val="single" w:sz="4" w:space="0" w:color="auto"/>
              <w:right w:val="nil"/>
            </w:tcBorders>
            <w:shd w:val="clear" w:color="auto" w:fill="auto"/>
            <w:noWrap/>
            <w:vAlign w:val="center"/>
            <w:hideMark/>
          </w:tcPr>
          <w:p w14:paraId="32F8F899" w14:textId="249AA76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3241</w:t>
            </w:r>
          </w:p>
        </w:tc>
        <w:tc>
          <w:tcPr>
            <w:tcW w:w="945" w:type="dxa"/>
            <w:tcBorders>
              <w:top w:val="nil"/>
              <w:left w:val="nil"/>
              <w:bottom w:val="single" w:sz="4" w:space="0" w:color="auto"/>
            </w:tcBorders>
            <w:shd w:val="clear" w:color="auto" w:fill="auto"/>
            <w:noWrap/>
            <w:vAlign w:val="center"/>
            <w:hideMark/>
          </w:tcPr>
          <w:p w14:paraId="1465D42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24,593</w:t>
            </w:r>
          </w:p>
        </w:tc>
      </w:tr>
      <w:tr w:rsidR="0015649E" w:rsidRPr="0084045A" w14:paraId="02DC161D" w14:textId="77777777" w:rsidTr="00C3352F">
        <w:trPr>
          <w:trHeight w:val="212"/>
          <w:jc w:val="center"/>
        </w:trPr>
        <w:tc>
          <w:tcPr>
            <w:tcW w:w="728" w:type="dxa"/>
            <w:vMerge w:val="restart"/>
            <w:shd w:val="clear" w:color="auto" w:fill="auto"/>
            <w:noWrap/>
            <w:textDirection w:val="btLr"/>
            <w:vAlign w:val="center"/>
            <w:hideMark/>
          </w:tcPr>
          <w:p w14:paraId="4015A912"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Campeche</w:t>
            </w:r>
          </w:p>
        </w:tc>
        <w:tc>
          <w:tcPr>
            <w:tcW w:w="753" w:type="dxa"/>
            <w:tcBorders>
              <w:bottom w:val="nil"/>
              <w:right w:val="nil"/>
            </w:tcBorders>
            <w:vAlign w:val="center"/>
          </w:tcPr>
          <w:p w14:paraId="1A03FA4C" w14:textId="259A15C5"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0–4</w:t>
            </w:r>
          </w:p>
        </w:tc>
        <w:tc>
          <w:tcPr>
            <w:tcW w:w="768" w:type="dxa"/>
            <w:tcBorders>
              <w:left w:val="nil"/>
              <w:bottom w:val="nil"/>
              <w:right w:val="nil"/>
            </w:tcBorders>
            <w:shd w:val="clear" w:color="auto" w:fill="auto"/>
            <w:noWrap/>
            <w:vAlign w:val="center"/>
            <w:hideMark/>
          </w:tcPr>
          <w:p w14:paraId="25A5F88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11,306</w:t>
            </w:r>
          </w:p>
        </w:tc>
        <w:tc>
          <w:tcPr>
            <w:tcW w:w="768" w:type="dxa"/>
            <w:tcBorders>
              <w:left w:val="nil"/>
              <w:bottom w:val="nil"/>
              <w:right w:val="nil"/>
            </w:tcBorders>
            <w:shd w:val="clear" w:color="auto" w:fill="auto"/>
            <w:noWrap/>
            <w:vAlign w:val="center"/>
            <w:hideMark/>
          </w:tcPr>
          <w:p w14:paraId="6B3BE805" w14:textId="5C14FD8C"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3926</w:t>
            </w:r>
          </w:p>
        </w:tc>
        <w:tc>
          <w:tcPr>
            <w:tcW w:w="847" w:type="dxa"/>
            <w:tcBorders>
              <w:left w:val="nil"/>
              <w:bottom w:val="nil"/>
              <w:right w:val="nil"/>
            </w:tcBorders>
            <w:shd w:val="clear" w:color="auto" w:fill="auto"/>
            <w:noWrap/>
            <w:vAlign w:val="center"/>
            <w:hideMark/>
          </w:tcPr>
          <w:p w14:paraId="744102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15,111</w:t>
            </w:r>
          </w:p>
        </w:tc>
        <w:tc>
          <w:tcPr>
            <w:tcW w:w="847" w:type="dxa"/>
            <w:tcBorders>
              <w:left w:val="nil"/>
              <w:bottom w:val="nil"/>
              <w:right w:val="nil"/>
            </w:tcBorders>
            <w:shd w:val="clear" w:color="auto" w:fill="auto"/>
            <w:noWrap/>
            <w:vAlign w:val="center"/>
            <w:hideMark/>
          </w:tcPr>
          <w:p w14:paraId="7D0E82D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10,938</w:t>
            </w:r>
          </w:p>
        </w:tc>
        <w:tc>
          <w:tcPr>
            <w:tcW w:w="880" w:type="dxa"/>
            <w:tcBorders>
              <w:left w:val="nil"/>
              <w:bottom w:val="nil"/>
              <w:right w:val="nil"/>
            </w:tcBorders>
            <w:shd w:val="clear" w:color="auto" w:fill="auto"/>
            <w:noWrap/>
            <w:vAlign w:val="center"/>
            <w:hideMark/>
          </w:tcPr>
          <w:p w14:paraId="30BFA19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14,078</w:t>
            </w:r>
          </w:p>
        </w:tc>
        <w:tc>
          <w:tcPr>
            <w:tcW w:w="768" w:type="dxa"/>
            <w:tcBorders>
              <w:left w:val="nil"/>
              <w:bottom w:val="nil"/>
              <w:right w:val="nil"/>
            </w:tcBorders>
            <w:shd w:val="clear" w:color="auto" w:fill="auto"/>
            <w:noWrap/>
            <w:vAlign w:val="center"/>
            <w:hideMark/>
          </w:tcPr>
          <w:p w14:paraId="42A806E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10,165</w:t>
            </w:r>
          </w:p>
        </w:tc>
        <w:tc>
          <w:tcPr>
            <w:tcW w:w="847" w:type="dxa"/>
            <w:tcBorders>
              <w:left w:val="nil"/>
              <w:bottom w:val="nil"/>
              <w:right w:val="nil"/>
            </w:tcBorders>
            <w:shd w:val="clear" w:color="auto" w:fill="auto"/>
            <w:noWrap/>
            <w:vAlign w:val="center"/>
            <w:hideMark/>
          </w:tcPr>
          <w:p w14:paraId="431EE52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10,231</w:t>
            </w:r>
          </w:p>
        </w:tc>
        <w:tc>
          <w:tcPr>
            <w:tcW w:w="847" w:type="dxa"/>
            <w:tcBorders>
              <w:left w:val="nil"/>
              <w:bottom w:val="nil"/>
              <w:right w:val="nil"/>
            </w:tcBorders>
            <w:shd w:val="clear" w:color="auto" w:fill="auto"/>
            <w:noWrap/>
            <w:vAlign w:val="center"/>
            <w:hideMark/>
          </w:tcPr>
          <w:p w14:paraId="134ACDD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17,894</w:t>
            </w:r>
          </w:p>
        </w:tc>
        <w:tc>
          <w:tcPr>
            <w:tcW w:w="847" w:type="dxa"/>
            <w:tcBorders>
              <w:left w:val="nil"/>
              <w:bottom w:val="nil"/>
              <w:right w:val="nil"/>
            </w:tcBorders>
            <w:shd w:val="clear" w:color="auto" w:fill="auto"/>
            <w:noWrap/>
            <w:vAlign w:val="center"/>
            <w:hideMark/>
          </w:tcPr>
          <w:p w14:paraId="37C7401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12,127</w:t>
            </w:r>
          </w:p>
        </w:tc>
        <w:tc>
          <w:tcPr>
            <w:tcW w:w="945" w:type="dxa"/>
            <w:tcBorders>
              <w:left w:val="nil"/>
              <w:bottom w:val="nil"/>
            </w:tcBorders>
            <w:shd w:val="clear" w:color="auto" w:fill="auto"/>
            <w:noWrap/>
            <w:vAlign w:val="center"/>
            <w:hideMark/>
          </w:tcPr>
          <w:p w14:paraId="71F298C8"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105,775</w:t>
            </w:r>
          </w:p>
        </w:tc>
      </w:tr>
      <w:tr w:rsidR="0015649E" w:rsidRPr="0084045A" w14:paraId="3DC5D3C0" w14:textId="77777777" w:rsidTr="00C3352F">
        <w:trPr>
          <w:trHeight w:val="212"/>
          <w:jc w:val="center"/>
        </w:trPr>
        <w:tc>
          <w:tcPr>
            <w:tcW w:w="728" w:type="dxa"/>
            <w:vMerge/>
            <w:shd w:val="clear" w:color="auto" w:fill="auto"/>
            <w:noWrap/>
            <w:textDirection w:val="btLr"/>
            <w:vAlign w:val="center"/>
            <w:hideMark/>
          </w:tcPr>
          <w:p w14:paraId="504907E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CC16A63" w14:textId="3330C8D2"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5–17</w:t>
            </w:r>
          </w:p>
        </w:tc>
        <w:tc>
          <w:tcPr>
            <w:tcW w:w="768" w:type="dxa"/>
            <w:tcBorders>
              <w:top w:val="nil"/>
              <w:left w:val="nil"/>
              <w:bottom w:val="nil"/>
              <w:right w:val="nil"/>
            </w:tcBorders>
            <w:shd w:val="clear" w:color="auto" w:fill="auto"/>
            <w:noWrap/>
            <w:vAlign w:val="center"/>
            <w:hideMark/>
          </w:tcPr>
          <w:p w14:paraId="431B224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17,576</w:t>
            </w:r>
          </w:p>
        </w:tc>
        <w:tc>
          <w:tcPr>
            <w:tcW w:w="768" w:type="dxa"/>
            <w:tcBorders>
              <w:top w:val="nil"/>
              <w:left w:val="nil"/>
              <w:bottom w:val="nil"/>
              <w:right w:val="nil"/>
            </w:tcBorders>
            <w:shd w:val="clear" w:color="auto" w:fill="auto"/>
            <w:noWrap/>
            <w:vAlign w:val="center"/>
            <w:hideMark/>
          </w:tcPr>
          <w:p w14:paraId="02FF7848" w14:textId="2C4FC99D"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7980</w:t>
            </w:r>
          </w:p>
        </w:tc>
        <w:tc>
          <w:tcPr>
            <w:tcW w:w="847" w:type="dxa"/>
            <w:tcBorders>
              <w:top w:val="nil"/>
              <w:left w:val="nil"/>
              <w:bottom w:val="nil"/>
              <w:right w:val="nil"/>
            </w:tcBorders>
            <w:shd w:val="clear" w:color="auto" w:fill="auto"/>
            <w:noWrap/>
            <w:vAlign w:val="center"/>
            <w:hideMark/>
          </w:tcPr>
          <w:p w14:paraId="1DB61E4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26,809</w:t>
            </w:r>
          </w:p>
        </w:tc>
        <w:tc>
          <w:tcPr>
            <w:tcW w:w="847" w:type="dxa"/>
            <w:tcBorders>
              <w:top w:val="nil"/>
              <w:left w:val="nil"/>
              <w:bottom w:val="nil"/>
              <w:right w:val="nil"/>
            </w:tcBorders>
            <w:shd w:val="clear" w:color="auto" w:fill="auto"/>
            <w:noWrap/>
            <w:vAlign w:val="center"/>
            <w:hideMark/>
          </w:tcPr>
          <w:p w14:paraId="6EB34AA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16,077</w:t>
            </w:r>
          </w:p>
        </w:tc>
        <w:tc>
          <w:tcPr>
            <w:tcW w:w="880" w:type="dxa"/>
            <w:tcBorders>
              <w:top w:val="nil"/>
              <w:left w:val="nil"/>
              <w:bottom w:val="nil"/>
              <w:right w:val="nil"/>
            </w:tcBorders>
            <w:shd w:val="clear" w:color="auto" w:fill="auto"/>
            <w:noWrap/>
            <w:vAlign w:val="center"/>
            <w:hideMark/>
          </w:tcPr>
          <w:p w14:paraId="6F43CB7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25,888</w:t>
            </w:r>
          </w:p>
        </w:tc>
        <w:tc>
          <w:tcPr>
            <w:tcW w:w="768" w:type="dxa"/>
            <w:tcBorders>
              <w:top w:val="nil"/>
              <w:left w:val="nil"/>
              <w:bottom w:val="nil"/>
              <w:right w:val="nil"/>
            </w:tcBorders>
            <w:shd w:val="clear" w:color="auto" w:fill="auto"/>
            <w:noWrap/>
            <w:vAlign w:val="center"/>
            <w:hideMark/>
          </w:tcPr>
          <w:p w14:paraId="16E2B77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17,686</w:t>
            </w:r>
          </w:p>
        </w:tc>
        <w:tc>
          <w:tcPr>
            <w:tcW w:w="847" w:type="dxa"/>
            <w:tcBorders>
              <w:top w:val="nil"/>
              <w:left w:val="nil"/>
              <w:bottom w:val="nil"/>
              <w:right w:val="nil"/>
            </w:tcBorders>
            <w:shd w:val="clear" w:color="auto" w:fill="auto"/>
            <w:noWrap/>
            <w:vAlign w:val="center"/>
            <w:hideMark/>
          </w:tcPr>
          <w:p w14:paraId="12A4C1C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24,384</w:t>
            </w:r>
          </w:p>
        </w:tc>
        <w:tc>
          <w:tcPr>
            <w:tcW w:w="847" w:type="dxa"/>
            <w:tcBorders>
              <w:top w:val="nil"/>
              <w:left w:val="nil"/>
              <w:bottom w:val="nil"/>
              <w:right w:val="nil"/>
            </w:tcBorders>
            <w:shd w:val="clear" w:color="auto" w:fill="auto"/>
            <w:noWrap/>
            <w:vAlign w:val="center"/>
            <w:hideMark/>
          </w:tcPr>
          <w:p w14:paraId="55AA7A3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31,010</w:t>
            </w:r>
          </w:p>
        </w:tc>
        <w:tc>
          <w:tcPr>
            <w:tcW w:w="847" w:type="dxa"/>
            <w:tcBorders>
              <w:top w:val="nil"/>
              <w:left w:val="nil"/>
              <w:bottom w:val="nil"/>
              <w:right w:val="nil"/>
            </w:tcBorders>
            <w:shd w:val="clear" w:color="auto" w:fill="auto"/>
            <w:noWrap/>
            <w:vAlign w:val="center"/>
            <w:hideMark/>
          </w:tcPr>
          <w:p w14:paraId="0820173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21,475</w:t>
            </w:r>
          </w:p>
        </w:tc>
        <w:tc>
          <w:tcPr>
            <w:tcW w:w="945" w:type="dxa"/>
            <w:tcBorders>
              <w:top w:val="nil"/>
              <w:left w:val="nil"/>
              <w:bottom w:val="nil"/>
            </w:tcBorders>
            <w:shd w:val="clear" w:color="auto" w:fill="auto"/>
            <w:noWrap/>
            <w:vAlign w:val="center"/>
            <w:hideMark/>
          </w:tcPr>
          <w:p w14:paraId="522703B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188,886</w:t>
            </w:r>
          </w:p>
        </w:tc>
      </w:tr>
      <w:tr w:rsidR="0015649E" w:rsidRPr="0084045A" w14:paraId="3B859A4A" w14:textId="77777777" w:rsidTr="00C3352F">
        <w:trPr>
          <w:trHeight w:val="212"/>
          <w:jc w:val="center"/>
        </w:trPr>
        <w:tc>
          <w:tcPr>
            <w:tcW w:w="728" w:type="dxa"/>
            <w:vMerge/>
            <w:shd w:val="clear" w:color="auto" w:fill="auto"/>
            <w:noWrap/>
            <w:textDirection w:val="btLr"/>
            <w:vAlign w:val="center"/>
            <w:hideMark/>
          </w:tcPr>
          <w:p w14:paraId="695951E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2A7ED00" w14:textId="7997A951"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18–49</w:t>
            </w:r>
          </w:p>
        </w:tc>
        <w:tc>
          <w:tcPr>
            <w:tcW w:w="768" w:type="dxa"/>
            <w:tcBorders>
              <w:top w:val="nil"/>
              <w:left w:val="nil"/>
              <w:bottom w:val="nil"/>
              <w:right w:val="nil"/>
            </w:tcBorders>
            <w:shd w:val="clear" w:color="auto" w:fill="auto"/>
            <w:noWrap/>
            <w:vAlign w:val="center"/>
            <w:hideMark/>
          </w:tcPr>
          <w:p w14:paraId="1F3BE9E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22,356</w:t>
            </w:r>
          </w:p>
        </w:tc>
        <w:tc>
          <w:tcPr>
            <w:tcW w:w="768" w:type="dxa"/>
            <w:tcBorders>
              <w:top w:val="nil"/>
              <w:left w:val="nil"/>
              <w:bottom w:val="nil"/>
              <w:right w:val="nil"/>
            </w:tcBorders>
            <w:shd w:val="clear" w:color="auto" w:fill="auto"/>
            <w:noWrap/>
            <w:vAlign w:val="center"/>
            <w:hideMark/>
          </w:tcPr>
          <w:p w14:paraId="5889E32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10,730</w:t>
            </w:r>
          </w:p>
        </w:tc>
        <w:tc>
          <w:tcPr>
            <w:tcW w:w="847" w:type="dxa"/>
            <w:tcBorders>
              <w:top w:val="nil"/>
              <w:left w:val="nil"/>
              <w:bottom w:val="nil"/>
              <w:right w:val="nil"/>
            </w:tcBorders>
            <w:shd w:val="clear" w:color="auto" w:fill="auto"/>
            <w:noWrap/>
            <w:vAlign w:val="center"/>
            <w:hideMark/>
          </w:tcPr>
          <w:p w14:paraId="3CDCB9B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35,832</w:t>
            </w:r>
          </w:p>
        </w:tc>
        <w:tc>
          <w:tcPr>
            <w:tcW w:w="847" w:type="dxa"/>
            <w:tcBorders>
              <w:top w:val="nil"/>
              <w:left w:val="nil"/>
              <w:bottom w:val="nil"/>
              <w:right w:val="nil"/>
            </w:tcBorders>
            <w:shd w:val="clear" w:color="auto" w:fill="auto"/>
            <w:noWrap/>
            <w:vAlign w:val="center"/>
            <w:hideMark/>
          </w:tcPr>
          <w:p w14:paraId="7ACCA9A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41,848</w:t>
            </w:r>
          </w:p>
        </w:tc>
        <w:tc>
          <w:tcPr>
            <w:tcW w:w="880" w:type="dxa"/>
            <w:tcBorders>
              <w:top w:val="nil"/>
              <w:left w:val="nil"/>
              <w:bottom w:val="nil"/>
              <w:right w:val="nil"/>
            </w:tcBorders>
            <w:shd w:val="clear" w:color="auto" w:fill="auto"/>
            <w:noWrap/>
            <w:vAlign w:val="center"/>
            <w:hideMark/>
          </w:tcPr>
          <w:p w14:paraId="1895F45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28,070</w:t>
            </w:r>
          </w:p>
        </w:tc>
        <w:tc>
          <w:tcPr>
            <w:tcW w:w="768" w:type="dxa"/>
            <w:tcBorders>
              <w:top w:val="nil"/>
              <w:left w:val="nil"/>
              <w:bottom w:val="nil"/>
              <w:right w:val="nil"/>
            </w:tcBorders>
            <w:shd w:val="clear" w:color="auto" w:fill="auto"/>
            <w:noWrap/>
            <w:vAlign w:val="center"/>
            <w:hideMark/>
          </w:tcPr>
          <w:p w14:paraId="4BCA902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33,480</w:t>
            </w:r>
          </w:p>
        </w:tc>
        <w:tc>
          <w:tcPr>
            <w:tcW w:w="847" w:type="dxa"/>
            <w:tcBorders>
              <w:top w:val="nil"/>
              <w:left w:val="nil"/>
              <w:bottom w:val="nil"/>
              <w:right w:val="nil"/>
            </w:tcBorders>
            <w:shd w:val="clear" w:color="auto" w:fill="auto"/>
            <w:noWrap/>
            <w:vAlign w:val="center"/>
            <w:hideMark/>
          </w:tcPr>
          <w:p w14:paraId="350A1CD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28,763</w:t>
            </w:r>
          </w:p>
        </w:tc>
        <w:tc>
          <w:tcPr>
            <w:tcW w:w="847" w:type="dxa"/>
            <w:tcBorders>
              <w:top w:val="nil"/>
              <w:left w:val="nil"/>
              <w:bottom w:val="nil"/>
              <w:right w:val="nil"/>
            </w:tcBorders>
            <w:shd w:val="clear" w:color="auto" w:fill="auto"/>
            <w:noWrap/>
            <w:vAlign w:val="center"/>
            <w:hideMark/>
          </w:tcPr>
          <w:p w14:paraId="6002103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49,244</w:t>
            </w:r>
          </w:p>
        </w:tc>
        <w:tc>
          <w:tcPr>
            <w:tcW w:w="847" w:type="dxa"/>
            <w:tcBorders>
              <w:top w:val="nil"/>
              <w:left w:val="nil"/>
              <w:bottom w:val="nil"/>
              <w:right w:val="nil"/>
            </w:tcBorders>
            <w:shd w:val="clear" w:color="auto" w:fill="auto"/>
            <w:noWrap/>
            <w:vAlign w:val="center"/>
            <w:hideMark/>
          </w:tcPr>
          <w:p w14:paraId="4A3413B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33,741</w:t>
            </w:r>
          </w:p>
        </w:tc>
        <w:tc>
          <w:tcPr>
            <w:tcW w:w="945" w:type="dxa"/>
            <w:tcBorders>
              <w:top w:val="nil"/>
              <w:left w:val="nil"/>
              <w:bottom w:val="nil"/>
            </w:tcBorders>
            <w:shd w:val="clear" w:color="auto" w:fill="auto"/>
            <w:noWrap/>
            <w:vAlign w:val="center"/>
            <w:hideMark/>
          </w:tcPr>
          <w:p w14:paraId="4AE4831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284,064</w:t>
            </w:r>
          </w:p>
        </w:tc>
      </w:tr>
      <w:tr w:rsidR="0015649E" w:rsidRPr="0084045A" w14:paraId="04D238B8" w14:textId="77777777" w:rsidTr="00C3352F">
        <w:trPr>
          <w:trHeight w:val="212"/>
          <w:jc w:val="center"/>
        </w:trPr>
        <w:tc>
          <w:tcPr>
            <w:tcW w:w="728" w:type="dxa"/>
            <w:vMerge/>
            <w:shd w:val="clear" w:color="auto" w:fill="auto"/>
            <w:noWrap/>
            <w:textDirection w:val="btLr"/>
            <w:vAlign w:val="center"/>
            <w:hideMark/>
          </w:tcPr>
          <w:p w14:paraId="0F7CE4A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55D6184" w14:textId="31634780"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50–64</w:t>
            </w:r>
          </w:p>
        </w:tc>
        <w:tc>
          <w:tcPr>
            <w:tcW w:w="768" w:type="dxa"/>
            <w:tcBorders>
              <w:top w:val="nil"/>
              <w:left w:val="nil"/>
              <w:bottom w:val="nil"/>
              <w:right w:val="nil"/>
            </w:tcBorders>
            <w:shd w:val="clear" w:color="auto" w:fill="auto"/>
            <w:noWrap/>
            <w:vAlign w:val="center"/>
            <w:hideMark/>
          </w:tcPr>
          <w:p w14:paraId="2A72E649" w14:textId="0BF6592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7316</w:t>
            </w:r>
          </w:p>
        </w:tc>
        <w:tc>
          <w:tcPr>
            <w:tcW w:w="768" w:type="dxa"/>
            <w:tcBorders>
              <w:top w:val="nil"/>
              <w:left w:val="nil"/>
              <w:bottom w:val="nil"/>
              <w:right w:val="nil"/>
            </w:tcBorders>
            <w:shd w:val="clear" w:color="auto" w:fill="auto"/>
            <w:noWrap/>
            <w:vAlign w:val="center"/>
            <w:hideMark/>
          </w:tcPr>
          <w:p w14:paraId="14F9567D" w14:textId="04C66A0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2944</w:t>
            </w:r>
          </w:p>
        </w:tc>
        <w:tc>
          <w:tcPr>
            <w:tcW w:w="847" w:type="dxa"/>
            <w:tcBorders>
              <w:top w:val="nil"/>
              <w:left w:val="nil"/>
              <w:bottom w:val="nil"/>
              <w:right w:val="nil"/>
            </w:tcBorders>
            <w:shd w:val="clear" w:color="auto" w:fill="auto"/>
            <w:noWrap/>
            <w:vAlign w:val="center"/>
            <w:hideMark/>
          </w:tcPr>
          <w:p w14:paraId="3C77B65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12,375</w:t>
            </w:r>
          </w:p>
        </w:tc>
        <w:tc>
          <w:tcPr>
            <w:tcW w:w="847" w:type="dxa"/>
            <w:tcBorders>
              <w:top w:val="nil"/>
              <w:left w:val="nil"/>
              <w:bottom w:val="nil"/>
              <w:right w:val="nil"/>
            </w:tcBorders>
            <w:shd w:val="clear" w:color="auto" w:fill="auto"/>
            <w:noWrap/>
            <w:vAlign w:val="center"/>
            <w:hideMark/>
          </w:tcPr>
          <w:p w14:paraId="579A81D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13,732</w:t>
            </w:r>
          </w:p>
        </w:tc>
        <w:tc>
          <w:tcPr>
            <w:tcW w:w="880" w:type="dxa"/>
            <w:tcBorders>
              <w:top w:val="nil"/>
              <w:left w:val="nil"/>
              <w:bottom w:val="nil"/>
              <w:right w:val="nil"/>
            </w:tcBorders>
            <w:shd w:val="clear" w:color="auto" w:fill="auto"/>
            <w:noWrap/>
            <w:vAlign w:val="center"/>
            <w:hideMark/>
          </w:tcPr>
          <w:p w14:paraId="5D74005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12,091</w:t>
            </w:r>
          </w:p>
        </w:tc>
        <w:tc>
          <w:tcPr>
            <w:tcW w:w="768" w:type="dxa"/>
            <w:tcBorders>
              <w:top w:val="nil"/>
              <w:left w:val="nil"/>
              <w:bottom w:val="nil"/>
              <w:right w:val="nil"/>
            </w:tcBorders>
            <w:shd w:val="clear" w:color="auto" w:fill="auto"/>
            <w:noWrap/>
            <w:vAlign w:val="center"/>
            <w:hideMark/>
          </w:tcPr>
          <w:p w14:paraId="463D6D9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12,082</w:t>
            </w:r>
          </w:p>
        </w:tc>
        <w:tc>
          <w:tcPr>
            <w:tcW w:w="847" w:type="dxa"/>
            <w:tcBorders>
              <w:top w:val="nil"/>
              <w:left w:val="nil"/>
              <w:bottom w:val="nil"/>
              <w:right w:val="nil"/>
            </w:tcBorders>
            <w:shd w:val="clear" w:color="auto" w:fill="auto"/>
            <w:noWrap/>
            <w:vAlign w:val="center"/>
            <w:hideMark/>
          </w:tcPr>
          <w:p w14:paraId="3DA1C98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15,273</w:t>
            </w:r>
          </w:p>
        </w:tc>
        <w:tc>
          <w:tcPr>
            <w:tcW w:w="847" w:type="dxa"/>
            <w:tcBorders>
              <w:top w:val="nil"/>
              <w:left w:val="nil"/>
              <w:bottom w:val="nil"/>
              <w:right w:val="nil"/>
            </w:tcBorders>
            <w:shd w:val="clear" w:color="auto" w:fill="auto"/>
            <w:noWrap/>
            <w:vAlign w:val="center"/>
            <w:hideMark/>
          </w:tcPr>
          <w:p w14:paraId="02BCA55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28,491</w:t>
            </w:r>
          </w:p>
        </w:tc>
        <w:tc>
          <w:tcPr>
            <w:tcW w:w="847" w:type="dxa"/>
            <w:tcBorders>
              <w:top w:val="nil"/>
              <w:left w:val="nil"/>
              <w:bottom w:val="nil"/>
              <w:right w:val="nil"/>
            </w:tcBorders>
            <w:shd w:val="clear" w:color="auto" w:fill="auto"/>
            <w:noWrap/>
            <w:vAlign w:val="center"/>
            <w:hideMark/>
          </w:tcPr>
          <w:p w14:paraId="1A20EDE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14,853</w:t>
            </w:r>
          </w:p>
        </w:tc>
        <w:tc>
          <w:tcPr>
            <w:tcW w:w="945" w:type="dxa"/>
            <w:tcBorders>
              <w:top w:val="nil"/>
              <w:left w:val="nil"/>
              <w:bottom w:val="nil"/>
            </w:tcBorders>
            <w:shd w:val="clear" w:color="auto" w:fill="auto"/>
            <w:noWrap/>
            <w:vAlign w:val="center"/>
            <w:hideMark/>
          </w:tcPr>
          <w:p w14:paraId="7C528556"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119,157</w:t>
            </w:r>
          </w:p>
        </w:tc>
      </w:tr>
      <w:tr w:rsidR="0015649E" w:rsidRPr="0084045A" w14:paraId="2DB5FE38" w14:textId="77777777" w:rsidTr="00C3352F">
        <w:trPr>
          <w:trHeight w:val="212"/>
          <w:jc w:val="center"/>
        </w:trPr>
        <w:tc>
          <w:tcPr>
            <w:tcW w:w="728" w:type="dxa"/>
            <w:vMerge/>
            <w:shd w:val="clear" w:color="auto" w:fill="auto"/>
            <w:noWrap/>
            <w:textDirection w:val="btLr"/>
            <w:vAlign w:val="center"/>
            <w:hideMark/>
          </w:tcPr>
          <w:p w14:paraId="0FD6A3B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38537826" w14:textId="48BACA6C"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w:t>
            </w:r>
            <w:r w:rsidR="0015649E"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75352D62" w14:textId="4ADE985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2139</w:t>
            </w:r>
          </w:p>
        </w:tc>
        <w:tc>
          <w:tcPr>
            <w:tcW w:w="768" w:type="dxa"/>
            <w:tcBorders>
              <w:top w:val="nil"/>
              <w:left w:val="nil"/>
              <w:bottom w:val="single" w:sz="4" w:space="0" w:color="auto"/>
              <w:right w:val="nil"/>
            </w:tcBorders>
            <w:shd w:val="clear" w:color="auto" w:fill="auto"/>
            <w:noWrap/>
            <w:vAlign w:val="center"/>
            <w:hideMark/>
          </w:tcPr>
          <w:p w14:paraId="141AF1CE" w14:textId="5886F68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1146</w:t>
            </w:r>
          </w:p>
        </w:tc>
        <w:tc>
          <w:tcPr>
            <w:tcW w:w="847" w:type="dxa"/>
            <w:tcBorders>
              <w:top w:val="nil"/>
              <w:left w:val="nil"/>
              <w:bottom w:val="single" w:sz="4" w:space="0" w:color="auto"/>
              <w:right w:val="nil"/>
            </w:tcBorders>
            <w:shd w:val="clear" w:color="auto" w:fill="auto"/>
            <w:noWrap/>
            <w:vAlign w:val="center"/>
            <w:hideMark/>
          </w:tcPr>
          <w:p w14:paraId="68BB2035" w14:textId="4CAB95D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4954</w:t>
            </w:r>
          </w:p>
        </w:tc>
        <w:tc>
          <w:tcPr>
            <w:tcW w:w="847" w:type="dxa"/>
            <w:tcBorders>
              <w:top w:val="nil"/>
              <w:left w:val="nil"/>
              <w:bottom w:val="single" w:sz="4" w:space="0" w:color="auto"/>
              <w:right w:val="nil"/>
            </w:tcBorders>
            <w:shd w:val="clear" w:color="auto" w:fill="auto"/>
            <w:noWrap/>
            <w:vAlign w:val="center"/>
            <w:hideMark/>
          </w:tcPr>
          <w:p w14:paraId="6DCF902E" w14:textId="6DA0574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2024</w:t>
            </w:r>
          </w:p>
        </w:tc>
        <w:tc>
          <w:tcPr>
            <w:tcW w:w="880" w:type="dxa"/>
            <w:tcBorders>
              <w:top w:val="nil"/>
              <w:left w:val="nil"/>
              <w:bottom w:val="single" w:sz="4" w:space="0" w:color="auto"/>
              <w:right w:val="nil"/>
            </w:tcBorders>
            <w:shd w:val="clear" w:color="auto" w:fill="auto"/>
            <w:noWrap/>
            <w:vAlign w:val="center"/>
            <w:hideMark/>
          </w:tcPr>
          <w:p w14:paraId="4EDB2960" w14:textId="3B4160DD"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5568</w:t>
            </w:r>
          </w:p>
        </w:tc>
        <w:tc>
          <w:tcPr>
            <w:tcW w:w="768" w:type="dxa"/>
            <w:tcBorders>
              <w:top w:val="nil"/>
              <w:left w:val="nil"/>
              <w:bottom w:val="single" w:sz="4" w:space="0" w:color="auto"/>
              <w:right w:val="nil"/>
            </w:tcBorders>
            <w:shd w:val="clear" w:color="auto" w:fill="auto"/>
            <w:noWrap/>
            <w:vAlign w:val="center"/>
            <w:hideMark/>
          </w:tcPr>
          <w:p w14:paraId="48CF1AAC" w14:textId="562DD3ED"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1974</w:t>
            </w:r>
          </w:p>
        </w:tc>
        <w:tc>
          <w:tcPr>
            <w:tcW w:w="847" w:type="dxa"/>
            <w:tcBorders>
              <w:top w:val="nil"/>
              <w:left w:val="nil"/>
              <w:bottom w:val="single" w:sz="4" w:space="0" w:color="auto"/>
              <w:right w:val="nil"/>
            </w:tcBorders>
            <w:shd w:val="clear" w:color="auto" w:fill="auto"/>
            <w:noWrap/>
            <w:vAlign w:val="center"/>
            <w:hideMark/>
          </w:tcPr>
          <w:p w14:paraId="4C3F074F" w14:textId="37281C8A"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5329</w:t>
            </w:r>
          </w:p>
        </w:tc>
        <w:tc>
          <w:tcPr>
            <w:tcW w:w="847" w:type="dxa"/>
            <w:tcBorders>
              <w:top w:val="nil"/>
              <w:left w:val="nil"/>
              <w:bottom w:val="single" w:sz="4" w:space="0" w:color="auto"/>
              <w:right w:val="nil"/>
            </w:tcBorders>
            <w:shd w:val="clear" w:color="auto" w:fill="auto"/>
            <w:noWrap/>
            <w:vAlign w:val="center"/>
            <w:hideMark/>
          </w:tcPr>
          <w:p w14:paraId="29083ED6" w14:textId="18DBB420"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8818</w:t>
            </w:r>
          </w:p>
        </w:tc>
        <w:tc>
          <w:tcPr>
            <w:tcW w:w="847" w:type="dxa"/>
            <w:tcBorders>
              <w:top w:val="nil"/>
              <w:left w:val="nil"/>
              <w:bottom w:val="single" w:sz="4" w:space="0" w:color="auto"/>
              <w:right w:val="nil"/>
            </w:tcBorders>
            <w:shd w:val="clear" w:color="auto" w:fill="auto"/>
            <w:noWrap/>
            <w:vAlign w:val="center"/>
            <w:hideMark/>
          </w:tcPr>
          <w:p w14:paraId="3C5F691D" w14:textId="3F99E8DF"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4571</w:t>
            </w:r>
          </w:p>
        </w:tc>
        <w:tc>
          <w:tcPr>
            <w:tcW w:w="945" w:type="dxa"/>
            <w:tcBorders>
              <w:top w:val="nil"/>
              <w:left w:val="nil"/>
              <w:bottom w:val="single" w:sz="4" w:space="0" w:color="auto"/>
            </w:tcBorders>
            <w:shd w:val="clear" w:color="auto" w:fill="auto"/>
            <w:noWrap/>
            <w:vAlign w:val="center"/>
            <w:hideMark/>
          </w:tcPr>
          <w:p w14:paraId="3350616A"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36,523</w:t>
            </w:r>
          </w:p>
        </w:tc>
      </w:tr>
      <w:tr w:rsidR="0015649E" w:rsidRPr="0084045A" w14:paraId="6AD1B1C8" w14:textId="77777777" w:rsidTr="00C3352F">
        <w:trPr>
          <w:trHeight w:val="212"/>
          <w:jc w:val="center"/>
        </w:trPr>
        <w:tc>
          <w:tcPr>
            <w:tcW w:w="728" w:type="dxa"/>
            <w:vMerge w:val="restart"/>
            <w:shd w:val="clear" w:color="auto" w:fill="auto"/>
            <w:noWrap/>
            <w:textDirection w:val="btLr"/>
            <w:vAlign w:val="center"/>
            <w:hideMark/>
          </w:tcPr>
          <w:p w14:paraId="39E67499"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Chiapas</w:t>
            </w:r>
          </w:p>
        </w:tc>
        <w:tc>
          <w:tcPr>
            <w:tcW w:w="753" w:type="dxa"/>
            <w:tcBorders>
              <w:bottom w:val="nil"/>
              <w:right w:val="nil"/>
            </w:tcBorders>
            <w:vAlign w:val="center"/>
          </w:tcPr>
          <w:p w14:paraId="5913EBA5" w14:textId="7CB97E31"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0–4</w:t>
            </w:r>
          </w:p>
        </w:tc>
        <w:tc>
          <w:tcPr>
            <w:tcW w:w="768" w:type="dxa"/>
            <w:tcBorders>
              <w:left w:val="nil"/>
              <w:bottom w:val="nil"/>
              <w:right w:val="nil"/>
            </w:tcBorders>
            <w:shd w:val="clear" w:color="auto" w:fill="auto"/>
            <w:noWrap/>
            <w:vAlign w:val="center"/>
            <w:hideMark/>
          </w:tcPr>
          <w:p w14:paraId="6C43FF8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80,023</w:t>
            </w:r>
          </w:p>
        </w:tc>
        <w:tc>
          <w:tcPr>
            <w:tcW w:w="768" w:type="dxa"/>
            <w:tcBorders>
              <w:left w:val="nil"/>
              <w:bottom w:val="nil"/>
              <w:right w:val="nil"/>
            </w:tcBorders>
            <w:shd w:val="clear" w:color="auto" w:fill="auto"/>
            <w:noWrap/>
            <w:vAlign w:val="center"/>
            <w:hideMark/>
          </w:tcPr>
          <w:p w14:paraId="07AE5E5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27,829</w:t>
            </w:r>
          </w:p>
        </w:tc>
        <w:tc>
          <w:tcPr>
            <w:tcW w:w="847" w:type="dxa"/>
            <w:tcBorders>
              <w:left w:val="nil"/>
              <w:bottom w:val="nil"/>
              <w:right w:val="nil"/>
            </w:tcBorders>
            <w:shd w:val="clear" w:color="auto" w:fill="auto"/>
            <w:noWrap/>
            <w:vAlign w:val="center"/>
            <w:hideMark/>
          </w:tcPr>
          <w:p w14:paraId="4766255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107,285</w:t>
            </w:r>
          </w:p>
        </w:tc>
        <w:tc>
          <w:tcPr>
            <w:tcW w:w="847" w:type="dxa"/>
            <w:tcBorders>
              <w:left w:val="nil"/>
              <w:bottom w:val="nil"/>
              <w:right w:val="nil"/>
            </w:tcBorders>
            <w:shd w:val="clear" w:color="auto" w:fill="auto"/>
            <w:noWrap/>
            <w:vAlign w:val="center"/>
            <w:hideMark/>
          </w:tcPr>
          <w:p w14:paraId="34B27BF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77,767</w:t>
            </w:r>
          </w:p>
        </w:tc>
        <w:tc>
          <w:tcPr>
            <w:tcW w:w="880" w:type="dxa"/>
            <w:tcBorders>
              <w:left w:val="nil"/>
              <w:bottom w:val="nil"/>
              <w:right w:val="nil"/>
            </w:tcBorders>
            <w:shd w:val="clear" w:color="auto" w:fill="auto"/>
            <w:noWrap/>
            <w:vAlign w:val="center"/>
            <w:hideMark/>
          </w:tcPr>
          <w:p w14:paraId="3E4B00B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100,237</w:t>
            </w:r>
          </w:p>
        </w:tc>
        <w:tc>
          <w:tcPr>
            <w:tcW w:w="768" w:type="dxa"/>
            <w:tcBorders>
              <w:left w:val="nil"/>
              <w:bottom w:val="nil"/>
              <w:right w:val="nil"/>
            </w:tcBorders>
            <w:shd w:val="clear" w:color="auto" w:fill="auto"/>
            <w:noWrap/>
            <w:vAlign w:val="center"/>
            <w:hideMark/>
          </w:tcPr>
          <w:p w14:paraId="5E67064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72,475</w:t>
            </w:r>
          </w:p>
        </w:tc>
        <w:tc>
          <w:tcPr>
            <w:tcW w:w="847" w:type="dxa"/>
            <w:tcBorders>
              <w:left w:val="nil"/>
              <w:bottom w:val="nil"/>
              <w:right w:val="nil"/>
            </w:tcBorders>
            <w:shd w:val="clear" w:color="auto" w:fill="auto"/>
            <w:noWrap/>
            <w:vAlign w:val="center"/>
            <w:hideMark/>
          </w:tcPr>
          <w:p w14:paraId="3167D80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72,592</w:t>
            </w:r>
          </w:p>
        </w:tc>
        <w:tc>
          <w:tcPr>
            <w:tcW w:w="847" w:type="dxa"/>
            <w:tcBorders>
              <w:left w:val="nil"/>
              <w:bottom w:val="nil"/>
              <w:right w:val="nil"/>
            </w:tcBorders>
            <w:shd w:val="clear" w:color="auto" w:fill="auto"/>
            <w:noWrap/>
            <w:vAlign w:val="center"/>
            <w:hideMark/>
          </w:tcPr>
          <w:p w14:paraId="77D7A4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126,525</w:t>
            </w:r>
          </w:p>
        </w:tc>
        <w:tc>
          <w:tcPr>
            <w:tcW w:w="847" w:type="dxa"/>
            <w:tcBorders>
              <w:left w:val="nil"/>
              <w:bottom w:val="nil"/>
              <w:right w:val="nil"/>
            </w:tcBorders>
            <w:shd w:val="clear" w:color="auto" w:fill="auto"/>
            <w:noWrap/>
            <w:vAlign w:val="center"/>
            <w:hideMark/>
          </w:tcPr>
          <w:p w14:paraId="26D7CDD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85,557</w:t>
            </w:r>
          </w:p>
        </w:tc>
        <w:tc>
          <w:tcPr>
            <w:tcW w:w="945" w:type="dxa"/>
            <w:tcBorders>
              <w:left w:val="nil"/>
              <w:bottom w:val="nil"/>
            </w:tcBorders>
            <w:shd w:val="clear" w:color="auto" w:fill="auto"/>
            <w:noWrap/>
            <w:vAlign w:val="center"/>
            <w:hideMark/>
          </w:tcPr>
          <w:p w14:paraId="4000693A"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750,289</w:t>
            </w:r>
          </w:p>
        </w:tc>
      </w:tr>
      <w:tr w:rsidR="0015649E" w:rsidRPr="0084045A" w14:paraId="6846E6DB" w14:textId="77777777" w:rsidTr="00C3352F">
        <w:trPr>
          <w:trHeight w:val="212"/>
          <w:jc w:val="center"/>
        </w:trPr>
        <w:tc>
          <w:tcPr>
            <w:tcW w:w="728" w:type="dxa"/>
            <w:vMerge/>
            <w:shd w:val="clear" w:color="auto" w:fill="auto"/>
            <w:noWrap/>
            <w:textDirection w:val="btLr"/>
            <w:vAlign w:val="center"/>
            <w:hideMark/>
          </w:tcPr>
          <w:p w14:paraId="099E2C16"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40E0729" w14:textId="557EBCE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5–17</w:t>
            </w:r>
          </w:p>
        </w:tc>
        <w:tc>
          <w:tcPr>
            <w:tcW w:w="768" w:type="dxa"/>
            <w:tcBorders>
              <w:top w:val="nil"/>
              <w:left w:val="nil"/>
              <w:bottom w:val="nil"/>
              <w:right w:val="nil"/>
            </w:tcBorders>
            <w:shd w:val="clear" w:color="auto" w:fill="auto"/>
            <w:noWrap/>
            <w:vAlign w:val="center"/>
            <w:hideMark/>
          </w:tcPr>
          <w:p w14:paraId="7935681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117,934</w:t>
            </w:r>
          </w:p>
        </w:tc>
        <w:tc>
          <w:tcPr>
            <w:tcW w:w="768" w:type="dxa"/>
            <w:tcBorders>
              <w:top w:val="nil"/>
              <w:left w:val="nil"/>
              <w:bottom w:val="nil"/>
              <w:right w:val="nil"/>
            </w:tcBorders>
            <w:shd w:val="clear" w:color="auto" w:fill="auto"/>
            <w:noWrap/>
            <w:vAlign w:val="center"/>
            <w:hideMark/>
          </w:tcPr>
          <w:p w14:paraId="10E71D0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53,702</w:t>
            </w:r>
          </w:p>
        </w:tc>
        <w:tc>
          <w:tcPr>
            <w:tcW w:w="847" w:type="dxa"/>
            <w:tcBorders>
              <w:top w:val="nil"/>
              <w:left w:val="nil"/>
              <w:bottom w:val="nil"/>
              <w:right w:val="nil"/>
            </w:tcBorders>
            <w:shd w:val="clear" w:color="auto" w:fill="auto"/>
            <w:noWrap/>
            <w:vAlign w:val="center"/>
            <w:hideMark/>
          </w:tcPr>
          <w:p w14:paraId="0D51C4A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180,961</w:t>
            </w:r>
          </w:p>
        </w:tc>
        <w:tc>
          <w:tcPr>
            <w:tcW w:w="847" w:type="dxa"/>
            <w:tcBorders>
              <w:top w:val="nil"/>
              <w:left w:val="nil"/>
              <w:bottom w:val="nil"/>
              <w:right w:val="nil"/>
            </w:tcBorders>
            <w:shd w:val="clear" w:color="auto" w:fill="auto"/>
            <w:noWrap/>
            <w:vAlign w:val="center"/>
            <w:hideMark/>
          </w:tcPr>
          <w:p w14:paraId="14F2011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108,831</w:t>
            </w:r>
          </w:p>
        </w:tc>
        <w:tc>
          <w:tcPr>
            <w:tcW w:w="880" w:type="dxa"/>
            <w:tcBorders>
              <w:top w:val="nil"/>
              <w:left w:val="nil"/>
              <w:bottom w:val="nil"/>
              <w:right w:val="nil"/>
            </w:tcBorders>
            <w:shd w:val="clear" w:color="auto" w:fill="auto"/>
            <w:noWrap/>
            <w:vAlign w:val="center"/>
            <w:hideMark/>
          </w:tcPr>
          <w:p w14:paraId="2321126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175,747</w:t>
            </w:r>
          </w:p>
        </w:tc>
        <w:tc>
          <w:tcPr>
            <w:tcW w:w="768" w:type="dxa"/>
            <w:tcBorders>
              <w:top w:val="nil"/>
              <w:left w:val="nil"/>
              <w:bottom w:val="nil"/>
              <w:right w:val="nil"/>
            </w:tcBorders>
            <w:shd w:val="clear" w:color="auto" w:fill="auto"/>
            <w:noWrap/>
            <w:vAlign w:val="center"/>
            <w:hideMark/>
          </w:tcPr>
          <w:p w14:paraId="46CB7F4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120,402</w:t>
            </w:r>
          </w:p>
        </w:tc>
        <w:tc>
          <w:tcPr>
            <w:tcW w:w="847" w:type="dxa"/>
            <w:tcBorders>
              <w:top w:val="nil"/>
              <w:left w:val="nil"/>
              <w:bottom w:val="nil"/>
              <w:right w:val="nil"/>
            </w:tcBorders>
            <w:shd w:val="clear" w:color="auto" w:fill="auto"/>
            <w:noWrap/>
            <w:vAlign w:val="center"/>
            <w:hideMark/>
          </w:tcPr>
          <w:p w14:paraId="07DE0DA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166,251</w:t>
            </w:r>
          </w:p>
        </w:tc>
        <w:tc>
          <w:tcPr>
            <w:tcW w:w="847" w:type="dxa"/>
            <w:tcBorders>
              <w:top w:val="nil"/>
              <w:left w:val="nil"/>
              <w:bottom w:val="nil"/>
              <w:right w:val="nil"/>
            </w:tcBorders>
            <w:shd w:val="clear" w:color="auto" w:fill="auto"/>
            <w:noWrap/>
            <w:vAlign w:val="center"/>
            <w:hideMark/>
          </w:tcPr>
          <w:p w14:paraId="6CBD764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211,609</w:t>
            </w:r>
          </w:p>
        </w:tc>
        <w:tc>
          <w:tcPr>
            <w:tcW w:w="847" w:type="dxa"/>
            <w:tcBorders>
              <w:top w:val="nil"/>
              <w:left w:val="nil"/>
              <w:bottom w:val="nil"/>
              <w:right w:val="nil"/>
            </w:tcBorders>
            <w:shd w:val="clear" w:color="auto" w:fill="auto"/>
            <w:noWrap/>
            <w:vAlign w:val="center"/>
            <w:hideMark/>
          </w:tcPr>
          <w:p w14:paraId="3B6EB89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146,576</w:t>
            </w:r>
          </w:p>
        </w:tc>
        <w:tc>
          <w:tcPr>
            <w:tcW w:w="945" w:type="dxa"/>
            <w:tcBorders>
              <w:top w:val="nil"/>
              <w:left w:val="nil"/>
              <w:bottom w:val="nil"/>
            </w:tcBorders>
            <w:shd w:val="clear" w:color="auto" w:fill="auto"/>
            <w:noWrap/>
            <w:vAlign w:val="center"/>
            <w:hideMark/>
          </w:tcPr>
          <w:p w14:paraId="21AC410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1,282,014</w:t>
            </w:r>
          </w:p>
        </w:tc>
      </w:tr>
      <w:tr w:rsidR="0015649E" w:rsidRPr="0084045A" w14:paraId="18C17825" w14:textId="77777777" w:rsidTr="00C3352F">
        <w:trPr>
          <w:trHeight w:val="212"/>
          <w:jc w:val="center"/>
        </w:trPr>
        <w:tc>
          <w:tcPr>
            <w:tcW w:w="728" w:type="dxa"/>
            <w:vMerge/>
            <w:shd w:val="clear" w:color="auto" w:fill="auto"/>
            <w:noWrap/>
            <w:textDirection w:val="btLr"/>
            <w:vAlign w:val="center"/>
            <w:hideMark/>
          </w:tcPr>
          <w:p w14:paraId="03134670"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581F93A" w14:textId="699F531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18–49</w:t>
            </w:r>
          </w:p>
        </w:tc>
        <w:tc>
          <w:tcPr>
            <w:tcW w:w="768" w:type="dxa"/>
            <w:tcBorders>
              <w:top w:val="nil"/>
              <w:left w:val="nil"/>
              <w:bottom w:val="nil"/>
              <w:right w:val="nil"/>
            </w:tcBorders>
            <w:shd w:val="clear" w:color="auto" w:fill="auto"/>
            <w:noWrap/>
            <w:vAlign w:val="center"/>
            <w:hideMark/>
          </w:tcPr>
          <w:p w14:paraId="3642E4F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120,389</w:t>
            </w:r>
          </w:p>
        </w:tc>
        <w:tc>
          <w:tcPr>
            <w:tcW w:w="768" w:type="dxa"/>
            <w:tcBorders>
              <w:top w:val="nil"/>
              <w:left w:val="nil"/>
              <w:bottom w:val="nil"/>
              <w:right w:val="nil"/>
            </w:tcBorders>
            <w:shd w:val="clear" w:color="auto" w:fill="auto"/>
            <w:noWrap/>
            <w:vAlign w:val="center"/>
            <w:hideMark/>
          </w:tcPr>
          <w:p w14:paraId="3F55A4E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57,744</w:t>
            </w:r>
          </w:p>
        </w:tc>
        <w:tc>
          <w:tcPr>
            <w:tcW w:w="847" w:type="dxa"/>
            <w:tcBorders>
              <w:top w:val="nil"/>
              <w:left w:val="nil"/>
              <w:bottom w:val="nil"/>
              <w:right w:val="nil"/>
            </w:tcBorders>
            <w:shd w:val="clear" w:color="auto" w:fill="auto"/>
            <w:noWrap/>
            <w:vAlign w:val="center"/>
            <w:hideMark/>
          </w:tcPr>
          <w:p w14:paraId="53A30F7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192,716</w:t>
            </w:r>
          </w:p>
        </w:tc>
        <w:tc>
          <w:tcPr>
            <w:tcW w:w="847" w:type="dxa"/>
            <w:tcBorders>
              <w:top w:val="nil"/>
              <w:left w:val="nil"/>
              <w:bottom w:val="nil"/>
              <w:right w:val="nil"/>
            </w:tcBorders>
            <w:shd w:val="clear" w:color="auto" w:fill="auto"/>
            <w:noWrap/>
            <w:vAlign w:val="center"/>
            <w:hideMark/>
          </w:tcPr>
          <w:p w14:paraId="3195769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224,910</w:t>
            </w:r>
          </w:p>
        </w:tc>
        <w:tc>
          <w:tcPr>
            <w:tcW w:w="880" w:type="dxa"/>
            <w:tcBorders>
              <w:top w:val="nil"/>
              <w:left w:val="nil"/>
              <w:bottom w:val="nil"/>
              <w:right w:val="nil"/>
            </w:tcBorders>
            <w:shd w:val="clear" w:color="auto" w:fill="auto"/>
            <w:noWrap/>
            <w:vAlign w:val="center"/>
            <w:hideMark/>
          </w:tcPr>
          <w:p w14:paraId="4DF34C5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150,742</w:t>
            </w:r>
          </w:p>
        </w:tc>
        <w:tc>
          <w:tcPr>
            <w:tcW w:w="768" w:type="dxa"/>
            <w:tcBorders>
              <w:top w:val="nil"/>
              <w:left w:val="nil"/>
              <w:bottom w:val="nil"/>
              <w:right w:val="nil"/>
            </w:tcBorders>
            <w:shd w:val="clear" w:color="auto" w:fill="auto"/>
            <w:noWrap/>
            <w:vAlign w:val="center"/>
            <w:hideMark/>
          </w:tcPr>
          <w:p w14:paraId="09C42BA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179,650</w:t>
            </w:r>
          </w:p>
        </w:tc>
        <w:tc>
          <w:tcPr>
            <w:tcW w:w="847" w:type="dxa"/>
            <w:tcBorders>
              <w:top w:val="nil"/>
              <w:left w:val="nil"/>
              <w:bottom w:val="nil"/>
              <w:right w:val="nil"/>
            </w:tcBorders>
            <w:shd w:val="clear" w:color="auto" w:fill="auto"/>
            <w:noWrap/>
            <w:vAlign w:val="center"/>
            <w:hideMark/>
          </w:tcPr>
          <w:p w14:paraId="45CC5AA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154,039</w:t>
            </w:r>
          </w:p>
        </w:tc>
        <w:tc>
          <w:tcPr>
            <w:tcW w:w="847" w:type="dxa"/>
            <w:tcBorders>
              <w:top w:val="nil"/>
              <w:left w:val="nil"/>
              <w:bottom w:val="nil"/>
              <w:right w:val="nil"/>
            </w:tcBorders>
            <w:shd w:val="clear" w:color="auto" w:fill="auto"/>
            <w:noWrap/>
            <w:vAlign w:val="center"/>
            <w:hideMark/>
          </w:tcPr>
          <w:p w14:paraId="4BBF55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263,272</w:t>
            </w:r>
          </w:p>
        </w:tc>
        <w:tc>
          <w:tcPr>
            <w:tcW w:w="847" w:type="dxa"/>
            <w:tcBorders>
              <w:top w:val="nil"/>
              <w:left w:val="nil"/>
              <w:bottom w:val="nil"/>
              <w:right w:val="nil"/>
            </w:tcBorders>
            <w:shd w:val="clear" w:color="auto" w:fill="auto"/>
            <w:noWrap/>
            <w:vAlign w:val="center"/>
            <w:hideMark/>
          </w:tcPr>
          <w:p w14:paraId="0644862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180,116</w:t>
            </w:r>
          </w:p>
        </w:tc>
        <w:tc>
          <w:tcPr>
            <w:tcW w:w="945" w:type="dxa"/>
            <w:tcBorders>
              <w:top w:val="nil"/>
              <w:left w:val="nil"/>
              <w:bottom w:val="nil"/>
            </w:tcBorders>
            <w:shd w:val="clear" w:color="auto" w:fill="auto"/>
            <w:noWrap/>
            <w:vAlign w:val="center"/>
            <w:hideMark/>
          </w:tcPr>
          <w:p w14:paraId="0DDAAA3C"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1,523,578</w:t>
            </w:r>
          </w:p>
        </w:tc>
      </w:tr>
      <w:tr w:rsidR="0015649E" w:rsidRPr="0084045A" w14:paraId="0E37844B" w14:textId="77777777" w:rsidTr="00C3352F">
        <w:trPr>
          <w:trHeight w:val="212"/>
          <w:jc w:val="center"/>
        </w:trPr>
        <w:tc>
          <w:tcPr>
            <w:tcW w:w="728" w:type="dxa"/>
            <w:vMerge/>
            <w:shd w:val="clear" w:color="auto" w:fill="auto"/>
            <w:noWrap/>
            <w:textDirection w:val="btLr"/>
            <w:vAlign w:val="center"/>
            <w:hideMark/>
          </w:tcPr>
          <w:p w14:paraId="512AEDB2"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6ED9FBA" w14:textId="06D86BC6"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50–64</w:t>
            </w:r>
          </w:p>
        </w:tc>
        <w:tc>
          <w:tcPr>
            <w:tcW w:w="768" w:type="dxa"/>
            <w:tcBorders>
              <w:top w:val="nil"/>
              <w:left w:val="nil"/>
              <w:bottom w:val="nil"/>
              <w:right w:val="nil"/>
            </w:tcBorders>
            <w:shd w:val="clear" w:color="auto" w:fill="auto"/>
            <w:noWrap/>
            <w:vAlign w:val="center"/>
            <w:hideMark/>
          </w:tcPr>
          <w:p w14:paraId="1515892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36,276</w:t>
            </w:r>
          </w:p>
        </w:tc>
        <w:tc>
          <w:tcPr>
            <w:tcW w:w="768" w:type="dxa"/>
            <w:tcBorders>
              <w:top w:val="nil"/>
              <w:left w:val="nil"/>
              <w:bottom w:val="nil"/>
              <w:right w:val="nil"/>
            </w:tcBorders>
            <w:shd w:val="clear" w:color="auto" w:fill="auto"/>
            <w:noWrap/>
            <w:vAlign w:val="center"/>
            <w:hideMark/>
          </w:tcPr>
          <w:p w14:paraId="763B43E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14,534</w:t>
            </w:r>
          </w:p>
        </w:tc>
        <w:tc>
          <w:tcPr>
            <w:tcW w:w="847" w:type="dxa"/>
            <w:tcBorders>
              <w:top w:val="nil"/>
              <w:left w:val="nil"/>
              <w:bottom w:val="nil"/>
              <w:right w:val="nil"/>
            </w:tcBorders>
            <w:shd w:val="clear" w:color="auto" w:fill="auto"/>
            <w:noWrap/>
            <w:vAlign w:val="center"/>
            <w:hideMark/>
          </w:tcPr>
          <w:p w14:paraId="5AA8F19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60,847</w:t>
            </w:r>
          </w:p>
        </w:tc>
        <w:tc>
          <w:tcPr>
            <w:tcW w:w="847" w:type="dxa"/>
            <w:tcBorders>
              <w:top w:val="nil"/>
              <w:left w:val="nil"/>
              <w:bottom w:val="nil"/>
              <w:right w:val="nil"/>
            </w:tcBorders>
            <w:shd w:val="clear" w:color="auto" w:fill="auto"/>
            <w:noWrap/>
            <w:vAlign w:val="center"/>
            <w:hideMark/>
          </w:tcPr>
          <w:p w14:paraId="1E495E0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67,232</w:t>
            </w:r>
          </w:p>
        </w:tc>
        <w:tc>
          <w:tcPr>
            <w:tcW w:w="880" w:type="dxa"/>
            <w:tcBorders>
              <w:top w:val="nil"/>
              <w:left w:val="nil"/>
              <w:bottom w:val="nil"/>
              <w:right w:val="nil"/>
            </w:tcBorders>
            <w:shd w:val="clear" w:color="auto" w:fill="auto"/>
            <w:noWrap/>
            <w:vAlign w:val="center"/>
            <w:hideMark/>
          </w:tcPr>
          <w:p w14:paraId="7FA8745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58,942</w:t>
            </w:r>
          </w:p>
        </w:tc>
        <w:tc>
          <w:tcPr>
            <w:tcW w:w="768" w:type="dxa"/>
            <w:tcBorders>
              <w:top w:val="nil"/>
              <w:left w:val="nil"/>
              <w:bottom w:val="nil"/>
              <w:right w:val="nil"/>
            </w:tcBorders>
            <w:shd w:val="clear" w:color="auto" w:fill="auto"/>
            <w:noWrap/>
            <w:vAlign w:val="center"/>
            <w:hideMark/>
          </w:tcPr>
          <w:p w14:paraId="7C8483A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58,642</w:t>
            </w:r>
          </w:p>
        </w:tc>
        <w:tc>
          <w:tcPr>
            <w:tcW w:w="847" w:type="dxa"/>
            <w:tcBorders>
              <w:top w:val="nil"/>
              <w:left w:val="nil"/>
              <w:bottom w:val="nil"/>
              <w:right w:val="nil"/>
            </w:tcBorders>
            <w:shd w:val="clear" w:color="auto" w:fill="auto"/>
            <w:noWrap/>
            <w:vAlign w:val="center"/>
            <w:hideMark/>
          </w:tcPr>
          <w:p w14:paraId="02BC5BB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74,133</w:t>
            </w:r>
          </w:p>
        </w:tc>
        <w:tc>
          <w:tcPr>
            <w:tcW w:w="847" w:type="dxa"/>
            <w:tcBorders>
              <w:top w:val="nil"/>
              <w:left w:val="nil"/>
              <w:bottom w:val="nil"/>
              <w:right w:val="nil"/>
            </w:tcBorders>
            <w:shd w:val="clear" w:color="auto" w:fill="auto"/>
            <w:noWrap/>
            <w:vAlign w:val="center"/>
            <w:hideMark/>
          </w:tcPr>
          <w:p w14:paraId="0F183E0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138,290</w:t>
            </w:r>
          </w:p>
        </w:tc>
        <w:tc>
          <w:tcPr>
            <w:tcW w:w="847" w:type="dxa"/>
            <w:tcBorders>
              <w:top w:val="nil"/>
              <w:left w:val="nil"/>
              <w:bottom w:val="nil"/>
              <w:right w:val="nil"/>
            </w:tcBorders>
            <w:shd w:val="clear" w:color="auto" w:fill="auto"/>
            <w:noWrap/>
            <w:vAlign w:val="center"/>
            <w:hideMark/>
          </w:tcPr>
          <w:p w14:paraId="30112AC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72,091</w:t>
            </w:r>
          </w:p>
        </w:tc>
        <w:tc>
          <w:tcPr>
            <w:tcW w:w="945" w:type="dxa"/>
            <w:tcBorders>
              <w:top w:val="nil"/>
              <w:left w:val="nil"/>
              <w:bottom w:val="nil"/>
            </w:tcBorders>
            <w:shd w:val="clear" w:color="auto" w:fill="auto"/>
            <w:noWrap/>
            <w:vAlign w:val="center"/>
            <w:hideMark/>
          </w:tcPr>
          <w:p w14:paraId="1DA2EBA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580,987</w:t>
            </w:r>
          </w:p>
        </w:tc>
      </w:tr>
      <w:tr w:rsidR="0015649E" w:rsidRPr="0084045A" w14:paraId="22785E07" w14:textId="77777777" w:rsidTr="00C3352F">
        <w:trPr>
          <w:trHeight w:val="212"/>
          <w:jc w:val="center"/>
        </w:trPr>
        <w:tc>
          <w:tcPr>
            <w:tcW w:w="728" w:type="dxa"/>
            <w:vMerge/>
            <w:shd w:val="clear" w:color="auto" w:fill="auto"/>
            <w:noWrap/>
            <w:textDirection w:val="btLr"/>
            <w:vAlign w:val="center"/>
            <w:hideMark/>
          </w:tcPr>
          <w:p w14:paraId="02DAF92E"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25961B93" w14:textId="37AB3BDC"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w:t>
            </w:r>
            <w:r w:rsidR="0015649E"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0AACA34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10,726</w:t>
            </w:r>
          </w:p>
        </w:tc>
        <w:tc>
          <w:tcPr>
            <w:tcW w:w="768" w:type="dxa"/>
            <w:tcBorders>
              <w:top w:val="nil"/>
              <w:left w:val="nil"/>
              <w:bottom w:val="single" w:sz="4" w:space="0" w:color="auto"/>
              <w:right w:val="nil"/>
            </w:tcBorders>
            <w:shd w:val="clear" w:color="auto" w:fill="auto"/>
            <w:noWrap/>
            <w:vAlign w:val="center"/>
            <w:hideMark/>
          </w:tcPr>
          <w:p w14:paraId="1C00D993" w14:textId="0E87842A"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5718</w:t>
            </w:r>
          </w:p>
        </w:tc>
        <w:tc>
          <w:tcPr>
            <w:tcW w:w="847" w:type="dxa"/>
            <w:tcBorders>
              <w:top w:val="nil"/>
              <w:left w:val="nil"/>
              <w:bottom w:val="single" w:sz="4" w:space="0" w:color="auto"/>
              <w:right w:val="nil"/>
            </w:tcBorders>
            <w:shd w:val="clear" w:color="auto" w:fill="auto"/>
            <w:noWrap/>
            <w:vAlign w:val="center"/>
            <w:hideMark/>
          </w:tcPr>
          <w:p w14:paraId="67A79CC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24,581</w:t>
            </w:r>
          </w:p>
        </w:tc>
        <w:tc>
          <w:tcPr>
            <w:tcW w:w="847" w:type="dxa"/>
            <w:tcBorders>
              <w:top w:val="nil"/>
              <w:left w:val="nil"/>
              <w:bottom w:val="single" w:sz="4" w:space="0" w:color="auto"/>
              <w:right w:val="nil"/>
            </w:tcBorders>
            <w:shd w:val="clear" w:color="auto" w:fill="auto"/>
            <w:noWrap/>
            <w:vAlign w:val="center"/>
            <w:hideMark/>
          </w:tcPr>
          <w:p w14:paraId="2435E62B" w14:textId="7FE5E7DE"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9990</w:t>
            </w:r>
          </w:p>
        </w:tc>
        <w:tc>
          <w:tcPr>
            <w:tcW w:w="880" w:type="dxa"/>
            <w:tcBorders>
              <w:top w:val="nil"/>
              <w:left w:val="nil"/>
              <w:bottom w:val="single" w:sz="4" w:space="0" w:color="auto"/>
              <w:right w:val="nil"/>
            </w:tcBorders>
            <w:shd w:val="clear" w:color="auto" w:fill="auto"/>
            <w:noWrap/>
            <w:vAlign w:val="center"/>
            <w:hideMark/>
          </w:tcPr>
          <w:p w14:paraId="42CBC6B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27,344</w:t>
            </w:r>
          </w:p>
        </w:tc>
        <w:tc>
          <w:tcPr>
            <w:tcW w:w="768" w:type="dxa"/>
            <w:tcBorders>
              <w:top w:val="nil"/>
              <w:left w:val="nil"/>
              <w:bottom w:val="single" w:sz="4" w:space="0" w:color="auto"/>
              <w:right w:val="nil"/>
            </w:tcBorders>
            <w:shd w:val="clear" w:color="auto" w:fill="auto"/>
            <w:noWrap/>
            <w:vAlign w:val="center"/>
            <w:hideMark/>
          </w:tcPr>
          <w:p w14:paraId="1E93B5DF" w14:textId="31FD1AB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9645</w:t>
            </w:r>
          </w:p>
        </w:tc>
        <w:tc>
          <w:tcPr>
            <w:tcW w:w="847" w:type="dxa"/>
            <w:tcBorders>
              <w:top w:val="nil"/>
              <w:left w:val="nil"/>
              <w:bottom w:val="single" w:sz="4" w:space="0" w:color="auto"/>
              <w:right w:val="nil"/>
            </w:tcBorders>
            <w:shd w:val="clear" w:color="auto" w:fill="auto"/>
            <w:noWrap/>
            <w:vAlign w:val="center"/>
            <w:hideMark/>
          </w:tcPr>
          <w:p w14:paraId="23B4FFD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25,979</w:t>
            </w:r>
          </w:p>
        </w:tc>
        <w:tc>
          <w:tcPr>
            <w:tcW w:w="847" w:type="dxa"/>
            <w:tcBorders>
              <w:top w:val="nil"/>
              <w:left w:val="nil"/>
              <w:bottom w:val="single" w:sz="4" w:space="0" w:color="auto"/>
              <w:right w:val="nil"/>
            </w:tcBorders>
            <w:shd w:val="clear" w:color="auto" w:fill="auto"/>
            <w:noWrap/>
            <w:vAlign w:val="center"/>
            <w:hideMark/>
          </w:tcPr>
          <w:p w14:paraId="71C858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42,888</w:t>
            </w:r>
          </w:p>
        </w:tc>
        <w:tc>
          <w:tcPr>
            <w:tcW w:w="847" w:type="dxa"/>
            <w:tcBorders>
              <w:top w:val="nil"/>
              <w:left w:val="nil"/>
              <w:bottom w:val="single" w:sz="4" w:space="0" w:color="auto"/>
              <w:right w:val="nil"/>
            </w:tcBorders>
            <w:shd w:val="clear" w:color="auto" w:fill="auto"/>
            <w:noWrap/>
            <w:vAlign w:val="center"/>
            <w:hideMark/>
          </w:tcPr>
          <w:p w14:paraId="2DECFFC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22,177</w:t>
            </w:r>
          </w:p>
        </w:tc>
        <w:tc>
          <w:tcPr>
            <w:tcW w:w="945" w:type="dxa"/>
            <w:tcBorders>
              <w:top w:val="nil"/>
              <w:left w:val="nil"/>
              <w:bottom w:val="single" w:sz="4" w:space="0" w:color="auto"/>
            </w:tcBorders>
            <w:shd w:val="clear" w:color="auto" w:fill="auto"/>
            <w:noWrap/>
            <w:vAlign w:val="center"/>
            <w:hideMark/>
          </w:tcPr>
          <w:p w14:paraId="781D98B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179,048</w:t>
            </w:r>
          </w:p>
        </w:tc>
      </w:tr>
      <w:tr w:rsidR="0015649E" w:rsidRPr="0084045A" w14:paraId="10743D97" w14:textId="77777777" w:rsidTr="00C3352F">
        <w:trPr>
          <w:trHeight w:val="212"/>
          <w:jc w:val="center"/>
        </w:trPr>
        <w:tc>
          <w:tcPr>
            <w:tcW w:w="728" w:type="dxa"/>
            <w:vMerge w:val="restart"/>
            <w:shd w:val="clear" w:color="auto" w:fill="auto"/>
            <w:noWrap/>
            <w:textDirection w:val="btLr"/>
            <w:vAlign w:val="center"/>
            <w:hideMark/>
          </w:tcPr>
          <w:p w14:paraId="7EBBF932"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Chihuahua</w:t>
            </w:r>
          </w:p>
        </w:tc>
        <w:tc>
          <w:tcPr>
            <w:tcW w:w="753" w:type="dxa"/>
            <w:tcBorders>
              <w:bottom w:val="nil"/>
              <w:right w:val="nil"/>
            </w:tcBorders>
            <w:vAlign w:val="center"/>
          </w:tcPr>
          <w:p w14:paraId="0C53FE62" w14:textId="6A99443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0–4</w:t>
            </w:r>
          </w:p>
        </w:tc>
        <w:tc>
          <w:tcPr>
            <w:tcW w:w="768" w:type="dxa"/>
            <w:tcBorders>
              <w:left w:val="nil"/>
              <w:bottom w:val="nil"/>
              <w:right w:val="nil"/>
            </w:tcBorders>
            <w:shd w:val="clear" w:color="auto" w:fill="auto"/>
            <w:noWrap/>
            <w:vAlign w:val="center"/>
            <w:hideMark/>
          </w:tcPr>
          <w:p w14:paraId="0D52BBF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47,948</w:t>
            </w:r>
          </w:p>
        </w:tc>
        <w:tc>
          <w:tcPr>
            <w:tcW w:w="768" w:type="dxa"/>
            <w:tcBorders>
              <w:left w:val="nil"/>
              <w:bottom w:val="nil"/>
              <w:right w:val="nil"/>
            </w:tcBorders>
            <w:shd w:val="clear" w:color="auto" w:fill="auto"/>
            <w:noWrap/>
            <w:vAlign w:val="center"/>
            <w:hideMark/>
          </w:tcPr>
          <w:p w14:paraId="3A01955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16,217</w:t>
            </w:r>
          </w:p>
        </w:tc>
        <w:tc>
          <w:tcPr>
            <w:tcW w:w="847" w:type="dxa"/>
            <w:tcBorders>
              <w:left w:val="nil"/>
              <w:bottom w:val="nil"/>
              <w:right w:val="nil"/>
            </w:tcBorders>
            <w:shd w:val="clear" w:color="auto" w:fill="auto"/>
            <w:noWrap/>
            <w:vAlign w:val="center"/>
            <w:hideMark/>
          </w:tcPr>
          <w:p w14:paraId="69CB4E0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60,821</w:t>
            </w:r>
          </w:p>
        </w:tc>
        <w:tc>
          <w:tcPr>
            <w:tcW w:w="847" w:type="dxa"/>
            <w:tcBorders>
              <w:left w:val="nil"/>
              <w:bottom w:val="nil"/>
              <w:right w:val="nil"/>
            </w:tcBorders>
            <w:shd w:val="clear" w:color="auto" w:fill="auto"/>
            <w:noWrap/>
            <w:vAlign w:val="center"/>
            <w:hideMark/>
          </w:tcPr>
          <w:p w14:paraId="377D1C1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42,901</w:t>
            </w:r>
          </w:p>
        </w:tc>
        <w:tc>
          <w:tcPr>
            <w:tcW w:w="880" w:type="dxa"/>
            <w:tcBorders>
              <w:left w:val="nil"/>
              <w:bottom w:val="nil"/>
              <w:right w:val="nil"/>
            </w:tcBorders>
            <w:shd w:val="clear" w:color="auto" w:fill="auto"/>
            <w:noWrap/>
            <w:vAlign w:val="center"/>
            <w:hideMark/>
          </w:tcPr>
          <w:p w14:paraId="55AB650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53,822</w:t>
            </w:r>
          </w:p>
        </w:tc>
        <w:tc>
          <w:tcPr>
            <w:tcW w:w="768" w:type="dxa"/>
            <w:tcBorders>
              <w:left w:val="nil"/>
              <w:bottom w:val="nil"/>
              <w:right w:val="nil"/>
            </w:tcBorders>
            <w:shd w:val="clear" w:color="auto" w:fill="auto"/>
            <w:noWrap/>
            <w:vAlign w:val="center"/>
            <w:hideMark/>
          </w:tcPr>
          <w:p w14:paraId="2B4F08F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37,886</w:t>
            </w:r>
          </w:p>
        </w:tc>
        <w:tc>
          <w:tcPr>
            <w:tcW w:w="847" w:type="dxa"/>
            <w:tcBorders>
              <w:left w:val="nil"/>
              <w:bottom w:val="nil"/>
              <w:right w:val="nil"/>
            </w:tcBorders>
            <w:shd w:val="clear" w:color="auto" w:fill="auto"/>
            <w:noWrap/>
            <w:vAlign w:val="center"/>
            <w:hideMark/>
          </w:tcPr>
          <w:p w14:paraId="1216F22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37,510</w:t>
            </w:r>
          </w:p>
        </w:tc>
        <w:tc>
          <w:tcPr>
            <w:tcW w:w="847" w:type="dxa"/>
            <w:tcBorders>
              <w:left w:val="nil"/>
              <w:bottom w:val="nil"/>
              <w:right w:val="nil"/>
            </w:tcBorders>
            <w:shd w:val="clear" w:color="auto" w:fill="auto"/>
            <w:noWrap/>
            <w:vAlign w:val="center"/>
            <w:hideMark/>
          </w:tcPr>
          <w:p w14:paraId="155370A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64,778</w:t>
            </w:r>
          </w:p>
        </w:tc>
        <w:tc>
          <w:tcPr>
            <w:tcW w:w="847" w:type="dxa"/>
            <w:tcBorders>
              <w:left w:val="nil"/>
              <w:bottom w:val="nil"/>
              <w:right w:val="nil"/>
            </w:tcBorders>
            <w:shd w:val="clear" w:color="auto" w:fill="auto"/>
            <w:noWrap/>
            <w:vAlign w:val="center"/>
            <w:hideMark/>
          </w:tcPr>
          <w:p w14:paraId="3D162F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43,412</w:t>
            </w:r>
          </w:p>
        </w:tc>
        <w:tc>
          <w:tcPr>
            <w:tcW w:w="945" w:type="dxa"/>
            <w:tcBorders>
              <w:left w:val="nil"/>
              <w:bottom w:val="nil"/>
            </w:tcBorders>
            <w:shd w:val="clear" w:color="auto" w:fill="auto"/>
            <w:noWrap/>
            <w:vAlign w:val="center"/>
            <w:hideMark/>
          </w:tcPr>
          <w:p w14:paraId="17180B3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405,294</w:t>
            </w:r>
          </w:p>
        </w:tc>
      </w:tr>
      <w:tr w:rsidR="0015649E" w:rsidRPr="0084045A" w14:paraId="03B4DFE9" w14:textId="77777777" w:rsidTr="00C3352F">
        <w:trPr>
          <w:trHeight w:val="212"/>
          <w:jc w:val="center"/>
        </w:trPr>
        <w:tc>
          <w:tcPr>
            <w:tcW w:w="728" w:type="dxa"/>
            <w:vMerge/>
            <w:shd w:val="clear" w:color="auto" w:fill="auto"/>
            <w:noWrap/>
            <w:textDirection w:val="btLr"/>
            <w:vAlign w:val="center"/>
            <w:hideMark/>
          </w:tcPr>
          <w:p w14:paraId="566B8B3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6C7BF9F" w14:textId="58E17F0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5–17</w:t>
            </w:r>
          </w:p>
        </w:tc>
        <w:tc>
          <w:tcPr>
            <w:tcW w:w="768" w:type="dxa"/>
            <w:tcBorders>
              <w:top w:val="nil"/>
              <w:left w:val="nil"/>
              <w:bottom w:val="nil"/>
              <w:right w:val="nil"/>
            </w:tcBorders>
            <w:shd w:val="clear" w:color="auto" w:fill="auto"/>
            <w:noWrap/>
            <w:vAlign w:val="center"/>
            <w:hideMark/>
          </w:tcPr>
          <w:p w14:paraId="680F3B6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72,808</w:t>
            </w:r>
          </w:p>
        </w:tc>
        <w:tc>
          <w:tcPr>
            <w:tcW w:w="768" w:type="dxa"/>
            <w:tcBorders>
              <w:top w:val="nil"/>
              <w:left w:val="nil"/>
              <w:bottom w:val="nil"/>
              <w:right w:val="nil"/>
            </w:tcBorders>
            <w:shd w:val="clear" w:color="auto" w:fill="auto"/>
            <w:noWrap/>
            <w:vAlign w:val="center"/>
            <w:hideMark/>
          </w:tcPr>
          <w:p w14:paraId="2B660BE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32,866</w:t>
            </w:r>
          </w:p>
        </w:tc>
        <w:tc>
          <w:tcPr>
            <w:tcW w:w="847" w:type="dxa"/>
            <w:tcBorders>
              <w:top w:val="nil"/>
              <w:left w:val="nil"/>
              <w:bottom w:val="nil"/>
              <w:right w:val="nil"/>
            </w:tcBorders>
            <w:shd w:val="clear" w:color="auto" w:fill="auto"/>
            <w:noWrap/>
            <w:vAlign w:val="center"/>
            <w:hideMark/>
          </w:tcPr>
          <w:p w14:paraId="04E4371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109,794</w:t>
            </w:r>
          </w:p>
        </w:tc>
        <w:tc>
          <w:tcPr>
            <w:tcW w:w="847" w:type="dxa"/>
            <w:tcBorders>
              <w:top w:val="nil"/>
              <w:left w:val="nil"/>
              <w:bottom w:val="nil"/>
              <w:right w:val="nil"/>
            </w:tcBorders>
            <w:shd w:val="clear" w:color="auto" w:fill="auto"/>
            <w:noWrap/>
            <w:vAlign w:val="center"/>
            <w:hideMark/>
          </w:tcPr>
          <w:p w14:paraId="4222962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65,467</w:t>
            </w:r>
          </w:p>
        </w:tc>
        <w:tc>
          <w:tcPr>
            <w:tcW w:w="880" w:type="dxa"/>
            <w:tcBorders>
              <w:top w:val="nil"/>
              <w:left w:val="nil"/>
              <w:bottom w:val="nil"/>
              <w:right w:val="nil"/>
            </w:tcBorders>
            <w:shd w:val="clear" w:color="auto" w:fill="auto"/>
            <w:noWrap/>
            <w:vAlign w:val="center"/>
            <w:hideMark/>
          </w:tcPr>
          <w:p w14:paraId="43E7D28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104,826</w:t>
            </w:r>
          </w:p>
        </w:tc>
        <w:tc>
          <w:tcPr>
            <w:tcW w:w="768" w:type="dxa"/>
            <w:tcBorders>
              <w:top w:val="nil"/>
              <w:left w:val="nil"/>
              <w:bottom w:val="nil"/>
              <w:right w:val="nil"/>
            </w:tcBorders>
            <w:shd w:val="clear" w:color="auto" w:fill="auto"/>
            <w:noWrap/>
            <w:vAlign w:val="center"/>
            <w:hideMark/>
          </w:tcPr>
          <w:p w14:paraId="2F8455E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71,213</w:t>
            </w:r>
          </w:p>
        </w:tc>
        <w:tc>
          <w:tcPr>
            <w:tcW w:w="847" w:type="dxa"/>
            <w:tcBorders>
              <w:top w:val="nil"/>
              <w:left w:val="nil"/>
              <w:bottom w:val="nil"/>
              <w:right w:val="nil"/>
            </w:tcBorders>
            <w:shd w:val="clear" w:color="auto" w:fill="auto"/>
            <w:noWrap/>
            <w:vAlign w:val="center"/>
            <w:hideMark/>
          </w:tcPr>
          <w:p w14:paraId="02DFE54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97,401</w:t>
            </w:r>
          </w:p>
        </w:tc>
        <w:tc>
          <w:tcPr>
            <w:tcW w:w="847" w:type="dxa"/>
            <w:tcBorders>
              <w:top w:val="nil"/>
              <w:left w:val="nil"/>
              <w:bottom w:val="nil"/>
              <w:right w:val="nil"/>
            </w:tcBorders>
            <w:shd w:val="clear" w:color="auto" w:fill="auto"/>
            <w:noWrap/>
            <w:vAlign w:val="center"/>
            <w:hideMark/>
          </w:tcPr>
          <w:p w14:paraId="626C437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122,668</w:t>
            </w:r>
          </w:p>
        </w:tc>
        <w:tc>
          <w:tcPr>
            <w:tcW w:w="847" w:type="dxa"/>
            <w:tcBorders>
              <w:top w:val="nil"/>
              <w:left w:val="nil"/>
              <w:bottom w:val="nil"/>
              <w:right w:val="nil"/>
            </w:tcBorders>
            <w:shd w:val="clear" w:color="auto" w:fill="auto"/>
            <w:noWrap/>
            <w:vAlign w:val="center"/>
            <w:hideMark/>
          </w:tcPr>
          <w:p w14:paraId="6E640DA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83,978</w:t>
            </w:r>
          </w:p>
        </w:tc>
        <w:tc>
          <w:tcPr>
            <w:tcW w:w="945" w:type="dxa"/>
            <w:tcBorders>
              <w:top w:val="nil"/>
              <w:left w:val="nil"/>
              <w:bottom w:val="nil"/>
            </w:tcBorders>
            <w:shd w:val="clear" w:color="auto" w:fill="auto"/>
            <w:noWrap/>
            <w:vAlign w:val="center"/>
            <w:hideMark/>
          </w:tcPr>
          <w:p w14:paraId="0F6DD5E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761,021</w:t>
            </w:r>
          </w:p>
        </w:tc>
      </w:tr>
      <w:tr w:rsidR="0015649E" w:rsidRPr="0084045A" w14:paraId="264A7485" w14:textId="77777777" w:rsidTr="00C3352F">
        <w:trPr>
          <w:trHeight w:val="212"/>
          <w:jc w:val="center"/>
        </w:trPr>
        <w:tc>
          <w:tcPr>
            <w:tcW w:w="728" w:type="dxa"/>
            <w:vMerge/>
            <w:shd w:val="clear" w:color="auto" w:fill="auto"/>
            <w:noWrap/>
            <w:textDirection w:val="btLr"/>
            <w:vAlign w:val="center"/>
            <w:hideMark/>
          </w:tcPr>
          <w:p w14:paraId="4CFE95F5"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DCBA734" w14:textId="31871B27"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18–49</w:t>
            </w:r>
          </w:p>
        </w:tc>
        <w:tc>
          <w:tcPr>
            <w:tcW w:w="768" w:type="dxa"/>
            <w:tcBorders>
              <w:top w:val="nil"/>
              <w:left w:val="nil"/>
              <w:bottom w:val="nil"/>
              <w:right w:val="nil"/>
            </w:tcBorders>
            <w:shd w:val="clear" w:color="auto" w:fill="auto"/>
            <w:noWrap/>
            <w:vAlign w:val="center"/>
            <w:hideMark/>
          </w:tcPr>
          <w:p w14:paraId="68DA4F8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91,301</w:t>
            </w:r>
          </w:p>
        </w:tc>
        <w:tc>
          <w:tcPr>
            <w:tcW w:w="768" w:type="dxa"/>
            <w:tcBorders>
              <w:top w:val="nil"/>
              <w:left w:val="nil"/>
              <w:bottom w:val="nil"/>
              <w:right w:val="nil"/>
            </w:tcBorders>
            <w:shd w:val="clear" w:color="auto" w:fill="auto"/>
            <w:noWrap/>
            <w:vAlign w:val="center"/>
            <w:hideMark/>
          </w:tcPr>
          <w:p w14:paraId="1A28EAF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43,275</w:t>
            </w:r>
          </w:p>
        </w:tc>
        <w:tc>
          <w:tcPr>
            <w:tcW w:w="847" w:type="dxa"/>
            <w:tcBorders>
              <w:top w:val="nil"/>
              <w:left w:val="nil"/>
              <w:bottom w:val="nil"/>
              <w:right w:val="nil"/>
            </w:tcBorders>
            <w:shd w:val="clear" w:color="auto" w:fill="auto"/>
            <w:noWrap/>
            <w:vAlign w:val="center"/>
            <w:hideMark/>
          </w:tcPr>
          <w:p w14:paraId="2ECBF80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142,726</w:t>
            </w:r>
          </w:p>
        </w:tc>
        <w:tc>
          <w:tcPr>
            <w:tcW w:w="847" w:type="dxa"/>
            <w:tcBorders>
              <w:top w:val="nil"/>
              <w:left w:val="nil"/>
              <w:bottom w:val="nil"/>
              <w:right w:val="nil"/>
            </w:tcBorders>
            <w:shd w:val="clear" w:color="auto" w:fill="auto"/>
            <w:noWrap/>
            <w:vAlign w:val="center"/>
            <w:hideMark/>
          </w:tcPr>
          <w:p w14:paraId="61F6F1A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164,618</w:t>
            </w:r>
          </w:p>
        </w:tc>
        <w:tc>
          <w:tcPr>
            <w:tcW w:w="880" w:type="dxa"/>
            <w:tcBorders>
              <w:top w:val="nil"/>
              <w:left w:val="nil"/>
              <w:bottom w:val="nil"/>
              <w:right w:val="nil"/>
            </w:tcBorders>
            <w:shd w:val="clear" w:color="auto" w:fill="auto"/>
            <w:noWrap/>
            <w:vAlign w:val="center"/>
            <w:hideMark/>
          </w:tcPr>
          <w:p w14:paraId="59A11D4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109,046</w:t>
            </w:r>
          </w:p>
        </w:tc>
        <w:tc>
          <w:tcPr>
            <w:tcW w:w="768" w:type="dxa"/>
            <w:tcBorders>
              <w:top w:val="nil"/>
              <w:left w:val="nil"/>
              <w:bottom w:val="nil"/>
              <w:right w:val="nil"/>
            </w:tcBorders>
            <w:shd w:val="clear" w:color="auto" w:fill="auto"/>
            <w:noWrap/>
            <w:vAlign w:val="center"/>
            <w:hideMark/>
          </w:tcPr>
          <w:p w14:paraId="14EC506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128,439</w:t>
            </w:r>
          </w:p>
        </w:tc>
        <w:tc>
          <w:tcPr>
            <w:tcW w:w="847" w:type="dxa"/>
            <w:tcBorders>
              <w:top w:val="nil"/>
              <w:left w:val="nil"/>
              <w:bottom w:val="nil"/>
              <w:right w:val="nil"/>
            </w:tcBorders>
            <w:shd w:val="clear" w:color="auto" w:fill="auto"/>
            <w:noWrap/>
            <w:vAlign w:val="center"/>
            <w:hideMark/>
          </w:tcPr>
          <w:p w14:paraId="48D5810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109,334</w:t>
            </w:r>
          </w:p>
        </w:tc>
        <w:tc>
          <w:tcPr>
            <w:tcW w:w="847" w:type="dxa"/>
            <w:tcBorders>
              <w:top w:val="nil"/>
              <w:left w:val="nil"/>
              <w:bottom w:val="nil"/>
              <w:right w:val="nil"/>
            </w:tcBorders>
            <w:shd w:val="clear" w:color="auto" w:fill="auto"/>
            <w:noWrap/>
            <w:vAlign w:val="center"/>
            <w:hideMark/>
          </w:tcPr>
          <w:p w14:paraId="41C465F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185,539</w:t>
            </w:r>
          </w:p>
        </w:tc>
        <w:tc>
          <w:tcPr>
            <w:tcW w:w="847" w:type="dxa"/>
            <w:tcBorders>
              <w:top w:val="nil"/>
              <w:left w:val="nil"/>
              <w:bottom w:val="nil"/>
              <w:right w:val="nil"/>
            </w:tcBorders>
            <w:shd w:val="clear" w:color="auto" w:fill="auto"/>
            <w:noWrap/>
            <w:vAlign w:val="center"/>
            <w:hideMark/>
          </w:tcPr>
          <w:p w14:paraId="2688FFA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126,059</w:t>
            </w:r>
          </w:p>
        </w:tc>
        <w:tc>
          <w:tcPr>
            <w:tcW w:w="945" w:type="dxa"/>
            <w:tcBorders>
              <w:top w:val="nil"/>
              <w:left w:val="nil"/>
              <w:bottom w:val="nil"/>
            </w:tcBorders>
            <w:shd w:val="clear" w:color="auto" w:fill="auto"/>
            <w:noWrap/>
            <w:vAlign w:val="center"/>
            <w:hideMark/>
          </w:tcPr>
          <w:p w14:paraId="70C3E58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1,100,336</w:t>
            </w:r>
          </w:p>
        </w:tc>
      </w:tr>
      <w:tr w:rsidR="0015649E" w:rsidRPr="0084045A" w14:paraId="37D6915B" w14:textId="77777777" w:rsidTr="00C3352F">
        <w:trPr>
          <w:trHeight w:val="212"/>
          <w:jc w:val="center"/>
        </w:trPr>
        <w:tc>
          <w:tcPr>
            <w:tcW w:w="728" w:type="dxa"/>
            <w:vMerge/>
            <w:shd w:val="clear" w:color="auto" w:fill="auto"/>
            <w:noWrap/>
            <w:textDirection w:val="btLr"/>
            <w:vAlign w:val="center"/>
            <w:hideMark/>
          </w:tcPr>
          <w:p w14:paraId="1164D694"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6488B172" w14:textId="7B363EB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50–64</w:t>
            </w:r>
          </w:p>
        </w:tc>
        <w:tc>
          <w:tcPr>
            <w:tcW w:w="768" w:type="dxa"/>
            <w:tcBorders>
              <w:top w:val="nil"/>
              <w:left w:val="nil"/>
              <w:bottom w:val="nil"/>
              <w:right w:val="nil"/>
            </w:tcBorders>
            <w:shd w:val="clear" w:color="auto" w:fill="auto"/>
            <w:noWrap/>
            <w:vAlign w:val="center"/>
            <w:hideMark/>
          </w:tcPr>
          <w:p w14:paraId="6B0C5FC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31,101</w:t>
            </w:r>
          </w:p>
        </w:tc>
        <w:tc>
          <w:tcPr>
            <w:tcW w:w="768" w:type="dxa"/>
            <w:tcBorders>
              <w:top w:val="nil"/>
              <w:left w:val="nil"/>
              <w:bottom w:val="nil"/>
              <w:right w:val="nil"/>
            </w:tcBorders>
            <w:shd w:val="clear" w:color="auto" w:fill="auto"/>
            <w:noWrap/>
            <w:vAlign w:val="center"/>
            <w:hideMark/>
          </w:tcPr>
          <w:p w14:paraId="54C2DDF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12,489</w:t>
            </w:r>
          </w:p>
        </w:tc>
        <w:tc>
          <w:tcPr>
            <w:tcW w:w="847" w:type="dxa"/>
            <w:tcBorders>
              <w:top w:val="nil"/>
              <w:left w:val="nil"/>
              <w:bottom w:val="nil"/>
              <w:right w:val="nil"/>
            </w:tcBorders>
            <w:shd w:val="clear" w:color="auto" w:fill="auto"/>
            <w:noWrap/>
            <w:vAlign w:val="center"/>
            <w:hideMark/>
          </w:tcPr>
          <w:p w14:paraId="52CAE91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52,401</w:t>
            </w:r>
          </w:p>
        </w:tc>
        <w:tc>
          <w:tcPr>
            <w:tcW w:w="847" w:type="dxa"/>
            <w:tcBorders>
              <w:top w:val="nil"/>
              <w:left w:val="nil"/>
              <w:bottom w:val="nil"/>
              <w:right w:val="nil"/>
            </w:tcBorders>
            <w:shd w:val="clear" w:color="auto" w:fill="auto"/>
            <w:noWrap/>
            <w:vAlign w:val="center"/>
            <w:hideMark/>
          </w:tcPr>
          <w:p w14:paraId="4D5CB0F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58,030</w:t>
            </w:r>
          </w:p>
        </w:tc>
        <w:tc>
          <w:tcPr>
            <w:tcW w:w="880" w:type="dxa"/>
            <w:tcBorders>
              <w:top w:val="nil"/>
              <w:left w:val="nil"/>
              <w:bottom w:val="nil"/>
              <w:right w:val="nil"/>
            </w:tcBorders>
            <w:shd w:val="clear" w:color="auto" w:fill="auto"/>
            <w:noWrap/>
            <w:vAlign w:val="center"/>
            <w:hideMark/>
          </w:tcPr>
          <w:p w14:paraId="77FE6BA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50,990</w:t>
            </w:r>
          </w:p>
        </w:tc>
        <w:tc>
          <w:tcPr>
            <w:tcW w:w="768" w:type="dxa"/>
            <w:tcBorders>
              <w:top w:val="nil"/>
              <w:left w:val="nil"/>
              <w:bottom w:val="nil"/>
              <w:right w:val="nil"/>
            </w:tcBorders>
            <w:shd w:val="clear" w:color="auto" w:fill="auto"/>
            <w:noWrap/>
            <w:vAlign w:val="center"/>
            <w:hideMark/>
          </w:tcPr>
          <w:p w14:paraId="76755AD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50,845</w:t>
            </w:r>
          </w:p>
        </w:tc>
        <w:tc>
          <w:tcPr>
            <w:tcW w:w="847" w:type="dxa"/>
            <w:tcBorders>
              <w:top w:val="nil"/>
              <w:left w:val="nil"/>
              <w:bottom w:val="nil"/>
              <w:right w:val="nil"/>
            </w:tcBorders>
            <w:shd w:val="clear" w:color="auto" w:fill="auto"/>
            <w:noWrap/>
            <w:vAlign w:val="center"/>
            <w:hideMark/>
          </w:tcPr>
          <w:p w14:paraId="0F2A83C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64,321</w:t>
            </w:r>
          </w:p>
        </w:tc>
        <w:tc>
          <w:tcPr>
            <w:tcW w:w="847" w:type="dxa"/>
            <w:tcBorders>
              <w:top w:val="nil"/>
              <w:left w:val="nil"/>
              <w:bottom w:val="nil"/>
              <w:right w:val="nil"/>
            </w:tcBorders>
            <w:shd w:val="clear" w:color="auto" w:fill="auto"/>
            <w:noWrap/>
            <w:vAlign w:val="center"/>
            <w:hideMark/>
          </w:tcPr>
          <w:p w14:paraId="6D0F5B5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119,986</w:t>
            </w:r>
          </w:p>
        </w:tc>
        <w:tc>
          <w:tcPr>
            <w:tcW w:w="847" w:type="dxa"/>
            <w:tcBorders>
              <w:top w:val="nil"/>
              <w:left w:val="nil"/>
              <w:bottom w:val="nil"/>
              <w:right w:val="nil"/>
            </w:tcBorders>
            <w:shd w:val="clear" w:color="auto" w:fill="auto"/>
            <w:noWrap/>
            <w:vAlign w:val="center"/>
            <w:hideMark/>
          </w:tcPr>
          <w:p w14:paraId="0130DD5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62,501</w:t>
            </w:r>
          </w:p>
        </w:tc>
        <w:tc>
          <w:tcPr>
            <w:tcW w:w="945" w:type="dxa"/>
            <w:tcBorders>
              <w:top w:val="nil"/>
              <w:left w:val="nil"/>
              <w:bottom w:val="nil"/>
            </w:tcBorders>
            <w:shd w:val="clear" w:color="auto" w:fill="auto"/>
            <w:noWrap/>
            <w:vAlign w:val="center"/>
            <w:hideMark/>
          </w:tcPr>
          <w:p w14:paraId="4AA85BCD"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502,665</w:t>
            </w:r>
          </w:p>
        </w:tc>
      </w:tr>
      <w:tr w:rsidR="0015649E" w:rsidRPr="0084045A" w14:paraId="73263889" w14:textId="77777777" w:rsidTr="00C3352F">
        <w:trPr>
          <w:trHeight w:val="212"/>
          <w:jc w:val="center"/>
        </w:trPr>
        <w:tc>
          <w:tcPr>
            <w:tcW w:w="728" w:type="dxa"/>
            <w:vMerge/>
            <w:shd w:val="clear" w:color="auto" w:fill="auto"/>
            <w:noWrap/>
            <w:textDirection w:val="btLr"/>
            <w:vAlign w:val="center"/>
            <w:hideMark/>
          </w:tcPr>
          <w:p w14:paraId="3D9312B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4E42F630" w14:textId="6B10654A"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w:t>
            </w:r>
            <w:r w:rsidR="0015649E"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79EB703E" w14:textId="55F6F46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9058</w:t>
            </w:r>
          </w:p>
        </w:tc>
        <w:tc>
          <w:tcPr>
            <w:tcW w:w="768" w:type="dxa"/>
            <w:tcBorders>
              <w:top w:val="nil"/>
              <w:left w:val="nil"/>
              <w:bottom w:val="single" w:sz="4" w:space="0" w:color="auto"/>
              <w:right w:val="nil"/>
            </w:tcBorders>
            <w:shd w:val="clear" w:color="auto" w:fill="auto"/>
            <w:noWrap/>
            <w:vAlign w:val="center"/>
            <w:hideMark/>
          </w:tcPr>
          <w:p w14:paraId="583DEE70" w14:textId="7E0B4BBD"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4798</w:t>
            </w:r>
          </w:p>
        </w:tc>
        <w:tc>
          <w:tcPr>
            <w:tcW w:w="847" w:type="dxa"/>
            <w:tcBorders>
              <w:top w:val="nil"/>
              <w:left w:val="nil"/>
              <w:bottom w:val="single" w:sz="4" w:space="0" w:color="auto"/>
              <w:right w:val="nil"/>
            </w:tcBorders>
            <w:shd w:val="clear" w:color="auto" w:fill="auto"/>
            <w:noWrap/>
            <w:vAlign w:val="center"/>
            <w:hideMark/>
          </w:tcPr>
          <w:p w14:paraId="5AF1188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20,495</w:t>
            </w:r>
          </w:p>
        </w:tc>
        <w:tc>
          <w:tcPr>
            <w:tcW w:w="847" w:type="dxa"/>
            <w:tcBorders>
              <w:top w:val="nil"/>
              <w:left w:val="nil"/>
              <w:bottom w:val="single" w:sz="4" w:space="0" w:color="auto"/>
              <w:right w:val="nil"/>
            </w:tcBorders>
            <w:shd w:val="clear" w:color="auto" w:fill="auto"/>
            <w:noWrap/>
            <w:vAlign w:val="center"/>
            <w:hideMark/>
          </w:tcPr>
          <w:p w14:paraId="6E46C4B6" w14:textId="12658B92"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8276</w:t>
            </w:r>
          </w:p>
        </w:tc>
        <w:tc>
          <w:tcPr>
            <w:tcW w:w="880" w:type="dxa"/>
            <w:tcBorders>
              <w:top w:val="nil"/>
              <w:left w:val="nil"/>
              <w:bottom w:val="single" w:sz="4" w:space="0" w:color="auto"/>
              <w:right w:val="nil"/>
            </w:tcBorders>
            <w:shd w:val="clear" w:color="auto" w:fill="auto"/>
            <w:noWrap/>
            <w:vAlign w:val="center"/>
            <w:hideMark/>
          </w:tcPr>
          <w:p w14:paraId="2BF579D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22,507</w:t>
            </w:r>
          </w:p>
        </w:tc>
        <w:tc>
          <w:tcPr>
            <w:tcW w:w="768" w:type="dxa"/>
            <w:tcBorders>
              <w:top w:val="nil"/>
              <w:left w:val="nil"/>
              <w:bottom w:val="single" w:sz="4" w:space="0" w:color="auto"/>
              <w:right w:val="nil"/>
            </w:tcBorders>
            <w:shd w:val="clear" w:color="auto" w:fill="auto"/>
            <w:noWrap/>
            <w:vAlign w:val="center"/>
            <w:hideMark/>
          </w:tcPr>
          <w:p w14:paraId="03512E51" w14:textId="5CA827E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7888</w:t>
            </w:r>
          </w:p>
        </w:tc>
        <w:tc>
          <w:tcPr>
            <w:tcW w:w="847" w:type="dxa"/>
            <w:tcBorders>
              <w:top w:val="nil"/>
              <w:left w:val="nil"/>
              <w:bottom w:val="single" w:sz="4" w:space="0" w:color="auto"/>
              <w:right w:val="nil"/>
            </w:tcBorders>
            <w:shd w:val="clear" w:color="auto" w:fill="auto"/>
            <w:noWrap/>
            <w:vAlign w:val="center"/>
            <w:hideMark/>
          </w:tcPr>
          <w:p w14:paraId="5C6A85C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21,408</w:t>
            </w:r>
          </w:p>
        </w:tc>
        <w:tc>
          <w:tcPr>
            <w:tcW w:w="847" w:type="dxa"/>
            <w:tcBorders>
              <w:top w:val="nil"/>
              <w:left w:val="nil"/>
              <w:bottom w:val="single" w:sz="4" w:space="0" w:color="auto"/>
              <w:right w:val="nil"/>
            </w:tcBorders>
            <w:shd w:val="clear" w:color="auto" w:fill="auto"/>
            <w:noWrap/>
            <w:vAlign w:val="center"/>
            <w:hideMark/>
          </w:tcPr>
          <w:p w14:paraId="7D9B37E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35,584</w:t>
            </w:r>
          </w:p>
        </w:tc>
        <w:tc>
          <w:tcPr>
            <w:tcW w:w="847" w:type="dxa"/>
            <w:tcBorders>
              <w:top w:val="nil"/>
              <w:left w:val="nil"/>
              <w:bottom w:val="single" w:sz="4" w:space="0" w:color="auto"/>
              <w:right w:val="nil"/>
            </w:tcBorders>
            <w:shd w:val="clear" w:color="auto" w:fill="auto"/>
            <w:noWrap/>
            <w:vAlign w:val="center"/>
            <w:hideMark/>
          </w:tcPr>
          <w:p w14:paraId="46BB84A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18,516</w:t>
            </w:r>
          </w:p>
        </w:tc>
        <w:tc>
          <w:tcPr>
            <w:tcW w:w="945" w:type="dxa"/>
            <w:tcBorders>
              <w:top w:val="nil"/>
              <w:left w:val="nil"/>
              <w:bottom w:val="single" w:sz="4" w:space="0" w:color="auto"/>
            </w:tcBorders>
            <w:shd w:val="clear" w:color="auto" w:fill="auto"/>
            <w:noWrap/>
            <w:vAlign w:val="center"/>
            <w:hideMark/>
          </w:tcPr>
          <w:p w14:paraId="22DC293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148,529</w:t>
            </w:r>
          </w:p>
        </w:tc>
      </w:tr>
      <w:tr w:rsidR="0015649E" w:rsidRPr="0084045A" w14:paraId="26B389B2" w14:textId="77777777" w:rsidTr="00C3352F">
        <w:trPr>
          <w:trHeight w:val="212"/>
          <w:jc w:val="center"/>
        </w:trPr>
        <w:tc>
          <w:tcPr>
            <w:tcW w:w="728" w:type="dxa"/>
            <w:vMerge w:val="restart"/>
            <w:shd w:val="clear" w:color="auto" w:fill="auto"/>
            <w:noWrap/>
            <w:textDirection w:val="btLr"/>
            <w:vAlign w:val="center"/>
            <w:hideMark/>
          </w:tcPr>
          <w:p w14:paraId="1C53CEE4"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Coahuila</w:t>
            </w:r>
          </w:p>
        </w:tc>
        <w:tc>
          <w:tcPr>
            <w:tcW w:w="753" w:type="dxa"/>
            <w:tcBorders>
              <w:bottom w:val="nil"/>
              <w:right w:val="nil"/>
            </w:tcBorders>
            <w:vAlign w:val="center"/>
          </w:tcPr>
          <w:p w14:paraId="5634C2B0" w14:textId="6F0AC948"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411DCD2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38,611</w:t>
            </w:r>
          </w:p>
        </w:tc>
        <w:tc>
          <w:tcPr>
            <w:tcW w:w="768" w:type="dxa"/>
            <w:tcBorders>
              <w:left w:val="nil"/>
              <w:bottom w:val="nil"/>
              <w:right w:val="nil"/>
            </w:tcBorders>
            <w:shd w:val="clear" w:color="auto" w:fill="auto"/>
            <w:noWrap/>
            <w:vAlign w:val="center"/>
            <w:hideMark/>
          </w:tcPr>
          <w:p w14:paraId="2F551F2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13,302</w:t>
            </w:r>
          </w:p>
        </w:tc>
        <w:tc>
          <w:tcPr>
            <w:tcW w:w="847" w:type="dxa"/>
            <w:tcBorders>
              <w:left w:val="nil"/>
              <w:bottom w:val="nil"/>
              <w:right w:val="nil"/>
            </w:tcBorders>
            <w:shd w:val="clear" w:color="auto" w:fill="auto"/>
            <w:noWrap/>
            <w:vAlign w:val="center"/>
            <w:hideMark/>
          </w:tcPr>
          <w:p w14:paraId="6F97D80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50,818</w:t>
            </w:r>
          </w:p>
        </w:tc>
        <w:tc>
          <w:tcPr>
            <w:tcW w:w="847" w:type="dxa"/>
            <w:tcBorders>
              <w:left w:val="nil"/>
              <w:bottom w:val="nil"/>
              <w:right w:val="nil"/>
            </w:tcBorders>
            <w:shd w:val="clear" w:color="auto" w:fill="auto"/>
            <w:noWrap/>
            <w:vAlign w:val="center"/>
            <w:hideMark/>
          </w:tcPr>
          <w:p w14:paraId="2F486B3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36,513</w:t>
            </w:r>
          </w:p>
        </w:tc>
        <w:tc>
          <w:tcPr>
            <w:tcW w:w="880" w:type="dxa"/>
            <w:tcBorders>
              <w:left w:val="nil"/>
              <w:bottom w:val="nil"/>
              <w:right w:val="nil"/>
            </w:tcBorders>
            <w:shd w:val="clear" w:color="auto" w:fill="auto"/>
            <w:noWrap/>
            <w:vAlign w:val="center"/>
            <w:hideMark/>
          </w:tcPr>
          <w:p w14:paraId="0846575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46,660</w:t>
            </w:r>
          </w:p>
        </w:tc>
        <w:tc>
          <w:tcPr>
            <w:tcW w:w="768" w:type="dxa"/>
            <w:tcBorders>
              <w:left w:val="nil"/>
              <w:bottom w:val="nil"/>
              <w:right w:val="nil"/>
            </w:tcBorders>
            <w:shd w:val="clear" w:color="auto" w:fill="auto"/>
            <w:noWrap/>
            <w:vAlign w:val="center"/>
            <w:hideMark/>
          </w:tcPr>
          <w:p w14:paraId="0D91016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33,455</w:t>
            </w:r>
          </w:p>
        </w:tc>
        <w:tc>
          <w:tcPr>
            <w:tcW w:w="847" w:type="dxa"/>
            <w:tcBorders>
              <w:left w:val="nil"/>
              <w:bottom w:val="nil"/>
              <w:right w:val="nil"/>
            </w:tcBorders>
            <w:shd w:val="clear" w:color="auto" w:fill="auto"/>
            <w:noWrap/>
            <w:vAlign w:val="center"/>
            <w:hideMark/>
          </w:tcPr>
          <w:p w14:paraId="0EEF24E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33,862</w:t>
            </w:r>
          </w:p>
        </w:tc>
        <w:tc>
          <w:tcPr>
            <w:tcW w:w="847" w:type="dxa"/>
            <w:tcBorders>
              <w:left w:val="nil"/>
              <w:bottom w:val="nil"/>
              <w:right w:val="nil"/>
            </w:tcBorders>
            <w:shd w:val="clear" w:color="auto" w:fill="auto"/>
            <w:noWrap/>
            <w:vAlign w:val="center"/>
            <w:hideMark/>
          </w:tcPr>
          <w:p w14:paraId="0768A2D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59,583</w:t>
            </w:r>
          </w:p>
        </w:tc>
        <w:tc>
          <w:tcPr>
            <w:tcW w:w="847" w:type="dxa"/>
            <w:tcBorders>
              <w:left w:val="nil"/>
              <w:bottom w:val="nil"/>
              <w:right w:val="nil"/>
            </w:tcBorders>
            <w:shd w:val="clear" w:color="auto" w:fill="auto"/>
            <w:noWrap/>
            <w:vAlign w:val="center"/>
            <w:hideMark/>
          </w:tcPr>
          <w:p w14:paraId="543CE16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40,650</w:t>
            </w:r>
          </w:p>
        </w:tc>
        <w:tc>
          <w:tcPr>
            <w:tcW w:w="945" w:type="dxa"/>
            <w:tcBorders>
              <w:left w:val="nil"/>
              <w:bottom w:val="nil"/>
            </w:tcBorders>
            <w:shd w:val="clear" w:color="auto" w:fill="auto"/>
            <w:noWrap/>
            <w:vAlign w:val="center"/>
            <w:hideMark/>
          </w:tcPr>
          <w:p w14:paraId="3EA04CEA"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353,453</w:t>
            </w:r>
          </w:p>
        </w:tc>
      </w:tr>
      <w:tr w:rsidR="0015649E" w:rsidRPr="0084045A" w14:paraId="424BCDCD" w14:textId="77777777" w:rsidTr="00C3352F">
        <w:trPr>
          <w:trHeight w:val="212"/>
          <w:jc w:val="center"/>
        </w:trPr>
        <w:tc>
          <w:tcPr>
            <w:tcW w:w="728" w:type="dxa"/>
            <w:vMerge/>
            <w:shd w:val="clear" w:color="auto" w:fill="auto"/>
            <w:noWrap/>
            <w:textDirection w:val="btLr"/>
            <w:vAlign w:val="center"/>
            <w:hideMark/>
          </w:tcPr>
          <w:p w14:paraId="50B63F9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AB25A18" w14:textId="0BD8C3AC"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27374D8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58,133</w:t>
            </w:r>
          </w:p>
        </w:tc>
        <w:tc>
          <w:tcPr>
            <w:tcW w:w="768" w:type="dxa"/>
            <w:tcBorders>
              <w:top w:val="nil"/>
              <w:left w:val="nil"/>
              <w:bottom w:val="nil"/>
              <w:right w:val="nil"/>
            </w:tcBorders>
            <w:shd w:val="clear" w:color="auto" w:fill="auto"/>
            <w:noWrap/>
            <w:vAlign w:val="center"/>
            <w:hideMark/>
          </w:tcPr>
          <w:p w14:paraId="0FA6AD0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26,408</w:t>
            </w:r>
          </w:p>
        </w:tc>
        <w:tc>
          <w:tcPr>
            <w:tcW w:w="847" w:type="dxa"/>
            <w:tcBorders>
              <w:top w:val="nil"/>
              <w:left w:val="nil"/>
              <w:bottom w:val="nil"/>
              <w:right w:val="nil"/>
            </w:tcBorders>
            <w:shd w:val="clear" w:color="auto" w:fill="auto"/>
            <w:noWrap/>
            <w:vAlign w:val="center"/>
            <w:hideMark/>
          </w:tcPr>
          <w:p w14:paraId="0848D61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88,775</w:t>
            </w:r>
          </w:p>
        </w:tc>
        <w:tc>
          <w:tcPr>
            <w:tcW w:w="847" w:type="dxa"/>
            <w:tcBorders>
              <w:top w:val="nil"/>
              <w:left w:val="nil"/>
              <w:bottom w:val="nil"/>
              <w:right w:val="nil"/>
            </w:tcBorders>
            <w:shd w:val="clear" w:color="auto" w:fill="auto"/>
            <w:noWrap/>
            <w:vAlign w:val="center"/>
            <w:hideMark/>
          </w:tcPr>
          <w:p w14:paraId="6D49DD1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53,266</w:t>
            </w:r>
          </w:p>
        </w:tc>
        <w:tc>
          <w:tcPr>
            <w:tcW w:w="880" w:type="dxa"/>
            <w:tcBorders>
              <w:top w:val="nil"/>
              <w:left w:val="nil"/>
              <w:bottom w:val="nil"/>
              <w:right w:val="nil"/>
            </w:tcBorders>
            <w:shd w:val="clear" w:color="auto" w:fill="auto"/>
            <w:noWrap/>
            <w:vAlign w:val="center"/>
            <w:hideMark/>
          </w:tcPr>
          <w:p w14:paraId="45B37FB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85,821</w:t>
            </w:r>
          </w:p>
        </w:tc>
        <w:tc>
          <w:tcPr>
            <w:tcW w:w="768" w:type="dxa"/>
            <w:tcBorders>
              <w:top w:val="nil"/>
              <w:left w:val="nil"/>
              <w:bottom w:val="nil"/>
              <w:right w:val="nil"/>
            </w:tcBorders>
            <w:shd w:val="clear" w:color="auto" w:fill="auto"/>
            <w:noWrap/>
            <w:vAlign w:val="center"/>
            <w:hideMark/>
          </w:tcPr>
          <w:p w14:paraId="123675F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58,664</w:t>
            </w:r>
          </w:p>
        </w:tc>
        <w:tc>
          <w:tcPr>
            <w:tcW w:w="847" w:type="dxa"/>
            <w:tcBorders>
              <w:top w:val="nil"/>
              <w:left w:val="nil"/>
              <w:bottom w:val="nil"/>
              <w:right w:val="nil"/>
            </w:tcBorders>
            <w:shd w:val="clear" w:color="auto" w:fill="auto"/>
            <w:noWrap/>
            <w:vAlign w:val="center"/>
            <w:hideMark/>
          </w:tcPr>
          <w:p w14:paraId="4E57E48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80,544</w:t>
            </w:r>
          </w:p>
        </w:tc>
        <w:tc>
          <w:tcPr>
            <w:tcW w:w="847" w:type="dxa"/>
            <w:tcBorders>
              <w:top w:val="nil"/>
              <w:left w:val="nil"/>
              <w:bottom w:val="nil"/>
              <w:right w:val="nil"/>
            </w:tcBorders>
            <w:shd w:val="clear" w:color="auto" w:fill="auto"/>
            <w:noWrap/>
            <w:vAlign w:val="center"/>
            <w:hideMark/>
          </w:tcPr>
          <w:p w14:paraId="1CE64B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101,953</w:t>
            </w:r>
          </w:p>
        </w:tc>
        <w:tc>
          <w:tcPr>
            <w:tcW w:w="847" w:type="dxa"/>
            <w:tcBorders>
              <w:top w:val="nil"/>
              <w:left w:val="nil"/>
              <w:bottom w:val="nil"/>
              <w:right w:val="nil"/>
            </w:tcBorders>
            <w:shd w:val="clear" w:color="auto" w:fill="auto"/>
            <w:noWrap/>
            <w:vAlign w:val="center"/>
            <w:hideMark/>
          </w:tcPr>
          <w:p w14:paraId="49E6C79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70,258</w:t>
            </w:r>
          </w:p>
        </w:tc>
        <w:tc>
          <w:tcPr>
            <w:tcW w:w="945" w:type="dxa"/>
            <w:tcBorders>
              <w:top w:val="nil"/>
              <w:left w:val="nil"/>
              <w:bottom w:val="nil"/>
            </w:tcBorders>
            <w:shd w:val="clear" w:color="auto" w:fill="auto"/>
            <w:noWrap/>
            <w:vAlign w:val="center"/>
            <w:hideMark/>
          </w:tcPr>
          <w:p w14:paraId="3584CA2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623,823</w:t>
            </w:r>
          </w:p>
        </w:tc>
      </w:tr>
      <w:tr w:rsidR="0015649E" w:rsidRPr="0084045A" w14:paraId="2FB1EA9A" w14:textId="77777777" w:rsidTr="00C3352F">
        <w:trPr>
          <w:trHeight w:val="212"/>
          <w:jc w:val="center"/>
        </w:trPr>
        <w:tc>
          <w:tcPr>
            <w:tcW w:w="728" w:type="dxa"/>
            <w:vMerge/>
            <w:shd w:val="clear" w:color="auto" w:fill="auto"/>
            <w:noWrap/>
            <w:textDirection w:val="btLr"/>
            <w:vAlign w:val="center"/>
            <w:hideMark/>
          </w:tcPr>
          <w:p w14:paraId="7122FB9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661A28E4" w14:textId="15D76259"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149FA1A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73,515</w:t>
            </w:r>
          </w:p>
        </w:tc>
        <w:tc>
          <w:tcPr>
            <w:tcW w:w="768" w:type="dxa"/>
            <w:tcBorders>
              <w:top w:val="nil"/>
              <w:left w:val="nil"/>
              <w:bottom w:val="nil"/>
              <w:right w:val="nil"/>
            </w:tcBorders>
            <w:shd w:val="clear" w:color="auto" w:fill="auto"/>
            <w:noWrap/>
            <w:vAlign w:val="center"/>
            <w:hideMark/>
          </w:tcPr>
          <w:p w14:paraId="4B09299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35,031</w:t>
            </w:r>
          </w:p>
        </w:tc>
        <w:tc>
          <w:tcPr>
            <w:tcW w:w="847" w:type="dxa"/>
            <w:tcBorders>
              <w:top w:val="nil"/>
              <w:left w:val="nil"/>
              <w:bottom w:val="nil"/>
              <w:right w:val="nil"/>
            </w:tcBorders>
            <w:shd w:val="clear" w:color="auto" w:fill="auto"/>
            <w:noWrap/>
            <w:vAlign w:val="center"/>
            <w:hideMark/>
          </w:tcPr>
          <w:p w14:paraId="398D0F8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116,158</w:t>
            </w:r>
          </w:p>
        </w:tc>
        <w:tc>
          <w:tcPr>
            <w:tcW w:w="847" w:type="dxa"/>
            <w:tcBorders>
              <w:top w:val="nil"/>
              <w:left w:val="nil"/>
              <w:bottom w:val="nil"/>
              <w:right w:val="nil"/>
            </w:tcBorders>
            <w:shd w:val="clear" w:color="auto" w:fill="auto"/>
            <w:noWrap/>
            <w:vAlign w:val="center"/>
            <w:hideMark/>
          </w:tcPr>
          <w:p w14:paraId="73994BB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134,702</w:t>
            </w:r>
          </w:p>
        </w:tc>
        <w:tc>
          <w:tcPr>
            <w:tcW w:w="880" w:type="dxa"/>
            <w:tcBorders>
              <w:top w:val="nil"/>
              <w:left w:val="nil"/>
              <w:bottom w:val="nil"/>
              <w:right w:val="nil"/>
            </w:tcBorders>
            <w:shd w:val="clear" w:color="auto" w:fill="auto"/>
            <w:noWrap/>
            <w:vAlign w:val="center"/>
            <w:hideMark/>
          </w:tcPr>
          <w:p w14:paraId="5AFA82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89,716</w:t>
            </w:r>
          </w:p>
        </w:tc>
        <w:tc>
          <w:tcPr>
            <w:tcW w:w="768" w:type="dxa"/>
            <w:tcBorders>
              <w:top w:val="nil"/>
              <w:left w:val="nil"/>
              <w:bottom w:val="nil"/>
              <w:right w:val="nil"/>
            </w:tcBorders>
            <w:shd w:val="clear" w:color="auto" w:fill="auto"/>
            <w:noWrap/>
            <w:vAlign w:val="center"/>
            <w:hideMark/>
          </w:tcPr>
          <w:p w14:paraId="5771F13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106,252</w:t>
            </w:r>
          </w:p>
        </w:tc>
        <w:tc>
          <w:tcPr>
            <w:tcW w:w="847" w:type="dxa"/>
            <w:tcBorders>
              <w:top w:val="nil"/>
              <w:left w:val="nil"/>
              <w:bottom w:val="nil"/>
              <w:right w:val="nil"/>
            </w:tcBorders>
            <w:shd w:val="clear" w:color="auto" w:fill="auto"/>
            <w:noWrap/>
            <w:vAlign w:val="center"/>
            <w:hideMark/>
          </w:tcPr>
          <w:p w14:paraId="493EC01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90,608</w:t>
            </w:r>
          </w:p>
        </w:tc>
        <w:tc>
          <w:tcPr>
            <w:tcW w:w="847" w:type="dxa"/>
            <w:tcBorders>
              <w:top w:val="nil"/>
              <w:left w:val="nil"/>
              <w:bottom w:val="nil"/>
              <w:right w:val="nil"/>
            </w:tcBorders>
            <w:shd w:val="clear" w:color="auto" w:fill="auto"/>
            <w:noWrap/>
            <w:vAlign w:val="center"/>
            <w:hideMark/>
          </w:tcPr>
          <w:p w14:paraId="075B08C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154,032</w:t>
            </w:r>
          </w:p>
        </w:tc>
        <w:tc>
          <w:tcPr>
            <w:tcW w:w="847" w:type="dxa"/>
            <w:tcBorders>
              <w:top w:val="nil"/>
              <w:left w:val="nil"/>
              <w:bottom w:val="nil"/>
              <w:right w:val="nil"/>
            </w:tcBorders>
            <w:shd w:val="clear" w:color="auto" w:fill="auto"/>
            <w:noWrap/>
            <w:vAlign w:val="center"/>
            <w:hideMark/>
          </w:tcPr>
          <w:p w14:paraId="4A6D2B9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104,825</w:t>
            </w:r>
          </w:p>
        </w:tc>
        <w:tc>
          <w:tcPr>
            <w:tcW w:w="945" w:type="dxa"/>
            <w:tcBorders>
              <w:top w:val="nil"/>
              <w:left w:val="nil"/>
              <w:bottom w:val="nil"/>
            </w:tcBorders>
            <w:shd w:val="clear" w:color="auto" w:fill="auto"/>
            <w:noWrap/>
            <w:vAlign w:val="center"/>
            <w:hideMark/>
          </w:tcPr>
          <w:p w14:paraId="592D08A8"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904,839</w:t>
            </w:r>
          </w:p>
        </w:tc>
      </w:tr>
      <w:tr w:rsidR="0015649E" w:rsidRPr="0084045A" w14:paraId="59E14BB0" w14:textId="77777777" w:rsidTr="00C3352F">
        <w:trPr>
          <w:trHeight w:val="212"/>
          <w:jc w:val="center"/>
        </w:trPr>
        <w:tc>
          <w:tcPr>
            <w:tcW w:w="728" w:type="dxa"/>
            <w:vMerge/>
            <w:shd w:val="clear" w:color="auto" w:fill="auto"/>
            <w:noWrap/>
            <w:textDirection w:val="btLr"/>
            <w:vAlign w:val="center"/>
            <w:hideMark/>
          </w:tcPr>
          <w:p w14:paraId="5781DA0E"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B972933" w14:textId="02E4A10A"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6114426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25,754</w:t>
            </w:r>
          </w:p>
        </w:tc>
        <w:tc>
          <w:tcPr>
            <w:tcW w:w="768" w:type="dxa"/>
            <w:tcBorders>
              <w:top w:val="nil"/>
              <w:left w:val="nil"/>
              <w:bottom w:val="nil"/>
              <w:right w:val="nil"/>
            </w:tcBorders>
            <w:shd w:val="clear" w:color="auto" w:fill="auto"/>
            <w:noWrap/>
            <w:vAlign w:val="center"/>
            <w:hideMark/>
          </w:tcPr>
          <w:p w14:paraId="614417B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10,348</w:t>
            </w:r>
          </w:p>
        </w:tc>
        <w:tc>
          <w:tcPr>
            <w:tcW w:w="847" w:type="dxa"/>
            <w:tcBorders>
              <w:top w:val="nil"/>
              <w:left w:val="nil"/>
              <w:bottom w:val="nil"/>
              <w:right w:val="nil"/>
            </w:tcBorders>
            <w:shd w:val="clear" w:color="auto" w:fill="auto"/>
            <w:noWrap/>
            <w:vAlign w:val="center"/>
            <w:hideMark/>
          </w:tcPr>
          <w:p w14:paraId="0C4EF7C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43,451</w:t>
            </w:r>
          </w:p>
        </w:tc>
        <w:tc>
          <w:tcPr>
            <w:tcW w:w="847" w:type="dxa"/>
            <w:tcBorders>
              <w:top w:val="nil"/>
              <w:left w:val="nil"/>
              <w:bottom w:val="nil"/>
              <w:right w:val="nil"/>
            </w:tcBorders>
            <w:shd w:val="clear" w:color="auto" w:fill="auto"/>
            <w:noWrap/>
            <w:vAlign w:val="center"/>
            <w:hideMark/>
          </w:tcPr>
          <w:p w14:paraId="4C84C33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48,150</w:t>
            </w:r>
          </w:p>
        </w:tc>
        <w:tc>
          <w:tcPr>
            <w:tcW w:w="880" w:type="dxa"/>
            <w:tcBorders>
              <w:top w:val="nil"/>
              <w:left w:val="nil"/>
              <w:bottom w:val="nil"/>
              <w:right w:val="nil"/>
            </w:tcBorders>
            <w:shd w:val="clear" w:color="auto" w:fill="auto"/>
            <w:noWrap/>
            <w:vAlign w:val="center"/>
            <w:hideMark/>
          </w:tcPr>
          <w:p w14:paraId="1C42161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42,337</w:t>
            </w:r>
          </w:p>
        </w:tc>
        <w:tc>
          <w:tcPr>
            <w:tcW w:w="768" w:type="dxa"/>
            <w:tcBorders>
              <w:top w:val="nil"/>
              <w:left w:val="nil"/>
              <w:bottom w:val="nil"/>
              <w:right w:val="nil"/>
            </w:tcBorders>
            <w:shd w:val="clear" w:color="auto" w:fill="auto"/>
            <w:noWrap/>
            <w:vAlign w:val="center"/>
            <w:hideMark/>
          </w:tcPr>
          <w:p w14:paraId="2E55FC3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42,245</w:t>
            </w:r>
          </w:p>
        </w:tc>
        <w:tc>
          <w:tcPr>
            <w:tcW w:w="847" w:type="dxa"/>
            <w:tcBorders>
              <w:top w:val="nil"/>
              <w:left w:val="nil"/>
              <w:bottom w:val="nil"/>
              <w:right w:val="nil"/>
            </w:tcBorders>
            <w:shd w:val="clear" w:color="auto" w:fill="auto"/>
            <w:noWrap/>
            <w:vAlign w:val="center"/>
            <w:hideMark/>
          </w:tcPr>
          <w:p w14:paraId="33B8D87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53,428</w:t>
            </w:r>
          </w:p>
        </w:tc>
        <w:tc>
          <w:tcPr>
            <w:tcW w:w="847" w:type="dxa"/>
            <w:tcBorders>
              <w:top w:val="nil"/>
              <w:left w:val="nil"/>
              <w:bottom w:val="nil"/>
              <w:right w:val="nil"/>
            </w:tcBorders>
            <w:shd w:val="clear" w:color="auto" w:fill="auto"/>
            <w:noWrap/>
            <w:vAlign w:val="center"/>
            <w:hideMark/>
          </w:tcPr>
          <w:p w14:paraId="55551FF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99,671</w:t>
            </w:r>
          </w:p>
        </w:tc>
        <w:tc>
          <w:tcPr>
            <w:tcW w:w="847" w:type="dxa"/>
            <w:tcBorders>
              <w:top w:val="nil"/>
              <w:left w:val="nil"/>
              <w:bottom w:val="nil"/>
              <w:right w:val="nil"/>
            </w:tcBorders>
            <w:shd w:val="clear" w:color="auto" w:fill="auto"/>
            <w:noWrap/>
            <w:vAlign w:val="center"/>
            <w:hideMark/>
          </w:tcPr>
          <w:p w14:paraId="3DB79B7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51,940</w:t>
            </w:r>
          </w:p>
        </w:tc>
        <w:tc>
          <w:tcPr>
            <w:tcW w:w="945" w:type="dxa"/>
            <w:tcBorders>
              <w:top w:val="nil"/>
              <w:left w:val="nil"/>
              <w:bottom w:val="nil"/>
            </w:tcBorders>
            <w:shd w:val="clear" w:color="auto" w:fill="auto"/>
            <w:noWrap/>
            <w:vAlign w:val="center"/>
            <w:hideMark/>
          </w:tcPr>
          <w:p w14:paraId="47D5386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417,325</w:t>
            </w:r>
          </w:p>
        </w:tc>
      </w:tr>
      <w:tr w:rsidR="0015649E" w:rsidRPr="0084045A" w14:paraId="78E74BFF" w14:textId="77777777" w:rsidTr="00C3352F">
        <w:trPr>
          <w:trHeight w:val="212"/>
          <w:jc w:val="center"/>
        </w:trPr>
        <w:tc>
          <w:tcPr>
            <w:tcW w:w="728" w:type="dxa"/>
            <w:vMerge/>
            <w:shd w:val="clear" w:color="auto" w:fill="auto"/>
            <w:noWrap/>
            <w:textDirection w:val="btLr"/>
            <w:vAlign w:val="center"/>
            <w:hideMark/>
          </w:tcPr>
          <w:p w14:paraId="3321865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282B848F" w14:textId="1802B2A9"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28892A55" w14:textId="3A0F5D73"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7319</w:t>
            </w:r>
          </w:p>
        </w:tc>
        <w:tc>
          <w:tcPr>
            <w:tcW w:w="768" w:type="dxa"/>
            <w:tcBorders>
              <w:top w:val="nil"/>
              <w:left w:val="nil"/>
              <w:bottom w:val="single" w:sz="4" w:space="0" w:color="auto"/>
              <w:right w:val="nil"/>
            </w:tcBorders>
            <w:shd w:val="clear" w:color="auto" w:fill="auto"/>
            <w:noWrap/>
            <w:vAlign w:val="center"/>
            <w:hideMark/>
          </w:tcPr>
          <w:p w14:paraId="3129C430" w14:textId="7A80D5C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3900</w:t>
            </w:r>
          </w:p>
        </w:tc>
        <w:tc>
          <w:tcPr>
            <w:tcW w:w="847" w:type="dxa"/>
            <w:tcBorders>
              <w:top w:val="nil"/>
              <w:left w:val="nil"/>
              <w:bottom w:val="single" w:sz="4" w:space="0" w:color="auto"/>
              <w:right w:val="nil"/>
            </w:tcBorders>
            <w:shd w:val="clear" w:color="auto" w:fill="auto"/>
            <w:noWrap/>
            <w:vAlign w:val="center"/>
            <w:hideMark/>
          </w:tcPr>
          <w:p w14:paraId="2A583FF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16,761</w:t>
            </w:r>
          </w:p>
        </w:tc>
        <w:tc>
          <w:tcPr>
            <w:tcW w:w="847" w:type="dxa"/>
            <w:tcBorders>
              <w:top w:val="nil"/>
              <w:left w:val="nil"/>
              <w:bottom w:val="single" w:sz="4" w:space="0" w:color="auto"/>
              <w:right w:val="nil"/>
            </w:tcBorders>
            <w:shd w:val="clear" w:color="auto" w:fill="auto"/>
            <w:noWrap/>
            <w:vAlign w:val="center"/>
            <w:hideMark/>
          </w:tcPr>
          <w:p w14:paraId="169A374E" w14:textId="3B95F45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6809</w:t>
            </w:r>
          </w:p>
        </w:tc>
        <w:tc>
          <w:tcPr>
            <w:tcW w:w="880" w:type="dxa"/>
            <w:tcBorders>
              <w:top w:val="nil"/>
              <w:left w:val="nil"/>
              <w:bottom w:val="single" w:sz="4" w:space="0" w:color="auto"/>
              <w:right w:val="nil"/>
            </w:tcBorders>
            <w:shd w:val="clear" w:color="auto" w:fill="auto"/>
            <w:noWrap/>
            <w:vAlign w:val="center"/>
            <w:hideMark/>
          </w:tcPr>
          <w:p w14:paraId="35485FA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18,630</w:t>
            </w:r>
          </w:p>
        </w:tc>
        <w:tc>
          <w:tcPr>
            <w:tcW w:w="768" w:type="dxa"/>
            <w:tcBorders>
              <w:top w:val="nil"/>
              <w:left w:val="nil"/>
              <w:bottom w:val="single" w:sz="4" w:space="0" w:color="auto"/>
              <w:right w:val="nil"/>
            </w:tcBorders>
            <w:shd w:val="clear" w:color="auto" w:fill="auto"/>
            <w:noWrap/>
            <w:vAlign w:val="center"/>
            <w:hideMark/>
          </w:tcPr>
          <w:p w14:paraId="3489C1D0" w14:textId="02CB2DD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6569</w:t>
            </w:r>
          </w:p>
        </w:tc>
        <w:tc>
          <w:tcPr>
            <w:tcW w:w="847" w:type="dxa"/>
            <w:tcBorders>
              <w:top w:val="nil"/>
              <w:left w:val="nil"/>
              <w:bottom w:val="single" w:sz="4" w:space="0" w:color="auto"/>
              <w:right w:val="nil"/>
            </w:tcBorders>
            <w:shd w:val="clear" w:color="auto" w:fill="auto"/>
            <w:noWrap/>
            <w:vAlign w:val="center"/>
            <w:hideMark/>
          </w:tcPr>
          <w:p w14:paraId="23DD1AF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17,827</w:t>
            </w:r>
          </w:p>
        </w:tc>
        <w:tc>
          <w:tcPr>
            <w:tcW w:w="847" w:type="dxa"/>
            <w:tcBorders>
              <w:top w:val="nil"/>
              <w:left w:val="nil"/>
              <w:bottom w:val="single" w:sz="4" w:space="0" w:color="auto"/>
              <w:right w:val="nil"/>
            </w:tcBorders>
            <w:shd w:val="clear" w:color="auto" w:fill="auto"/>
            <w:noWrap/>
            <w:vAlign w:val="center"/>
            <w:hideMark/>
          </w:tcPr>
          <w:p w14:paraId="746107E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29,636</w:t>
            </w:r>
          </w:p>
        </w:tc>
        <w:tc>
          <w:tcPr>
            <w:tcW w:w="847" w:type="dxa"/>
            <w:tcBorders>
              <w:top w:val="nil"/>
              <w:left w:val="nil"/>
              <w:bottom w:val="single" w:sz="4" w:space="0" w:color="auto"/>
              <w:right w:val="nil"/>
            </w:tcBorders>
            <w:shd w:val="clear" w:color="auto" w:fill="auto"/>
            <w:noWrap/>
            <w:vAlign w:val="center"/>
            <w:hideMark/>
          </w:tcPr>
          <w:p w14:paraId="4978A79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15,426</w:t>
            </w:r>
          </w:p>
        </w:tc>
        <w:tc>
          <w:tcPr>
            <w:tcW w:w="945" w:type="dxa"/>
            <w:tcBorders>
              <w:top w:val="nil"/>
              <w:left w:val="nil"/>
              <w:bottom w:val="single" w:sz="4" w:space="0" w:color="auto"/>
            </w:tcBorders>
            <w:shd w:val="clear" w:color="auto" w:fill="auto"/>
            <w:noWrap/>
            <w:vAlign w:val="center"/>
            <w:hideMark/>
          </w:tcPr>
          <w:p w14:paraId="34C15BB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122,878</w:t>
            </w:r>
          </w:p>
        </w:tc>
      </w:tr>
      <w:tr w:rsidR="0015649E" w:rsidRPr="0084045A" w14:paraId="0EA7102D" w14:textId="77777777" w:rsidTr="00C3352F">
        <w:trPr>
          <w:trHeight w:val="212"/>
          <w:jc w:val="center"/>
        </w:trPr>
        <w:tc>
          <w:tcPr>
            <w:tcW w:w="728" w:type="dxa"/>
            <w:vMerge w:val="restart"/>
            <w:shd w:val="clear" w:color="auto" w:fill="auto"/>
            <w:noWrap/>
            <w:textDirection w:val="btLr"/>
            <w:vAlign w:val="center"/>
            <w:hideMark/>
          </w:tcPr>
          <w:p w14:paraId="5C5B666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Colima</w:t>
            </w:r>
          </w:p>
        </w:tc>
        <w:tc>
          <w:tcPr>
            <w:tcW w:w="753" w:type="dxa"/>
            <w:tcBorders>
              <w:bottom w:val="nil"/>
              <w:right w:val="nil"/>
            </w:tcBorders>
            <w:vAlign w:val="center"/>
          </w:tcPr>
          <w:p w14:paraId="3974657E" w14:textId="3A8CAF7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41667814" w14:textId="47AA0CC2"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8541</w:t>
            </w:r>
          </w:p>
        </w:tc>
        <w:tc>
          <w:tcPr>
            <w:tcW w:w="768" w:type="dxa"/>
            <w:tcBorders>
              <w:left w:val="nil"/>
              <w:bottom w:val="nil"/>
              <w:right w:val="nil"/>
            </w:tcBorders>
            <w:shd w:val="clear" w:color="auto" w:fill="auto"/>
            <w:noWrap/>
            <w:vAlign w:val="center"/>
            <w:hideMark/>
          </w:tcPr>
          <w:p w14:paraId="131960EC" w14:textId="61B85A2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2963</w:t>
            </w:r>
          </w:p>
        </w:tc>
        <w:tc>
          <w:tcPr>
            <w:tcW w:w="847" w:type="dxa"/>
            <w:tcBorders>
              <w:left w:val="nil"/>
              <w:bottom w:val="nil"/>
              <w:right w:val="nil"/>
            </w:tcBorders>
            <w:shd w:val="clear" w:color="auto" w:fill="auto"/>
            <w:noWrap/>
            <w:vAlign w:val="center"/>
            <w:hideMark/>
          </w:tcPr>
          <w:p w14:paraId="4FA8066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11,397</w:t>
            </w:r>
          </w:p>
        </w:tc>
        <w:tc>
          <w:tcPr>
            <w:tcW w:w="847" w:type="dxa"/>
            <w:tcBorders>
              <w:left w:val="nil"/>
              <w:bottom w:val="nil"/>
              <w:right w:val="nil"/>
            </w:tcBorders>
            <w:shd w:val="clear" w:color="auto" w:fill="auto"/>
            <w:noWrap/>
            <w:vAlign w:val="center"/>
            <w:hideMark/>
          </w:tcPr>
          <w:p w14:paraId="7C0AF1B0" w14:textId="7867555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8243</w:t>
            </w:r>
          </w:p>
        </w:tc>
        <w:tc>
          <w:tcPr>
            <w:tcW w:w="880" w:type="dxa"/>
            <w:tcBorders>
              <w:left w:val="nil"/>
              <w:bottom w:val="nil"/>
              <w:right w:val="nil"/>
            </w:tcBorders>
            <w:shd w:val="clear" w:color="auto" w:fill="auto"/>
            <w:noWrap/>
            <w:vAlign w:val="center"/>
            <w:hideMark/>
          </w:tcPr>
          <w:p w14:paraId="4AE6DD5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10,601</w:t>
            </w:r>
          </w:p>
        </w:tc>
        <w:tc>
          <w:tcPr>
            <w:tcW w:w="768" w:type="dxa"/>
            <w:tcBorders>
              <w:left w:val="nil"/>
              <w:bottom w:val="nil"/>
              <w:right w:val="nil"/>
            </w:tcBorders>
            <w:shd w:val="clear" w:color="auto" w:fill="auto"/>
            <w:noWrap/>
            <w:vAlign w:val="center"/>
            <w:hideMark/>
          </w:tcPr>
          <w:p w14:paraId="15C5CB0A" w14:textId="2F410BBF"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7649</w:t>
            </w:r>
          </w:p>
        </w:tc>
        <w:tc>
          <w:tcPr>
            <w:tcW w:w="847" w:type="dxa"/>
            <w:tcBorders>
              <w:left w:val="nil"/>
              <w:bottom w:val="nil"/>
              <w:right w:val="nil"/>
            </w:tcBorders>
            <w:shd w:val="clear" w:color="auto" w:fill="auto"/>
            <w:noWrap/>
            <w:vAlign w:val="center"/>
            <w:hideMark/>
          </w:tcPr>
          <w:p w14:paraId="600B0B35" w14:textId="6D6C79DF"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7704</w:t>
            </w:r>
          </w:p>
        </w:tc>
        <w:tc>
          <w:tcPr>
            <w:tcW w:w="847" w:type="dxa"/>
            <w:tcBorders>
              <w:left w:val="nil"/>
              <w:bottom w:val="nil"/>
              <w:right w:val="nil"/>
            </w:tcBorders>
            <w:shd w:val="clear" w:color="auto" w:fill="auto"/>
            <w:noWrap/>
            <w:vAlign w:val="center"/>
            <w:hideMark/>
          </w:tcPr>
          <w:p w14:paraId="22B9E28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13,489</w:t>
            </w:r>
          </w:p>
        </w:tc>
        <w:tc>
          <w:tcPr>
            <w:tcW w:w="847" w:type="dxa"/>
            <w:tcBorders>
              <w:left w:val="nil"/>
              <w:bottom w:val="nil"/>
              <w:right w:val="nil"/>
            </w:tcBorders>
            <w:shd w:val="clear" w:color="auto" w:fill="auto"/>
            <w:noWrap/>
            <w:vAlign w:val="center"/>
            <w:hideMark/>
          </w:tcPr>
          <w:p w14:paraId="5033E23B" w14:textId="758C57E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9150</w:t>
            </w:r>
          </w:p>
        </w:tc>
        <w:tc>
          <w:tcPr>
            <w:tcW w:w="945" w:type="dxa"/>
            <w:tcBorders>
              <w:left w:val="nil"/>
              <w:bottom w:val="nil"/>
            </w:tcBorders>
            <w:shd w:val="clear" w:color="auto" w:fill="auto"/>
            <w:noWrap/>
            <w:vAlign w:val="center"/>
            <w:hideMark/>
          </w:tcPr>
          <w:p w14:paraId="717ACA12"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79,736</w:t>
            </w:r>
          </w:p>
        </w:tc>
      </w:tr>
      <w:tr w:rsidR="0015649E" w:rsidRPr="0084045A" w14:paraId="741CF8A4" w14:textId="77777777" w:rsidTr="00C3352F">
        <w:trPr>
          <w:trHeight w:val="212"/>
          <w:jc w:val="center"/>
        </w:trPr>
        <w:tc>
          <w:tcPr>
            <w:tcW w:w="728" w:type="dxa"/>
            <w:vMerge/>
            <w:shd w:val="clear" w:color="auto" w:fill="auto"/>
            <w:noWrap/>
            <w:textDirection w:val="btLr"/>
            <w:vAlign w:val="center"/>
            <w:hideMark/>
          </w:tcPr>
          <w:p w14:paraId="3A2436B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A54A078" w14:textId="4233A625"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3B9CCAB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13,224</w:t>
            </w:r>
          </w:p>
        </w:tc>
        <w:tc>
          <w:tcPr>
            <w:tcW w:w="768" w:type="dxa"/>
            <w:tcBorders>
              <w:top w:val="nil"/>
              <w:left w:val="nil"/>
              <w:bottom w:val="nil"/>
              <w:right w:val="nil"/>
            </w:tcBorders>
            <w:shd w:val="clear" w:color="auto" w:fill="auto"/>
            <w:noWrap/>
            <w:vAlign w:val="center"/>
            <w:hideMark/>
          </w:tcPr>
          <w:p w14:paraId="0919FEB7" w14:textId="2414DE02"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6027</w:t>
            </w:r>
          </w:p>
        </w:tc>
        <w:tc>
          <w:tcPr>
            <w:tcW w:w="847" w:type="dxa"/>
            <w:tcBorders>
              <w:top w:val="nil"/>
              <w:left w:val="nil"/>
              <w:bottom w:val="nil"/>
              <w:right w:val="nil"/>
            </w:tcBorders>
            <w:shd w:val="clear" w:color="auto" w:fill="auto"/>
            <w:noWrap/>
            <w:vAlign w:val="center"/>
            <w:hideMark/>
          </w:tcPr>
          <w:p w14:paraId="454D6E5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20,328</w:t>
            </w:r>
          </w:p>
        </w:tc>
        <w:tc>
          <w:tcPr>
            <w:tcW w:w="847" w:type="dxa"/>
            <w:tcBorders>
              <w:top w:val="nil"/>
              <w:left w:val="nil"/>
              <w:bottom w:val="nil"/>
              <w:right w:val="nil"/>
            </w:tcBorders>
            <w:shd w:val="clear" w:color="auto" w:fill="auto"/>
            <w:noWrap/>
            <w:vAlign w:val="center"/>
            <w:hideMark/>
          </w:tcPr>
          <w:p w14:paraId="468F2B3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12,236</w:t>
            </w:r>
          </w:p>
        </w:tc>
        <w:tc>
          <w:tcPr>
            <w:tcW w:w="880" w:type="dxa"/>
            <w:tcBorders>
              <w:top w:val="nil"/>
              <w:left w:val="nil"/>
              <w:bottom w:val="nil"/>
              <w:right w:val="nil"/>
            </w:tcBorders>
            <w:shd w:val="clear" w:color="auto" w:fill="auto"/>
            <w:noWrap/>
            <w:vAlign w:val="center"/>
            <w:hideMark/>
          </w:tcPr>
          <w:p w14:paraId="7D78CEF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19,777</w:t>
            </w:r>
          </w:p>
        </w:tc>
        <w:tc>
          <w:tcPr>
            <w:tcW w:w="768" w:type="dxa"/>
            <w:tcBorders>
              <w:top w:val="nil"/>
              <w:left w:val="nil"/>
              <w:bottom w:val="nil"/>
              <w:right w:val="nil"/>
            </w:tcBorders>
            <w:shd w:val="clear" w:color="auto" w:fill="auto"/>
            <w:noWrap/>
            <w:vAlign w:val="center"/>
            <w:hideMark/>
          </w:tcPr>
          <w:p w14:paraId="1EA9B81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13,561</w:t>
            </w:r>
          </w:p>
        </w:tc>
        <w:tc>
          <w:tcPr>
            <w:tcW w:w="847" w:type="dxa"/>
            <w:tcBorders>
              <w:top w:val="nil"/>
              <w:left w:val="nil"/>
              <w:bottom w:val="nil"/>
              <w:right w:val="nil"/>
            </w:tcBorders>
            <w:shd w:val="clear" w:color="auto" w:fill="auto"/>
            <w:noWrap/>
            <w:vAlign w:val="center"/>
            <w:hideMark/>
          </w:tcPr>
          <w:p w14:paraId="7008580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18,697</w:t>
            </w:r>
          </w:p>
        </w:tc>
        <w:tc>
          <w:tcPr>
            <w:tcW w:w="847" w:type="dxa"/>
            <w:tcBorders>
              <w:top w:val="nil"/>
              <w:left w:val="nil"/>
              <w:bottom w:val="nil"/>
              <w:right w:val="nil"/>
            </w:tcBorders>
            <w:shd w:val="clear" w:color="auto" w:fill="auto"/>
            <w:noWrap/>
            <w:vAlign w:val="center"/>
            <w:hideMark/>
          </w:tcPr>
          <w:p w14:paraId="0B268A5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23,766</w:t>
            </w:r>
          </w:p>
        </w:tc>
        <w:tc>
          <w:tcPr>
            <w:tcW w:w="847" w:type="dxa"/>
            <w:tcBorders>
              <w:top w:val="nil"/>
              <w:left w:val="nil"/>
              <w:bottom w:val="nil"/>
              <w:right w:val="nil"/>
            </w:tcBorders>
            <w:shd w:val="clear" w:color="auto" w:fill="auto"/>
            <w:noWrap/>
            <w:vAlign w:val="center"/>
            <w:hideMark/>
          </w:tcPr>
          <w:p w14:paraId="60961E9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16,442</w:t>
            </w:r>
          </w:p>
        </w:tc>
        <w:tc>
          <w:tcPr>
            <w:tcW w:w="945" w:type="dxa"/>
            <w:tcBorders>
              <w:top w:val="nil"/>
              <w:left w:val="nil"/>
              <w:bottom w:val="nil"/>
            </w:tcBorders>
            <w:shd w:val="clear" w:color="auto" w:fill="auto"/>
            <w:noWrap/>
            <w:vAlign w:val="center"/>
            <w:hideMark/>
          </w:tcPr>
          <w:p w14:paraId="7A218CA1"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144,058</w:t>
            </w:r>
          </w:p>
        </w:tc>
      </w:tr>
      <w:tr w:rsidR="0015649E" w:rsidRPr="0084045A" w14:paraId="60C647E2" w14:textId="77777777" w:rsidTr="00C3352F">
        <w:trPr>
          <w:trHeight w:val="212"/>
          <w:jc w:val="center"/>
        </w:trPr>
        <w:tc>
          <w:tcPr>
            <w:tcW w:w="728" w:type="dxa"/>
            <w:vMerge/>
            <w:shd w:val="clear" w:color="auto" w:fill="auto"/>
            <w:noWrap/>
            <w:textDirection w:val="btLr"/>
            <w:vAlign w:val="center"/>
            <w:hideMark/>
          </w:tcPr>
          <w:p w14:paraId="167BAB09"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15D2AB3" w14:textId="5279AB56"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0E3BD1D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17,615</w:t>
            </w:r>
          </w:p>
        </w:tc>
        <w:tc>
          <w:tcPr>
            <w:tcW w:w="768" w:type="dxa"/>
            <w:tcBorders>
              <w:top w:val="nil"/>
              <w:left w:val="nil"/>
              <w:bottom w:val="nil"/>
              <w:right w:val="nil"/>
            </w:tcBorders>
            <w:shd w:val="clear" w:color="auto" w:fill="auto"/>
            <w:noWrap/>
            <w:vAlign w:val="center"/>
            <w:hideMark/>
          </w:tcPr>
          <w:p w14:paraId="27EF1E5F" w14:textId="4F95C94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8452</w:t>
            </w:r>
          </w:p>
        </w:tc>
        <w:tc>
          <w:tcPr>
            <w:tcW w:w="847" w:type="dxa"/>
            <w:tcBorders>
              <w:top w:val="nil"/>
              <w:left w:val="nil"/>
              <w:bottom w:val="nil"/>
              <w:right w:val="nil"/>
            </w:tcBorders>
            <w:shd w:val="clear" w:color="auto" w:fill="auto"/>
            <w:noWrap/>
            <w:vAlign w:val="center"/>
            <w:hideMark/>
          </w:tcPr>
          <w:p w14:paraId="1B6CEB7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28,215</w:t>
            </w:r>
          </w:p>
        </w:tc>
        <w:tc>
          <w:tcPr>
            <w:tcW w:w="847" w:type="dxa"/>
            <w:tcBorders>
              <w:top w:val="nil"/>
              <w:left w:val="nil"/>
              <w:bottom w:val="nil"/>
              <w:right w:val="nil"/>
            </w:tcBorders>
            <w:shd w:val="clear" w:color="auto" w:fill="auto"/>
            <w:noWrap/>
            <w:vAlign w:val="center"/>
            <w:hideMark/>
          </w:tcPr>
          <w:p w14:paraId="3C93177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32,941</w:t>
            </w:r>
          </w:p>
        </w:tc>
        <w:tc>
          <w:tcPr>
            <w:tcW w:w="880" w:type="dxa"/>
            <w:tcBorders>
              <w:top w:val="nil"/>
              <w:left w:val="nil"/>
              <w:bottom w:val="nil"/>
              <w:right w:val="nil"/>
            </w:tcBorders>
            <w:shd w:val="clear" w:color="auto" w:fill="auto"/>
            <w:noWrap/>
            <w:vAlign w:val="center"/>
            <w:hideMark/>
          </w:tcPr>
          <w:p w14:paraId="71F8102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22,088</w:t>
            </w:r>
          </w:p>
        </w:tc>
        <w:tc>
          <w:tcPr>
            <w:tcW w:w="768" w:type="dxa"/>
            <w:tcBorders>
              <w:top w:val="nil"/>
              <w:left w:val="nil"/>
              <w:bottom w:val="nil"/>
              <w:right w:val="nil"/>
            </w:tcBorders>
            <w:shd w:val="clear" w:color="auto" w:fill="auto"/>
            <w:noWrap/>
            <w:vAlign w:val="center"/>
            <w:hideMark/>
          </w:tcPr>
          <w:p w14:paraId="548FFBB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26,335</w:t>
            </w:r>
          </w:p>
        </w:tc>
        <w:tc>
          <w:tcPr>
            <w:tcW w:w="847" w:type="dxa"/>
            <w:tcBorders>
              <w:top w:val="nil"/>
              <w:left w:val="nil"/>
              <w:bottom w:val="nil"/>
              <w:right w:val="nil"/>
            </w:tcBorders>
            <w:shd w:val="clear" w:color="auto" w:fill="auto"/>
            <w:noWrap/>
            <w:vAlign w:val="center"/>
            <w:hideMark/>
          </w:tcPr>
          <w:p w14:paraId="32B9403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22,565</w:t>
            </w:r>
          </w:p>
        </w:tc>
        <w:tc>
          <w:tcPr>
            <w:tcW w:w="847" w:type="dxa"/>
            <w:tcBorders>
              <w:top w:val="nil"/>
              <w:left w:val="nil"/>
              <w:bottom w:val="nil"/>
              <w:right w:val="nil"/>
            </w:tcBorders>
            <w:shd w:val="clear" w:color="auto" w:fill="auto"/>
            <w:noWrap/>
            <w:vAlign w:val="center"/>
            <w:hideMark/>
          </w:tcPr>
          <w:p w14:paraId="07E1BE4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38,531</w:t>
            </w:r>
          </w:p>
        </w:tc>
        <w:tc>
          <w:tcPr>
            <w:tcW w:w="847" w:type="dxa"/>
            <w:tcBorders>
              <w:top w:val="nil"/>
              <w:left w:val="nil"/>
              <w:bottom w:val="nil"/>
              <w:right w:val="nil"/>
            </w:tcBorders>
            <w:shd w:val="clear" w:color="auto" w:fill="auto"/>
            <w:noWrap/>
            <w:vAlign w:val="center"/>
            <w:hideMark/>
          </w:tcPr>
          <w:p w14:paraId="7A4C542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26,333</w:t>
            </w:r>
          </w:p>
        </w:tc>
        <w:tc>
          <w:tcPr>
            <w:tcW w:w="945" w:type="dxa"/>
            <w:tcBorders>
              <w:top w:val="nil"/>
              <w:left w:val="nil"/>
              <w:bottom w:val="nil"/>
            </w:tcBorders>
            <w:shd w:val="clear" w:color="auto" w:fill="auto"/>
            <w:noWrap/>
            <w:vAlign w:val="center"/>
            <w:hideMark/>
          </w:tcPr>
          <w:p w14:paraId="5D45FB4B"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223,075</w:t>
            </w:r>
          </w:p>
        </w:tc>
      </w:tr>
      <w:tr w:rsidR="0015649E" w:rsidRPr="0084045A" w14:paraId="30CE3811" w14:textId="77777777" w:rsidTr="00C3352F">
        <w:trPr>
          <w:trHeight w:val="212"/>
          <w:jc w:val="center"/>
        </w:trPr>
        <w:tc>
          <w:tcPr>
            <w:tcW w:w="728" w:type="dxa"/>
            <w:vMerge/>
            <w:shd w:val="clear" w:color="auto" w:fill="auto"/>
            <w:noWrap/>
            <w:textDirection w:val="btLr"/>
            <w:vAlign w:val="center"/>
            <w:hideMark/>
          </w:tcPr>
          <w:p w14:paraId="31C08890"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243BF86" w14:textId="20AEF08A"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3C174EE6" w14:textId="40572E0A"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6188</w:t>
            </w:r>
          </w:p>
        </w:tc>
        <w:tc>
          <w:tcPr>
            <w:tcW w:w="768" w:type="dxa"/>
            <w:tcBorders>
              <w:top w:val="nil"/>
              <w:left w:val="nil"/>
              <w:bottom w:val="nil"/>
              <w:right w:val="nil"/>
            </w:tcBorders>
            <w:shd w:val="clear" w:color="auto" w:fill="auto"/>
            <w:noWrap/>
            <w:vAlign w:val="center"/>
            <w:hideMark/>
          </w:tcPr>
          <w:p w14:paraId="653A9183" w14:textId="6B8E048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2485</w:t>
            </w:r>
          </w:p>
        </w:tc>
        <w:tc>
          <w:tcPr>
            <w:tcW w:w="847" w:type="dxa"/>
            <w:tcBorders>
              <w:top w:val="nil"/>
              <w:left w:val="nil"/>
              <w:bottom w:val="nil"/>
              <w:right w:val="nil"/>
            </w:tcBorders>
            <w:shd w:val="clear" w:color="auto" w:fill="auto"/>
            <w:noWrap/>
            <w:vAlign w:val="center"/>
            <w:hideMark/>
          </w:tcPr>
          <w:p w14:paraId="12ED452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10,429</w:t>
            </w:r>
          </w:p>
        </w:tc>
        <w:tc>
          <w:tcPr>
            <w:tcW w:w="847" w:type="dxa"/>
            <w:tcBorders>
              <w:top w:val="nil"/>
              <w:left w:val="nil"/>
              <w:bottom w:val="nil"/>
              <w:right w:val="nil"/>
            </w:tcBorders>
            <w:shd w:val="clear" w:color="auto" w:fill="auto"/>
            <w:noWrap/>
            <w:vAlign w:val="center"/>
            <w:hideMark/>
          </w:tcPr>
          <w:p w14:paraId="3381C41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11,551</w:t>
            </w:r>
          </w:p>
        </w:tc>
        <w:tc>
          <w:tcPr>
            <w:tcW w:w="880" w:type="dxa"/>
            <w:tcBorders>
              <w:top w:val="nil"/>
              <w:left w:val="nil"/>
              <w:bottom w:val="nil"/>
              <w:right w:val="nil"/>
            </w:tcBorders>
            <w:shd w:val="clear" w:color="auto" w:fill="auto"/>
            <w:noWrap/>
            <w:vAlign w:val="center"/>
            <w:hideMark/>
          </w:tcPr>
          <w:p w14:paraId="144CED5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10,151</w:t>
            </w:r>
          </w:p>
        </w:tc>
        <w:tc>
          <w:tcPr>
            <w:tcW w:w="768" w:type="dxa"/>
            <w:tcBorders>
              <w:top w:val="nil"/>
              <w:left w:val="nil"/>
              <w:bottom w:val="nil"/>
              <w:right w:val="nil"/>
            </w:tcBorders>
            <w:shd w:val="clear" w:color="auto" w:fill="auto"/>
            <w:noWrap/>
            <w:vAlign w:val="center"/>
            <w:hideMark/>
          </w:tcPr>
          <w:p w14:paraId="663AF36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10,124</w:t>
            </w:r>
          </w:p>
        </w:tc>
        <w:tc>
          <w:tcPr>
            <w:tcW w:w="847" w:type="dxa"/>
            <w:tcBorders>
              <w:top w:val="nil"/>
              <w:left w:val="nil"/>
              <w:bottom w:val="nil"/>
              <w:right w:val="nil"/>
            </w:tcBorders>
            <w:shd w:val="clear" w:color="auto" w:fill="auto"/>
            <w:noWrap/>
            <w:vAlign w:val="center"/>
            <w:hideMark/>
          </w:tcPr>
          <w:p w14:paraId="7E98C8D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12,815</w:t>
            </w:r>
          </w:p>
        </w:tc>
        <w:tc>
          <w:tcPr>
            <w:tcW w:w="847" w:type="dxa"/>
            <w:tcBorders>
              <w:top w:val="nil"/>
              <w:left w:val="nil"/>
              <w:bottom w:val="nil"/>
              <w:right w:val="nil"/>
            </w:tcBorders>
            <w:shd w:val="clear" w:color="auto" w:fill="auto"/>
            <w:noWrap/>
            <w:vAlign w:val="center"/>
            <w:hideMark/>
          </w:tcPr>
          <w:p w14:paraId="465D440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23,927</w:t>
            </w:r>
          </w:p>
        </w:tc>
        <w:tc>
          <w:tcPr>
            <w:tcW w:w="847" w:type="dxa"/>
            <w:tcBorders>
              <w:top w:val="nil"/>
              <w:left w:val="nil"/>
              <w:bottom w:val="nil"/>
              <w:right w:val="nil"/>
            </w:tcBorders>
            <w:shd w:val="clear" w:color="auto" w:fill="auto"/>
            <w:noWrap/>
            <w:vAlign w:val="center"/>
            <w:hideMark/>
          </w:tcPr>
          <w:p w14:paraId="0306D63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12,479</w:t>
            </w:r>
          </w:p>
        </w:tc>
        <w:tc>
          <w:tcPr>
            <w:tcW w:w="945" w:type="dxa"/>
            <w:tcBorders>
              <w:top w:val="nil"/>
              <w:left w:val="nil"/>
              <w:bottom w:val="nil"/>
            </w:tcBorders>
            <w:shd w:val="clear" w:color="auto" w:fill="auto"/>
            <w:noWrap/>
            <w:vAlign w:val="center"/>
            <w:hideMark/>
          </w:tcPr>
          <w:p w14:paraId="385505D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100,151</w:t>
            </w:r>
          </w:p>
        </w:tc>
      </w:tr>
      <w:tr w:rsidR="0015649E" w:rsidRPr="0084045A" w14:paraId="5982FE16" w14:textId="77777777" w:rsidTr="00C3352F">
        <w:trPr>
          <w:trHeight w:val="212"/>
          <w:jc w:val="center"/>
        </w:trPr>
        <w:tc>
          <w:tcPr>
            <w:tcW w:w="728" w:type="dxa"/>
            <w:vMerge/>
            <w:shd w:val="clear" w:color="auto" w:fill="auto"/>
            <w:noWrap/>
            <w:textDirection w:val="btLr"/>
            <w:vAlign w:val="center"/>
            <w:hideMark/>
          </w:tcPr>
          <w:p w14:paraId="7249B3A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107EC2FA" w14:textId="724E9FFE"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6A0A9D1A" w14:textId="4250B983"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1839</w:t>
            </w:r>
          </w:p>
        </w:tc>
        <w:tc>
          <w:tcPr>
            <w:tcW w:w="768" w:type="dxa"/>
            <w:tcBorders>
              <w:top w:val="nil"/>
              <w:left w:val="nil"/>
              <w:bottom w:val="single" w:sz="4" w:space="0" w:color="auto"/>
              <w:right w:val="nil"/>
            </w:tcBorders>
            <w:shd w:val="clear" w:color="auto" w:fill="auto"/>
            <w:noWrap/>
            <w:vAlign w:val="center"/>
            <w:hideMark/>
          </w:tcPr>
          <w:p w14:paraId="3439D5B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979</w:t>
            </w:r>
          </w:p>
        </w:tc>
        <w:tc>
          <w:tcPr>
            <w:tcW w:w="847" w:type="dxa"/>
            <w:tcBorders>
              <w:top w:val="nil"/>
              <w:left w:val="nil"/>
              <w:bottom w:val="single" w:sz="4" w:space="0" w:color="auto"/>
              <w:right w:val="nil"/>
            </w:tcBorders>
            <w:shd w:val="clear" w:color="auto" w:fill="auto"/>
            <w:noWrap/>
            <w:vAlign w:val="center"/>
            <w:hideMark/>
          </w:tcPr>
          <w:p w14:paraId="29C7F30B" w14:textId="2DE9A3D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4198</w:t>
            </w:r>
          </w:p>
        </w:tc>
        <w:tc>
          <w:tcPr>
            <w:tcW w:w="847" w:type="dxa"/>
            <w:tcBorders>
              <w:top w:val="nil"/>
              <w:left w:val="nil"/>
              <w:bottom w:val="single" w:sz="4" w:space="0" w:color="auto"/>
              <w:right w:val="nil"/>
            </w:tcBorders>
            <w:shd w:val="clear" w:color="auto" w:fill="auto"/>
            <w:noWrap/>
            <w:vAlign w:val="center"/>
            <w:hideMark/>
          </w:tcPr>
          <w:p w14:paraId="76C3BD9E" w14:textId="773F535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1702</w:t>
            </w:r>
          </w:p>
        </w:tc>
        <w:tc>
          <w:tcPr>
            <w:tcW w:w="880" w:type="dxa"/>
            <w:tcBorders>
              <w:top w:val="nil"/>
              <w:left w:val="nil"/>
              <w:bottom w:val="single" w:sz="4" w:space="0" w:color="auto"/>
              <w:right w:val="nil"/>
            </w:tcBorders>
            <w:shd w:val="clear" w:color="auto" w:fill="auto"/>
            <w:noWrap/>
            <w:vAlign w:val="center"/>
            <w:hideMark/>
          </w:tcPr>
          <w:p w14:paraId="4E4E4152" w14:textId="536DCB9C"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4649</w:t>
            </w:r>
          </w:p>
        </w:tc>
        <w:tc>
          <w:tcPr>
            <w:tcW w:w="768" w:type="dxa"/>
            <w:tcBorders>
              <w:top w:val="nil"/>
              <w:left w:val="nil"/>
              <w:bottom w:val="single" w:sz="4" w:space="0" w:color="auto"/>
              <w:right w:val="nil"/>
            </w:tcBorders>
            <w:shd w:val="clear" w:color="auto" w:fill="auto"/>
            <w:noWrap/>
            <w:vAlign w:val="center"/>
            <w:hideMark/>
          </w:tcPr>
          <w:p w14:paraId="2B2CC86C" w14:textId="3628FBC2"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1636</w:t>
            </w:r>
          </w:p>
        </w:tc>
        <w:tc>
          <w:tcPr>
            <w:tcW w:w="847" w:type="dxa"/>
            <w:tcBorders>
              <w:top w:val="nil"/>
              <w:left w:val="nil"/>
              <w:bottom w:val="single" w:sz="4" w:space="0" w:color="auto"/>
              <w:right w:val="nil"/>
            </w:tcBorders>
            <w:shd w:val="clear" w:color="auto" w:fill="auto"/>
            <w:noWrap/>
            <w:vAlign w:val="center"/>
            <w:hideMark/>
          </w:tcPr>
          <w:p w14:paraId="7011A4B5" w14:textId="5D4F246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4432</w:t>
            </w:r>
          </w:p>
        </w:tc>
        <w:tc>
          <w:tcPr>
            <w:tcW w:w="847" w:type="dxa"/>
            <w:tcBorders>
              <w:top w:val="nil"/>
              <w:left w:val="nil"/>
              <w:bottom w:val="single" w:sz="4" w:space="0" w:color="auto"/>
              <w:right w:val="nil"/>
            </w:tcBorders>
            <w:shd w:val="clear" w:color="auto" w:fill="auto"/>
            <w:noWrap/>
            <w:vAlign w:val="center"/>
            <w:hideMark/>
          </w:tcPr>
          <w:p w14:paraId="6FE8ACE9" w14:textId="40339473"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7356</w:t>
            </w:r>
          </w:p>
        </w:tc>
        <w:tc>
          <w:tcPr>
            <w:tcW w:w="847" w:type="dxa"/>
            <w:tcBorders>
              <w:top w:val="nil"/>
              <w:left w:val="nil"/>
              <w:bottom w:val="single" w:sz="4" w:space="0" w:color="auto"/>
              <w:right w:val="nil"/>
            </w:tcBorders>
            <w:shd w:val="clear" w:color="auto" w:fill="auto"/>
            <w:noWrap/>
            <w:vAlign w:val="center"/>
            <w:hideMark/>
          </w:tcPr>
          <w:p w14:paraId="4C3E5BE8" w14:textId="15D2D93F"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3826</w:t>
            </w:r>
          </w:p>
        </w:tc>
        <w:tc>
          <w:tcPr>
            <w:tcW w:w="945" w:type="dxa"/>
            <w:tcBorders>
              <w:top w:val="nil"/>
              <w:left w:val="nil"/>
              <w:bottom w:val="single" w:sz="4" w:space="0" w:color="auto"/>
            </w:tcBorders>
            <w:shd w:val="clear" w:color="auto" w:fill="auto"/>
            <w:noWrap/>
            <w:vAlign w:val="center"/>
            <w:hideMark/>
          </w:tcPr>
          <w:p w14:paraId="0F58B77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30,617</w:t>
            </w:r>
          </w:p>
        </w:tc>
      </w:tr>
      <w:tr w:rsidR="0015649E" w:rsidRPr="0084045A" w14:paraId="44B87CFE" w14:textId="77777777" w:rsidTr="00C3352F">
        <w:trPr>
          <w:trHeight w:val="212"/>
          <w:jc w:val="center"/>
        </w:trPr>
        <w:tc>
          <w:tcPr>
            <w:tcW w:w="728" w:type="dxa"/>
            <w:vMerge w:val="restart"/>
            <w:shd w:val="clear" w:color="auto" w:fill="auto"/>
            <w:noWrap/>
            <w:textDirection w:val="btLr"/>
            <w:vAlign w:val="center"/>
            <w:hideMark/>
          </w:tcPr>
          <w:p w14:paraId="115A722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Ciudad de México</w:t>
            </w:r>
          </w:p>
        </w:tc>
        <w:tc>
          <w:tcPr>
            <w:tcW w:w="753" w:type="dxa"/>
            <w:tcBorders>
              <w:bottom w:val="nil"/>
              <w:right w:val="nil"/>
            </w:tcBorders>
            <w:vAlign w:val="center"/>
          </w:tcPr>
          <w:p w14:paraId="55D91130" w14:textId="4D5CC68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037536E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89,835</w:t>
            </w:r>
          </w:p>
        </w:tc>
        <w:tc>
          <w:tcPr>
            <w:tcW w:w="768" w:type="dxa"/>
            <w:tcBorders>
              <w:left w:val="nil"/>
              <w:bottom w:val="nil"/>
              <w:right w:val="nil"/>
            </w:tcBorders>
            <w:shd w:val="clear" w:color="auto" w:fill="auto"/>
            <w:noWrap/>
            <w:vAlign w:val="center"/>
            <w:hideMark/>
          </w:tcPr>
          <w:p w14:paraId="42C90FC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29,880</w:t>
            </w:r>
          </w:p>
        </w:tc>
        <w:tc>
          <w:tcPr>
            <w:tcW w:w="847" w:type="dxa"/>
            <w:tcBorders>
              <w:left w:val="nil"/>
              <w:bottom w:val="nil"/>
              <w:right w:val="nil"/>
            </w:tcBorders>
            <w:shd w:val="clear" w:color="auto" w:fill="auto"/>
            <w:noWrap/>
            <w:vAlign w:val="center"/>
            <w:hideMark/>
          </w:tcPr>
          <w:p w14:paraId="366FB59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110,130</w:t>
            </w:r>
          </w:p>
        </w:tc>
        <w:tc>
          <w:tcPr>
            <w:tcW w:w="847" w:type="dxa"/>
            <w:tcBorders>
              <w:left w:val="nil"/>
              <w:bottom w:val="nil"/>
              <w:right w:val="nil"/>
            </w:tcBorders>
            <w:shd w:val="clear" w:color="auto" w:fill="auto"/>
            <w:noWrap/>
            <w:vAlign w:val="center"/>
            <w:hideMark/>
          </w:tcPr>
          <w:p w14:paraId="7696295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76,297</w:t>
            </w:r>
          </w:p>
        </w:tc>
        <w:tc>
          <w:tcPr>
            <w:tcW w:w="880" w:type="dxa"/>
            <w:tcBorders>
              <w:left w:val="nil"/>
              <w:bottom w:val="nil"/>
              <w:right w:val="nil"/>
            </w:tcBorders>
            <w:shd w:val="clear" w:color="auto" w:fill="auto"/>
            <w:noWrap/>
            <w:vAlign w:val="center"/>
            <w:hideMark/>
          </w:tcPr>
          <w:p w14:paraId="79BCAD0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93,949</w:t>
            </w:r>
          </w:p>
        </w:tc>
        <w:tc>
          <w:tcPr>
            <w:tcW w:w="768" w:type="dxa"/>
            <w:tcBorders>
              <w:left w:val="nil"/>
              <w:bottom w:val="nil"/>
              <w:right w:val="nil"/>
            </w:tcBorders>
            <w:shd w:val="clear" w:color="auto" w:fill="auto"/>
            <w:noWrap/>
            <w:vAlign w:val="center"/>
            <w:hideMark/>
          </w:tcPr>
          <w:p w14:paraId="56467E7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64,864</w:t>
            </w:r>
          </w:p>
        </w:tc>
        <w:tc>
          <w:tcPr>
            <w:tcW w:w="847" w:type="dxa"/>
            <w:tcBorders>
              <w:left w:val="nil"/>
              <w:bottom w:val="nil"/>
              <w:right w:val="nil"/>
            </w:tcBorders>
            <w:shd w:val="clear" w:color="auto" w:fill="auto"/>
            <w:noWrap/>
            <w:vAlign w:val="center"/>
            <w:hideMark/>
          </w:tcPr>
          <w:p w14:paraId="696F945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63,263</w:t>
            </w:r>
          </w:p>
        </w:tc>
        <w:tc>
          <w:tcPr>
            <w:tcW w:w="847" w:type="dxa"/>
            <w:tcBorders>
              <w:left w:val="nil"/>
              <w:bottom w:val="nil"/>
              <w:right w:val="nil"/>
            </w:tcBorders>
            <w:shd w:val="clear" w:color="auto" w:fill="auto"/>
            <w:noWrap/>
            <w:vAlign w:val="center"/>
            <w:hideMark/>
          </w:tcPr>
          <w:p w14:paraId="789AD55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107,729</w:t>
            </w:r>
          </w:p>
        </w:tc>
        <w:tc>
          <w:tcPr>
            <w:tcW w:w="847" w:type="dxa"/>
            <w:tcBorders>
              <w:left w:val="nil"/>
              <w:bottom w:val="nil"/>
              <w:right w:val="nil"/>
            </w:tcBorders>
            <w:shd w:val="clear" w:color="auto" w:fill="auto"/>
            <w:noWrap/>
            <w:vAlign w:val="center"/>
            <w:hideMark/>
          </w:tcPr>
          <w:p w14:paraId="66F8A2C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71,427</w:t>
            </w:r>
          </w:p>
        </w:tc>
        <w:tc>
          <w:tcPr>
            <w:tcW w:w="945" w:type="dxa"/>
            <w:tcBorders>
              <w:left w:val="nil"/>
              <w:bottom w:val="nil"/>
            </w:tcBorders>
            <w:shd w:val="clear" w:color="auto" w:fill="auto"/>
            <w:noWrap/>
            <w:vAlign w:val="center"/>
            <w:hideMark/>
          </w:tcPr>
          <w:p w14:paraId="6B8ABE6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707,373</w:t>
            </w:r>
          </w:p>
        </w:tc>
      </w:tr>
      <w:tr w:rsidR="0015649E" w:rsidRPr="0084045A" w14:paraId="5AE12669" w14:textId="77777777" w:rsidTr="00C3352F">
        <w:trPr>
          <w:trHeight w:val="212"/>
          <w:jc w:val="center"/>
        </w:trPr>
        <w:tc>
          <w:tcPr>
            <w:tcW w:w="728" w:type="dxa"/>
            <w:vMerge/>
            <w:shd w:val="clear" w:color="auto" w:fill="auto"/>
            <w:noWrap/>
            <w:textDirection w:val="btLr"/>
            <w:vAlign w:val="center"/>
            <w:hideMark/>
          </w:tcPr>
          <w:p w14:paraId="74A00000"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92CF723" w14:textId="7B38775D"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0D11CC5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150,619</w:t>
            </w:r>
          </w:p>
        </w:tc>
        <w:tc>
          <w:tcPr>
            <w:tcW w:w="768" w:type="dxa"/>
            <w:tcBorders>
              <w:top w:val="nil"/>
              <w:left w:val="nil"/>
              <w:bottom w:val="nil"/>
              <w:right w:val="nil"/>
            </w:tcBorders>
            <w:shd w:val="clear" w:color="auto" w:fill="auto"/>
            <w:noWrap/>
            <w:vAlign w:val="center"/>
            <w:hideMark/>
          </w:tcPr>
          <w:p w14:paraId="7ED9CCA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66,732</w:t>
            </w:r>
          </w:p>
        </w:tc>
        <w:tc>
          <w:tcPr>
            <w:tcW w:w="847" w:type="dxa"/>
            <w:tcBorders>
              <w:top w:val="nil"/>
              <w:left w:val="nil"/>
              <w:bottom w:val="nil"/>
              <w:right w:val="nil"/>
            </w:tcBorders>
            <w:shd w:val="clear" w:color="auto" w:fill="auto"/>
            <w:noWrap/>
            <w:vAlign w:val="center"/>
            <w:hideMark/>
          </w:tcPr>
          <w:p w14:paraId="048DC7D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218,704</w:t>
            </w:r>
          </w:p>
        </w:tc>
        <w:tc>
          <w:tcPr>
            <w:tcW w:w="847" w:type="dxa"/>
            <w:tcBorders>
              <w:top w:val="nil"/>
              <w:left w:val="nil"/>
              <w:bottom w:val="nil"/>
              <w:right w:val="nil"/>
            </w:tcBorders>
            <w:shd w:val="clear" w:color="auto" w:fill="auto"/>
            <w:noWrap/>
            <w:vAlign w:val="center"/>
            <w:hideMark/>
          </w:tcPr>
          <w:p w14:paraId="4E3939F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127,892</w:t>
            </w:r>
          </w:p>
        </w:tc>
        <w:tc>
          <w:tcPr>
            <w:tcW w:w="880" w:type="dxa"/>
            <w:tcBorders>
              <w:top w:val="nil"/>
              <w:left w:val="nil"/>
              <w:bottom w:val="nil"/>
              <w:right w:val="nil"/>
            </w:tcBorders>
            <w:shd w:val="clear" w:color="auto" w:fill="auto"/>
            <w:noWrap/>
            <w:vAlign w:val="center"/>
            <w:hideMark/>
          </w:tcPr>
          <w:p w14:paraId="0472441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200,753</w:t>
            </w:r>
          </w:p>
        </w:tc>
        <w:tc>
          <w:tcPr>
            <w:tcW w:w="768" w:type="dxa"/>
            <w:tcBorders>
              <w:top w:val="nil"/>
              <w:left w:val="nil"/>
              <w:bottom w:val="nil"/>
              <w:right w:val="nil"/>
            </w:tcBorders>
            <w:shd w:val="clear" w:color="auto" w:fill="auto"/>
            <w:noWrap/>
            <w:vAlign w:val="center"/>
            <w:hideMark/>
          </w:tcPr>
          <w:p w14:paraId="2EAA6A5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133,645</w:t>
            </w:r>
          </w:p>
        </w:tc>
        <w:tc>
          <w:tcPr>
            <w:tcW w:w="847" w:type="dxa"/>
            <w:tcBorders>
              <w:top w:val="nil"/>
              <w:left w:val="nil"/>
              <w:bottom w:val="nil"/>
              <w:right w:val="nil"/>
            </w:tcBorders>
            <w:shd w:val="clear" w:color="auto" w:fill="auto"/>
            <w:noWrap/>
            <w:vAlign w:val="center"/>
            <w:hideMark/>
          </w:tcPr>
          <w:p w14:paraId="5ABE527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179,367</w:t>
            </w:r>
          </w:p>
        </w:tc>
        <w:tc>
          <w:tcPr>
            <w:tcW w:w="847" w:type="dxa"/>
            <w:tcBorders>
              <w:top w:val="nil"/>
              <w:left w:val="nil"/>
              <w:bottom w:val="nil"/>
              <w:right w:val="nil"/>
            </w:tcBorders>
            <w:shd w:val="clear" w:color="auto" w:fill="auto"/>
            <w:noWrap/>
            <w:vAlign w:val="center"/>
            <w:hideMark/>
          </w:tcPr>
          <w:p w14:paraId="526F58C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221,713</w:t>
            </w:r>
          </w:p>
        </w:tc>
        <w:tc>
          <w:tcPr>
            <w:tcW w:w="847" w:type="dxa"/>
            <w:tcBorders>
              <w:top w:val="nil"/>
              <w:left w:val="nil"/>
              <w:bottom w:val="nil"/>
              <w:right w:val="nil"/>
            </w:tcBorders>
            <w:shd w:val="clear" w:color="auto" w:fill="auto"/>
            <w:noWrap/>
            <w:vAlign w:val="center"/>
            <w:hideMark/>
          </w:tcPr>
          <w:p w14:paraId="14AEB70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148,990</w:t>
            </w:r>
          </w:p>
        </w:tc>
        <w:tc>
          <w:tcPr>
            <w:tcW w:w="945" w:type="dxa"/>
            <w:tcBorders>
              <w:top w:val="nil"/>
              <w:left w:val="nil"/>
              <w:bottom w:val="nil"/>
            </w:tcBorders>
            <w:shd w:val="clear" w:color="auto" w:fill="auto"/>
            <w:noWrap/>
            <w:vAlign w:val="center"/>
            <w:hideMark/>
          </w:tcPr>
          <w:p w14:paraId="0DB10388"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1,448,415</w:t>
            </w:r>
          </w:p>
        </w:tc>
      </w:tr>
      <w:tr w:rsidR="0015649E" w:rsidRPr="0084045A" w14:paraId="2F06501A" w14:textId="77777777" w:rsidTr="00C3352F">
        <w:trPr>
          <w:trHeight w:val="212"/>
          <w:jc w:val="center"/>
        </w:trPr>
        <w:tc>
          <w:tcPr>
            <w:tcW w:w="728" w:type="dxa"/>
            <w:vMerge/>
            <w:shd w:val="clear" w:color="auto" w:fill="auto"/>
            <w:noWrap/>
            <w:textDirection w:val="btLr"/>
            <w:vAlign w:val="center"/>
            <w:hideMark/>
          </w:tcPr>
          <w:p w14:paraId="0A8B783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38FA94E" w14:textId="40481A94"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595EC8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249,286</w:t>
            </w:r>
          </w:p>
        </w:tc>
        <w:tc>
          <w:tcPr>
            <w:tcW w:w="768" w:type="dxa"/>
            <w:tcBorders>
              <w:top w:val="nil"/>
              <w:left w:val="nil"/>
              <w:bottom w:val="nil"/>
              <w:right w:val="nil"/>
            </w:tcBorders>
            <w:shd w:val="clear" w:color="auto" w:fill="auto"/>
            <w:noWrap/>
            <w:vAlign w:val="center"/>
            <w:hideMark/>
          </w:tcPr>
          <w:p w14:paraId="2433A64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117,099</w:t>
            </w:r>
          </w:p>
        </w:tc>
        <w:tc>
          <w:tcPr>
            <w:tcW w:w="847" w:type="dxa"/>
            <w:tcBorders>
              <w:top w:val="nil"/>
              <w:left w:val="nil"/>
              <w:bottom w:val="nil"/>
              <w:right w:val="nil"/>
            </w:tcBorders>
            <w:shd w:val="clear" w:color="auto" w:fill="auto"/>
            <w:noWrap/>
            <w:vAlign w:val="center"/>
            <w:hideMark/>
          </w:tcPr>
          <w:p w14:paraId="6C7E790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382,693</w:t>
            </w:r>
          </w:p>
        </w:tc>
        <w:tc>
          <w:tcPr>
            <w:tcW w:w="847" w:type="dxa"/>
            <w:tcBorders>
              <w:top w:val="nil"/>
              <w:left w:val="nil"/>
              <w:bottom w:val="nil"/>
              <w:right w:val="nil"/>
            </w:tcBorders>
            <w:shd w:val="clear" w:color="auto" w:fill="auto"/>
            <w:noWrap/>
            <w:vAlign w:val="center"/>
            <w:hideMark/>
          </w:tcPr>
          <w:p w14:paraId="4AF7260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437,326</w:t>
            </w:r>
          </w:p>
        </w:tc>
        <w:tc>
          <w:tcPr>
            <w:tcW w:w="880" w:type="dxa"/>
            <w:tcBorders>
              <w:top w:val="nil"/>
              <w:left w:val="nil"/>
              <w:bottom w:val="nil"/>
              <w:right w:val="nil"/>
            </w:tcBorders>
            <w:shd w:val="clear" w:color="auto" w:fill="auto"/>
            <w:noWrap/>
            <w:vAlign w:val="center"/>
            <w:hideMark/>
          </w:tcPr>
          <w:p w14:paraId="067B359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286,986</w:t>
            </w:r>
          </w:p>
        </w:tc>
        <w:tc>
          <w:tcPr>
            <w:tcW w:w="768" w:type="dxa"/>
            <w:tcBorders>
              <w:top w:val="nil"/>
              <w:left w:val="nil"/>
              <w:bottom w:val="nil"/>
              <w:right w:val="nil"/>
            </w:tcBorders>
            <w:shd w:val="clear" w:color="auto" w:fill="auto"/>
            <w:noWrap/>
            <w:vAlign w:val="center"/>
            <w:hideMark/>
          </w:tcPr>
          <w:p w14:paraId="3FC2865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334,813</w:t>
            </w:r>
          </w:p>
        </w:tc>
        <w:tc>
          <w:tcPr>
            <w:tcW w:w="847" w:type="dxa"/>
            <w:tcBorders>
              <w:top w:val="nil"/>
              <w:left w:val="nil"/>
              <w:bottom w:val="nil"/>
              <w:right w:val="nil"/>
            </w:tcBorders>
            <w:shd w:val="clear" w:color="auto" w:fill="auto"/>
            <w:noWrap/>
            <w:vAlign w:val="center"/>
            <w:hideMark/>
          </w:tcPr>
          <w:p w14:paraId="24A7A35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281,170</w:t>
            </w:r>
          </w:p>
        </w:tc>
        <w:tc>
          <w:tcPr>
            <w:tcW w:w="847" w:type="dxa"/>
            <w:tcBorders>
              <w:top w:val="nil"/>
              <w:left w:val="nil"/>
              <w:bottom w:val="nil"/>
              <w:right w:val="nil"/>
            </w:tcBorders>
            <w:shd w:val="clear" w:color="auto" w:fill="auto"/>
            <w:noWrap/>
            <w:vAlign w:val="center"/>
            <w:hideMark/>
          </w:tcPr>
          <w:p w14:paraId="4E316F1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470,667</w:t>
            </w:r>
          </w:p>
        </w:tc>
        <w:tc>
          <w:tcPr>
            <w:tcW w:w="847" w:type="dxa"/>
            <w:tcBorders>
              <w:top w:val="nil"/>
              <w:left w:val="nil"/>
              <w:bottom w:val="nil"/>
              <w:right w:val="nil"/>
            </w:tcBorders>
            <w:shd w:val="clear" w:color="auto" w:fill="auto"/>
            <w:noWrap/>
            <w:vAlign w:val="center"/>
            <w:hideMark/>
          </w:tcPr>
          <w:p w14:paraId="597F60D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315,385</w:t>
            </w:r>
          </w:p>
        </w:tc>
        <w:tc>
          <w:tcPr>
            <w:tcW w:w="945" w:type="dxa"/>
            <w:tcBorders>
              <w:top w:val="nil"/>
              <w:left w:val="nil"/>
              <w:bottom w:val="nil"/>
            </w:tcBorders>
            <w:shd w:val="clear" w:color="auto" w:fill="auto"/>
            <w:noWrap/>
            <w:vAlign w:val="center"/>
            <w:hideMark/>
          </w:tcPr>
          <w:p w14:paraId="06B37E7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2,875,424</w:t>
            </w:r>
          </w:p>
        </w:tc>
      </w:tr>
      <w:tr w:rsidR="0015649E" w:rsidRPr="0084045A" w14:paraId="2D61F1F1" w14:textId="77777777" w:rsidTr="00C3352F">
        <w:trPr>
          <w:trHeight w:val="212"/>
          <w:jc w:val="center"/>
        </w:trPr>
        <w:tc>
          <w:tcPr>
            <w:tcW w:w="728" w:type="dxa"/>
            <w:vMerge/>
            <w:shd w:val="clear" w:color="auto" w:fill="auto"/>
            <w:noWrap/>
            <w:textDirection w:val="btLr"/>
            <w:vAlign w:val="center"/>
            <w:hideMark/>
          </w:tcPr>
          <w:p w14:paraId="203BBEE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F167184" w14:textId="293079E8"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0B0D9C2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103,760</w:t>
            </w:r>
          </w:p>
        </w:tc>
        <w:tc>
          <w:tcPr>
            <w:tcW w:w="768" w:type="dxa"/>
            <w:tcBorders>
              <w:top w:val="nil"/>
              <w:left w:val="nil"/>
              <w:bottom w:val="nil"/>
              <w:right w:val="nil"/>
            </w:tcBorders>
            <w:shd w:val="clear" w:color="auto" w:fill="auto"/>
            <w:noWrap/>
            <w:vAlign w:val="center"/>
            <w:hideMark/>
          </w:tcPr>
          <w:p w14:paraId="242BB3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41,293</w:t>
            </w:r>
          </w:p>
        </w:tc>
        <w:tc>
          <w:tcPr>
            <w:tcW w:w="847" w:type="dxa"/>
            <w:tcBorders>
              <w:top w:val="nil"/>
              <w:left w:val="nil"/>
              <w:bottom w:val="nil"/>
              <w:right w:val="nil"/>
            </w:tcBorders>
            <w:shd w:val="clear" w:color="auto" w:fill="auto"/>
            <w:noWrap/>
            <w:vAlign w:val="center"/>
            <w:hideMark/>
          </w:tcPr>
          <w:p w14:paraId="3B96AA7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171,708</w:t>
            </w:r>
          </w:p>
        </w:tc>
        <w:tc>
          <w:tcPr>
            <w:tcW w:w="847" w:type="dxa"/>
            <w:tcBorders>
              <w:top w:val="nil"/>
              <w:left w:val="nil"/>
              <w:bottom w:val="nil"/>
              <w:right w:val="nil"/>
            </w:tcBorders>
            <w:shd w:val="clear" w:color="auto" w:fill="auto"/>
            <w:noWrap/>
            <w:vAlign w:val="center"/>
            <w:hideMark/>
          </w:tcPr>
          <w:p w14:paraId="1E173B1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188,456</w:t>
            </w:r>
          </w:p>
        </w:tc>
        <w:tc>
          <w:tcPr>
            <w:tcW w:w="880" w:type="dxa"/>
            <w:tcBorders>
              <w:top w:val="nil"/>
              <w:left w:val="nil"/>
              <w:bottom w:val="nil"/>
              <w:right w:val="nil"/>
            </w:tcBorders>
            <w:shd w:val="clear" w:color="auto" w:fill="auto"/>
            <w:noWrap/>
            <w:vAlign w:val="center"/>
            <w:hideMark/>
          </w:tcPr>
          <w:p w14:paraId="7C42348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164,122</w:t>
            </w:r>
          </w:p>
        </w:tc>
        <w:tc>
          <w:tcPr>
            <w:tcW w:w="768" w:type="dxa"/>
            <w:tcBorders>
              <w:top w:val="nil"/>
              <w:left w:val="nil"/>
              <w:bottom w:val="nil"/>
              <w:right w:val="nil"/>
            </w:tcBorders>
            <w:shd w:val="clear" w:color="auto" w:fill="auto"/>
            <w:noWrap/>
            <w:vAlign w:val="center"/>
            <w:hideMark/>
          </w:tcPr>
          <w:p w14:paraId="12E6C73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162,208</w:t>
            </w:r>
          </w:p>
        </w:tc>
        <w:tc>
          <w:tcPr>
            <w:tcW w:w="847" w:type="dxa"/>
            <w:tcBorders>
              <w:top w:val="nil"/>
              <w:left w:val="nil"/>
              <w:bottom w:val="nil"/>
              <w:right w:val="nil"/>
            </w:tcBorders>
            <w:shd w:val="clear" w:color="auto" w:fill="auto"/>
            <w:noWrap/>
            <w:vAlign w:val="center"/>
            <w:hideMark/>
          </w:tcPr>
          <w:p w14:paraId="3A7623B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201,867</w:t>
            </w:r>
          </w:p>
        </w:tc>
        <w:tc>
          <w:tcPr>
            <w:tcW w:w="847" w:type="dxa"/>
            <w:tcBorders>
              <w:top w:val="nil"/>
              <w:left w:val="nil"/>
              <w:bottom w:val="nil"/>
              <w:right w:val="nil"/>
            </w:tcBorders>
            <w:shd w:val="clear" w:color="auto" w:fill="auto"/>
            <w:noWrap/>
            <w:vAlign w:val="center"/>
            <w:hideMark/>
          </w:tcPr>
          <w:p w14:paraId="6143D71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370,522</w:t>
            </w:r>
          </w:p>
        </w:tc>
        <w:tc>
          <w:tcPr>
            <w:tcW w:w="847" w:type="dxa"/>
            <w:tcBorders>
              <w:top w:val="nil"/>
              <w:left w:val="nil"/>
              <w:bottom w:val="nil"/>
              <w:right w:val="nil"/>
            </w:tcBorders>
            <w:shd w:val="clear" w:color="auto" w:fill="auto"/>
            <w:noWrap/>
            <w:vAlign w:val="center"/>
            <w:hideMark/>
          </w:tcPr>
          <w:p w14:paraId="029EE05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189,967</w:t>
            </w:r>
          </w:p>
        </w:tc>
        <w:tc>
          <w:tcPr>
            <w:tcW w:w="945" w:type="dxa"/>
            <w:tcBorders>
              <w:top w:val="nil"/>
              <w:left w:val="nil"/>
              <w:bottom w:val="nil"/>
            </w:tcBorders>
            <w:shd w:val="clear" w:color="auto" w:fill="auto"/>
            <w:noWrap/>
            <w:vAlign w:val="center"/>
            <w:hideMark/>
          </w:tcPr>
          <w:p w14:paraId="2410A3A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1,593,902</w:t>
            </w:r>
          </w:p>
        </w:tc>
      </w:tr>
      <w:tr w:rsidR="0015649E" w:rsidRPr="0084045A" w14:paraId="79B4689D" w14:textId="77777777" w:rsidTr="00C3352F">
        <w:trPr>
          <w:trHeight w:val="212"/>
          <w:jc w:val="center"/>
        </w:trPr>
        <w:tc>
          <w:tcPr>
            <w:tcW w:w="728" w:type="dxa"/>
            <w:vMerge/>
            <w:shd w:val="clear" w:color="auto" w:fill="auto"/>
            <w:noWrap/>
            <w:textDirection w:val="btLr"/>
            <w:vAlign w:val="center"/>
            <w:hideMark/>
          </w:tcPr>
          <w:p w14:paraId="218B799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7EC4D49F" w14:textId="43C18077"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601DC32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32,524</w:t>
            </w:r>
          </w:p>
        </w:tc>
        <w:tc>
          <w:tcPr>
            <w:tcW w:w="768" w:type="dxa"/>
            <w:tcBorders>
              <w:top w:val="nil"/>
              <w:left w:val="nil"/>
              <w:bottom w:val="single" w:sz="4" w:space="0" w:color="auto"/>
              <w:right w:val="nil"/>
            </w:tcBorders>
            <w:shd w:val="clear" w:color="auto" w:fill="auto"/>
            <w:noWrap/>
            <w:vAlign w:val="center"/>
            <w:hideMark/>
          </w:tcPr>
          <w:p w14:paraId="70D3D46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17,409</w:t>
            </w:r>
          </w:p>
        </w:tc>
        <w:tc>
          <w:tcPr>
            <w:tcW w:w="847" w:type="dxa"/>
            <w:tcBorders>
              <w:top w:val="nil"/>
              <w:left w:val="nil"/>
              <w:bottom w:val="single" w:sz="4" w:space="0" w:color="auto"/>
              <w:right w:val="nil"/>
            </w:tcBorders>
            <w:shd w:val="clear" w:color="auto" w:fill="auto"/>
            <w:noWrap/>
            <w:vAlign w:val="center"/>
            <w:hideMark/>
          </w:tcPr>
          <w:p w14:paraId="09895B1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75,138</w:t>
            </w:r>
          </w:p>
        </w:tc>
        <w:tc>
          <w:tcPr>
            <w:tcW w:w="847" w:type="dxa"/>
            <w:tcBorders>
              <w:top w:val="nil"/>
              <w:left w:val="nil"/>
              <w:bottom w:val="single" w:sz="4" w:space="0" w:color="auto"/>
              <w:right w:val="nil"/>
            </w:tcBorders>
            <w:shd w:val="clear" w:color="auto" w:fill="auto"/>
            <w:noWrap/>
            <w:vAlign w:val="center"/>
            <w:hideMark/>
          </w:tcPr>
          <w:p w14:paraId="7577BCF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30,656</w:t>
            </w:r>
          </w:p>
        </w:tc>
        <w:tc>
          <w:tcPr>
            <w:tcW w:w="880" w:type="dxa"/>
            <w:tcBorders>
              <w:top w:val="nil"/>
              <w:left w:val="nil"/>
              <w:bottom w:val="single" w:sz="4" w:space="0" w:color="auto"/>
              <w:right w:val="nil"/>
            </w:tcBorders>
            <w:shd w:val="clear" w:color="auto" w:fill="auto"/>
            <w:noWrap/>
            <w:vAlign w:val="center"/>
            <w:hideMark/>
          </w:tcPr>
          <w:p w14:paraId="0D986FF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84,237</w:t>
            </w:r>
          </w:p>
        </w:tc>
        <w:tc>
          <w:tcPr>
            <w:tcW w:w="768" w:type="dxa"/>
            <w:tcBorders>
              <w:top w:val="nil"/>
              <w:left w:val="nil"/>
              <w:bottom w:val="single" w:sz="4" w:space="0" w:color="auto"/>
              <w:right w:val="nil"/>
            </w:tcBorders>
            <w:shd w:val="clear" w:color="auto" w:fill="auto"/>
            <w:noWrap/>
            <w:vAlign w:val="center"/>
            <w:hideMark/>
          </w:tcPr>
          <w:p w14:paraId="2C0C783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29,827</w:t>
            </w:r>
          </w:p>
        </w:tc>
        <w:tc>
          <w:tcPr>
            <w:tcW w:w="847" w:type="dxa"/>
            <w:tcBorders>
              <w:top w:val="nil"/>
              <w:left w:val="nil"/>
              <w:bottom w:val="single" w:sz="4" w:space="0" w:color="auto"/>
              <w:right w:val="nil"/>
            </w:tcBorders>
            <w:shd w:val="clear" w:color="auto" w:fill="auto"/>
            <w:noWrap/>
            <w:vAlign w:val="center"/>
            <w:hideMark/>
          </w:tcPr>
          <w:p w14:paraId="756C271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80,204</w:t>
            </w:r>
          </w:p>
        </w:tc>
        <w:tc>
          <w:tcPr>
            <w:tcW w:w="847" w:type="dxa"/>
            <w:tcBorders>
              <w:top w:val="nil"/>
              <w:left w:val="nil"/>
              <w:bottom w:val="single" w:sz="4" w:space="0" w:color="auto"/>
              <w:right w:val="nil"/>
            </w:tcBorders>
            <w:shd w:val="clear" w:color="auto" w:fill="auto"/>
            <w:noWrap/>
            <w:vAlign w:val="center"/>
            <w:hideMark/>
          </w:tcPr>
          <w:p w14:paraId="5123E8F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132,061</w:t>
            </w:r>
          </w:p>
        </w:tc>
        <w:tc>
          <w:tcPr>
            <w:tcW w:w="847" w:type="dxa"/>
            <w:tcBorders>
              <w:top w:val="nil"/>
              <w:left w:val="nil"/>
              <w:bottom w:val="single" w:sz="4" w:space="0" w:color="auto"/>
              <w:right w:val="nil"/>
            </w:tcBorders>
            <w:shd w:val="clear" w:color="auto" w:fill="auto"/>
            <w:noWrap/>
            <w:vAlign w:val="center"/>
            <w:hideMark/>
          </w:tcPr>
          <w:p w14:paraId="69ADC05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68,052</w:t>
            </w:r>
          </w:p>
        </w:tc>
        <w:tc>
          <w:tcPr>
            <w:tcW w:w="945" w:type="dxa"/>
            <w:tcBorders>
              <w:top w:val="nil"/>
              <w:left w:val="nil"/>
              <w:bottom w:val="single" w:sz="4" w:space="0" w:color="auto"/>
            </w:tcBorders>
            <w:shd w:val="clear" w:color="auto" w:fill="auto"/>
            <w:noWrap/>
            <w:vAlign w:val="center"/>
            <w:hideMark/>
          </w:tcPr>
          <w:p w14:paraId="49B9D886"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550,108</w:t>
            </w:r>
          </w:p>
        </w:tc>
      </w:tr>
      <w:tr w:rsidR="0015649E" w:rsidRPr="0084045A" w14:paraId="15655920" w14:textId="77777777" w:rsidTr="00C3352F">
        <w:trPr>
          <w:trHeight w:val="212"/>
          <w:jc w:val="center"/>
        </w:trPr>
        <w:tc>
          <w:tcPr>
            <w:tcW w:w="728" w:type="dxa"/>
            <w:vMerge w:val="restart"/>
            <w:shd w:val="clear" w:color="auto" w:fill="auto"/>
            <w:noWrap/>
            <w:textDirection w:val="btLr"/>
            <w:vAlign w:val="center"/>
            <w:hideMark/>
          </w:tcPr>
          <w:p w14:paraId="191E4A5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Durango</w:t>
            </w:r>
          </w:p>
        </w:tc>
        <w:tc>
          <w:tcPr>
            <w:tcW w:w="753" w:type="dxa"/>
            <w:tcBorders>
              <w:bottom w:val="nil"/>
              <w:right w:val="nil"/>
            </w:tcBorders>
            <w:vAlign w:val="center"/>
          </w:tcPr>
          <w:p w14:paraId="3A17D164" w14:textId="716A1E22"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3EC8A99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23,799</w:t>
            </w:r>
          </w:p>
        </w:tc>
        <w:tc>
          <w:tcPr>
            <w:tcW w:w="768" w:type="dxa"/>
            <w:tcBorders>
              <w:left w:val="nil"/>
              <w:bottom w:val="nil"/>
              <w:right w:val="nil"/>
            </w:tcBorders>
            <w:shd w:val="clear" w:color="auto" w:fill="auto"/>
            <w:noWrap/>
            <w:vAlign w:val="center"/>
            <w:hideMark/>
          </w:tcPr>
          <w:p w14:paraId="331FE665" w14:textId="54E4F4B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8203</w:t>
            </w:r>
          </w:p>
        </w:tc>
        <w:tc>
          <w:tcPr>
            <w:tcW w:w="847" w:type="dxa"/>
            <w:tcBorders>
              <w:left w:val="nil"/>
              <w:bottom w:val="nil"/>
              <w:right w:val="nil"/>
            </w:tcBorders>
            <w:shd w:val="clear" w:color="auto" w:fill="auto"/>
            <w:noWrap/>
            <w:vAlign w:val="center"/>
            <w:hideMark/>
          </w:tcPr>
          <w:p w14:paraId="69D67BE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31,354</w:t>
            </w:r>
          </w:p>
        </w:tc>
        <w:tc>
          <w:tcPr>
            <w:tcW w:w="847" w:type="dxa"/>
            <w:tcBorders>
              <w:left w:val="nil"/>
              <w:bottom w:val="nil"/>
              <w:right w:val="nil"/>
            </w:tcBorders>
            <w:shd w:val="clear" w:color="auto" w:fill="auto"/>
            <w:noWrap/>
            <w:vAlign w:val="center"/>
            <w:hideMark/>
          </w:tcPr>
          <w:p w14:paraId="645CCE4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22,539</w:t>
            </w:r>
          </w:p>
        </w:tc>
        <w:tc>
          <w:tcPr>
            <w:tcW w:w="880" w:type="dxa"/>
            <w:tcBorders>
              <w:left w:val="nil"/>
              <w:bottom w:val="nil"/>
              <w:right w:val="nil"/>
            </w:tcBorders>
            <w:shd w:val="clear" w:color="auto" w:fill="auto"/>
            <w:noWrap/>
            <w:vAlign w:val="center"/>
            <w:hideMark/>
          </w:tcPr>
          <w:p w14:paraId="576310F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28,816</w:t>
            </w:r>
          </w:p>
        </w:tc>
        <w:tc>
          <w:tcPr>
            <w:tcW w:w="768" w:type="dxa"/>
            <w:tcBorders>
              <w:left w:val="nil"/>
              <w:bottom w:val="nil"/>
              <w:right w:val="nil"/>
            </w:tcBorders>
            <w:shd w:val="clear" w:color="auto" w:fill="auto"/>
            <w:noWrap/>
            <w:vAlign w:val="center"/>
            <w:hideMark/>
          </w:tcPr>
          <w:p w14:paraId="0E8F18B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20,671</w:t>
            </w:r>
          </w:p>
        </w:tc>
        <w:tc>
          <w:tcPr>
            <w:tcW w:w="847" w:type="dxa"/>
            <w:tcBorders>
              <w:left w:val="nil"/>
              <w:bottom w:val="nil"/>
              <w:right w:val="nil"/>
            </w:tcBorders>
            <w:shd w:val="clear" w:color="auto" w:fill="auto"/>
            <w:noWrap/>
            <w:vAlign w:val="center"/>
            <w:hideMark/>
          </w:tcPr>
          <w:p w14:paraId="22B412C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20,292</w:t>
            </w:r>
          </w:p>
        </w:tc>
        <w:tc>
          <w:tcPr>
            <w:tcW w:w="847" w:type="dxa"/>
            <w:tcBorders>
              <w:left w:val="nil"/>
              <w:bottom w:val="nil"/>
              <w:right w:val="nil"/>
            </w:tcBorders>
            <w:shd w:val="clear" w:color="auto" w:fill="auto"/>
            <w:noWrap/>
            <w:vAlign w:val="center"/>
            <w:hideMark/>
          </w:tcPr>
          <w:p w14:paraId="71411E2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34,699</w:t>
            </w:r>
          </w:p>
        </w:tc>
        <w:tc>
          <w:tcPr>
            <w:tcW w:w="847" w:type="dxa"/>
            <w:tcBorders>
              <w:left w:val="nil"/>
              <w:bottom w:val="nil"/>
              <w:right w:val="nil"/>
            </w:tcBorders>
            <w:shd w:val="clear" w:color="auto" w:fill="auto"/>
            <w:noWrap/>
            <w:vAlign w:val="center"/>
            <w:hideMark/>
          </w:tcPr>
          <w:p w14:paraId="6A2EB16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22,989</w:t>
            </w:r>
          </w:p>
        </w:tc>
        <w:tc>
          <w:tcPr>
            <w:tcW w:w="945" w:type="dxa"/>
            <w:tcBorders>
              <w:left w:val="nil"/>
              <w:bottom w:val="nil"/>
            </w:tcBorders>
            <w:shd w:val="clear" w:color="auto" w:fill="auto"/>
            <w:noWrap/>
            <w:vAlign w:val="center"/>
            <w:hideMark/>
          </w:tcPr>
          <w:p w14:paraId="1C58CAB6"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213,364</w:t>
            </w:r>
          </w:p>
        </w:tc>
      </w:tr>
      <w:tr w:rsidR="0015649E" w:rsidRPr="0084045A" w14:paraId="3E837C9A" w14:textId="77777777" w:rsidTr="00C3352F">
        <w:trPr>
          <w:trHeight w:val="212"/>
          <w:jc w:val="center"/>
        </w:trPr>
        <w:tc>
          <w:tcPr>
            <w:tcW w:w="728" w:type="dxa"/>
            <w:vMerge/>
            <w:shd w:val="clear" w:color="auto" w:fill="auto"/>
            <w:noWrap/>
            <w:textDirection w:val="btLr"/>
            <w:vAlign w:val="center"/>
            <w:hideMark/>
          </w:tcPr>
          <w:p w14:paraId="6C18CC2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0E5D08D4" w14:textId="0F12F471"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22286EE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36,470</w:t>
            </w:r>
          </w:p>
        </w:tc>
        <w:tc>
          <w:tcPr>
            <w:tcW w:w="768" w:type="dxa"/>
            <w:tcBorders>
              <w:top w:val="nil"/>
              <w:left w:val="nil"/>
              <w:bottom w:val="nil"/>
              <w:right w:val="nil"/>
            </w:tcBorders>
            <w:shd w:val="clear" w:color="auto" w:fill="auto"/>
            <w:noWrap/>
            <w:vAlign w:val="center"/>
            <w:hideMark/>
          </w:tcPr>
          <w:p w14:paraId="04327A9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16,550</w:t>
            </w:r>
          </w:p>
        </w:tc>
        <w:tc>
          <w:tcPr>
            <w:tcW w:w="847" w:type="dxa"/>
            <w:tcBorders>
              <w:top w:val="nil"/>
              <w:left w:val="nil"/>
              <w:bottom w:val="nil"/>
              <w:right w:val="nil"/>
            </w:tcBorders>
            <w:shd w:val="clear" w:color="auto" w:fill="auto"/>
            <w:noWrap/>
            <w:vAlign w:val="center"/>
            <w:hideMark/>
          </w:tcPr>
          <w:p w14:paraId="1F96C0D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55,577</w:t>
            </w:r>
          </w:p>
        </w:tc>
        <w:tc>
          <w:tcPr>
            <w:tcW w:w="847" w:type="dxa"/>
            <w:tcBorders>
              <w:top w:val="nil"/>
              <w:left w:val="nil"/>
              <w:bottom w:val="nil"/>
              <w:right w:val="nil"/>
            </w:tcBorders>
            <w:shd w:val="clear" w:color="auto" w:fill="auto"/>
            <w:noWrap/>
            <w:vAlign w:val="center"/>
            <w:hideMark/>
          </w:tcPr>
          <w:p w14:paraId="756FB4F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33,312</w:t>
            </w:r>
          </w:p>
        </w:tc>
        <w:tc>
          <w:tcPr>
            <w:tcW w:w="880" w:type="dxa"/>
            <w:tcBorders>
              <w:top w:val="nil"/>
              <w:left w:val="nil"/>
              <w:bottom w:val="nil"/>
              <w:right w:val="nil"/>
            </w:tcBorders>
            <w:shd w:val="clear" w:color="auto" w:fill="auto"/>
            <w:noWrap/>
            <w:vAlign w:val="center"/>
            <w:hideMark/>
          </w:tcPr>
          <w:p w14:paraId="597F4E6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53,615</w:t>
            </w:r>
          </w:p>
        </w:tc>
        <w:tc>
          <w:tcPr>
            <w:tcW w:w="768" w:type="dxa"/>
            <w:tcBorders>
              <w:top w:val="nil"/>
              <w:left w:val="nil"/>
              <w:bottom w:val="nil"/>
              <w:right w:val="nil"/>
            </w:tcBorders>
            <w:shd w:val="clear" w:color="auto" w:fill="auto"/>
            <w:noWrap/>
            <w:vAlign w:val="center"/>
            <w:hideMark/>
          </w:tcPr>
          <w:p w14:paraId="03EFFFC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36,611</w:t>
            </w:r>
          </w:p>
        </w:tc>
        <w:tc>
          <w:tcPr>
            <w:tcW w:w="847" w:type="dxa"/>
            <w:tcBorders>
              <w:top w:val="nil"/>
              <w:left w:val="nil"/>
              <w:bottom w:val="nil"/>
              <w:right w:val="nil"/>
            </w:tcBorders>
            <w:shd w:val="clear" w:color="auto" w:fill="auto"/>
            <w:noWrap/>
            <w:vAlign w:val="center"/>
            <w:hideMark/>
          </w:tcPr>
          <w:p w14:paraId="2933D21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50,231</w:t>
            </w:r>
          </w:p>
        </w:tc>
        <w:tc>
          <w:tcPr>
            <w:tcW w:w="847" w:type="dxa"/>
            <w:tcBorders>
              <w:top w:val="nil"/>
              <w:left w:val="nil"/>
              <w:bottom w:val="nil"/>
              <w:right w:val="nil"/>
            </w:tcBorders>
            <w:shd w:val="clear" w:color="auto" w:fill="auto"/>
            <w:noWrap/>
            <w:vAlign w:val="center"/>
            <w:hideMark/>
          </w:tcPr>
          <w:p w14:paraId="440F14D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63,512</w:t>
            </w:r>
          </w:p>
        </w:tc>
        <w:tc>
          <w:tcPr>
            <w:tcW w:w="847" w:type="dxa"/>
            <w:tcBorders>
              <w:top w:val="nil"/>
              <w:left w:val="nil"/>
              <w:bottom w:val="nil"/>
              <w:right w:val="nil"/>
            </w:tcBorders>
            <w:shd w:val="clear" w:color="auto" w:fill="auto"/>
            <w:noWrap/>
            <w:vAlign w:val="center"/>
            <w:hideMark/>
          </w:tcPr>
          <w:p w14:paraId="11A06D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43,686</w:t>
            </w:r>
          </w:p>
        </w:tc>
        <w:tc>
          <w:tcPr>
            <w:tcW w:w="945" w:type="dxa"/>
            <w:tcBorders>
              <w:top w:val="nil"/>
              <w:left w:val="nil"/>
              <w:bottom w:val="nil"/>
            </w:tcBorders>
            <w:shd w:val="clear" w:color="auto" w:fill="auto"/>
            <w:noWrap/>
            <w:vAlign w:val="center"/>
            <w:hideMark/>
          </w:tcPr>
          <w:p w14:paraId="528474D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389,562</w:t>
            </w:r>
          </w:p>
        </w:tc>
      </w:tr>
      <w:tr w:rsidR="0015649E" w:rsidRPr="0084045A" w14:paraId="505166F6" w14:textId="77777777" w:rsidTr="00C3352F">
        <w:trPr>
          <w:trHeight w:val="212"/>
          <w:jc w:val="center"/>
        </w:trPr>
        <w:tc>
          <w:tcPr>
            <w:tcW w:w="728" w:type="dxa"/>
            <w:vMerge/>
            <w:shd w:val="clear" w:color="auto" w:fill="auto"/>
            <w:noWrap/>
            <w:textDirection w:val="btLr"/>
            <w:vAlign w:val="center"/>
            <w:hideMark/>
          </w:tcPr>
          <w:p w14:paraId="554FFCA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89BA0C6" w14:textId="653850B7"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0573C88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41,973</w:t>
            </w:r>
          </w:p>
        </w:tc>
        <w:tc>
          <w:tcPr>
            <w:tcW w:w="768" w:type="dxa"/>
            <w:tcBorders>
              <w:top w:val="nil"/>
              <w:left w:val="nil"/>
              <w:bottom w:val="nil"/>
              <w:right w:val="nil"/>
            </w:tcBorders>
            <w:shd w:val="clear" w:color="auto" w:fill="auto"/>
            <w:noWrap/>
            <w:vAlign w:val="center"/>
            <w:hideMark/>
          </w:tcPr>
          <w:p w14:paraId="45E10C4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20,047</w:t>
            </w:r>
          </w:p>
        </w:tc>
        <w:tc>
          <w:tcPr>
            <w:tcW w:w="847" w:type="dxa"/>
            <w:tcBorders>
              <w:top w:val="nil"/>
              <w:left w:val="nil"/>
              <w:bottom w:val="nil"/>
              <w:right w:val="nil"/>
            </w:tcBorders>
            <w:shd w:val="clear" w:color="auto" w:fill="auto"/>
            <w:noWrap/>
            <w:vAlign w:val="center"/>
            <w:hideMark/>
          </w:tcPr>
          <w:p w14:paraId="65A1F2B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66,624</w:t>
            </w:r>
          </w:p>
        </w:tc>
        <w:tc>
          <w:tcPr>
            <w:tcW w:w="847" w:type="dxa"/>
            <w:tcBorders>
              <w:top w:val="nil"/>
              <w:left w:val="nil"/>
              <w:bottom w:val="nil"/>
              <w:right w:val="nil"/>
            </w:tcBorders>
            <w:shd w:val="clear" w:color="auto" w:fill="auto"/>
            <w:noWrap/>
            <w:vAlign w:val="center"/>
            <w:hideMark/>
          </w:tcPr>
          <w:p w14:paraId="10E8286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77,432</w:t>
            </w:r>
          </w:p>
        </w:tc>
        <w:tc>
          <w:tcPr>
            <w:tcW w:w="880" w:type="dxa"/>
            <w:tcBorders>
              <w:top w:val="nil"/>
              <w:left w:val="nil"/>
              <w:bottom w:val="nil"/>
              <w:right w:val="nil"/>
            </w:tcBorders>
            <w:shd w:val="clear" w:color="auto" w:fill="auto"/>
            <w:noWrap/>
            <w:vAlign w:val="center"/>
            <w:hideMark/>
          </w:tcPr>
          <w:p w14:paraId="356392F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51,684</w:t>
            </w:r>
          </w:p>
        </w:tc>
        <w:tc>
          <w:tcPr>
            <w:tcW w:w="768" w:type="dxa"/>
            <w:tcBorders>
              <w:top w:val="nil"/>
              <w:left w:val="nil"/>
              <w:bottom w:val="nil"/>
              <w:right w:val="nil"/>
            </w:tcBorders>
            <w:shd w:val="clear" w:color="auto" w:fill="auto"/>
            <w:noWrap/>
            <w:vAlign w:val="center"/>
            <w:hideMark/>
          </w:tcPr>
          <w:p w14:paraId="4809345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61,344</w:t>
            </w:r>
          </w:p>
        </w:tc>
        <w:tc>
          <w:tcPr>
            <w:tcW w:w="847" w:type="dxa"/>
            <w:tcBorders>
              <w:top w:val="nil"/>
              <w:left w:val="nil"/>
              <w:bottom w:val="nil"/>
              <w:right w:val="nil"/>
            </w:tcBorders>
            <w:shd w:val="clear" w:color="auto" w:fill="auto"/>
            <w:noWrap/>
            <w:vAlign w:val="center"/>
            <w:hideMark/>
          </w:tcPr>
          <w:p w14:paraId="2429D30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52,269</w:t>
            </w:r>
          </w:p>
        </w:tc>
        <w:tc>
          <w:tcPr>
            <w:tcW w:w="847" w:type="dxa"/>
            <w:tcBorders>
              <w:top w:val="nil"/>
              <w:left w:val="nil"/>
              <w:bottom w:val="nil"/>
              <w:right w:val="nil"/>
            </w:tcBorders>
            <w:shd w:val="clear" w:color="auto" w:fill="auto"/>
            <w:noWrap/>
            <w:vAlign w:val="center"/>
            <w:hideMark/>
          </w:tcPr>
          <w:p w14:paraId="7392BE0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88,782</w:t>
            </w:r>
          </w:p>
        </w:tc>
        <w:tc>
          <w:tcPr>
            <w:tcW w:w="847" w:type="dxa"/>
            <w:tcBorders>
              <w:top w:val="nil"/>
              <w:left w:val="nil"/>
              <w:bottom w:val="nil"/>
              <w:right w:val="nil"/>
            </w:tcBorders>
            <w:shd w:val="clear" w:color="auto" w:fill="auto"/>
            <w:noWrap/>
            <w:vAlign w:val="center"/>
            <w:hideMark/>
          </w:tcPr>
          <w:p w14:paraId="5F916C6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60,372</w:t>
            </w:r>
          </w:p>
        </w:tc>
        <w:tc>
          <w:tcPr>
            <w:tcW w:w="945" w:type="dxa"/>
            <w:tcBorders>
              <w:top w:val="nil"/>
              <w:left w:val="nil"/>
              <w:bottom w:val="nil"/>
            </w:tcBorders>
            <w:shd w:val="clear" w:color="auto" w:fill="auto"/>
            <w:noWrap/>
            <w:vAlign w:val="center"/>
            <w:hideMark/>
          </w:tcPr>
          <w:p w14:paraId="68F9C041"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520,528</w:t>
            </w:r>
          </w:p>
        </w:tc>
      </w:tr>
      <w:tr w:rsidR="0015649E" w:rsidRPr="0084045A" w14:paraId="40D68EE5" w14:textId="77777777" w:rsidTr="00C3352F">
        <w:trPr>
          <w:trHeight w:val="212"/>
          <w:jc w:val="center"/>
        </w:trPr>
        <w:tc>
          <w:tcPr>
            <w:tcW w:w="728" w:type="dxa"/>
            <w:vMerge/>
            <w:shd w:val="clear" w:color="auto" w:fill="auto"/>
            <w:noWrap/>
            <w:textDirection w:val="btLr"/>
            <w:vAlign w:val="center"/>
            <w:hideMark/>
          </w:tcPr>
          <w:p w14:paraId="5DE7D40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1BE7A52" w14:textId="3C7D6921"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23676AD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14,674</w:t>
            </w:r>
          </w:p>
        </w:tc>
        <w:tc>
          <w:tcPr>
            <w:tcW w:w="768" w:type="dxa"/>
            <w:tcBorders>
              <w:top w:val="nil"/>
              <w:left w:val="nil"/>
              <w:bottom w:val="nil"/>
              <w:right w:val="nil"/>
            </w:tcBorders>
            <w:shd w:val="clear" w:color="auto" w:fill="auto"/>
            <w:noWrap/>
            <w:vAlign w:val="center"/>
            <w:hideMark/>
          </w:tcPr>
          <w:p w14:paraId="517A85C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5,874</w:t>
            </w:r>
          </w:p>
        </w:tc>
        <w:tc>
          <w:tcPr>
            <w:tcW w:w="847" w:type="dxa"/>
            <w:tcBorders>
              <w:top w:val="nil"/>
              <w:left w:val="nil"/>
              <w:bottom w:val="nil"/>
              <w:right w:val="nil"/>
            </w:tcBorders>
            <w:shd w:val="clear" w:color="auto" w:fill="auto"/>
            <w:noWrap/>
            <w:vAlign w:val="center"/>
            <w:hideMark/>
          </w:tcPr>
          <w:p w14:paraId="646B350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24,569</w:t>
            </w:r>
          </w:p>
        </w:tc>
        <w:tc>
          <w:tcPr>
            <w:tcW w:w="847" w:type="dxa"/>
            <w:tcBorders>
              <w:top w:val="nil"/>
              <w:left w:val="nil"/>
              <w:bottom w:val="nil"/>
              <w:right w:val="nil"/>
            </w:tcBorders>
            <w:shd w:val="clear" w:color="auto" w:fill="auto"/>
            <w:noWrap/>
            <w:vAlign w:val="center"/>
            <w:hideMark/>
          </w:tcPr>
          <w:p w14:paraId="7FDE328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27,123</w:t>
            </w:r>
          </w:p>
        </w:tc>
        <w:tc>
          <w:tcPr>
            <w:tcW w:w="880" w:type="dxa"/>
            <w:tcBorders>
              <w:top w:val="nil"/>
              <w:left w:val="nil"/>
              <w:bottom w:val="nil"/>
              <w:right w:val="nil"/>
            </w:tcBorders>
            <w:shd w:val="clear" w:color="auto" w:fill="auto"/>
            <w:noWrap/>
            <w:vAlign w:val="center"/>
            <w:hideMark/>
          </w:tcPr>
          <w:p w14:paraId="0A45F90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23,758</w:t>
            </w:r>
          </w:p>
        </w:tc>
        <w:tc>
          <w:tcPr>
            <w:tcW w:w="768" w:type="dxa"/>
            <w:tcBorders>
              <w:top w:val="nil"/>
              <w:left w:val="nil"/>
              <w:bottom w:val="nil"/>
              <w:right w:val="nil"/>
            </w:tcBorders>
            <w:shd w:val="clear" w:color="auto" w:fill="auto"/>
            <w:noWrap/>
            <w:vAlign w:val="center"/>
            <w:hideMark/>
          </w:tcPr>
          <w:p w14:paraId="396E749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23,617</w:t>
            </w:r>
          </w:p>
        </w:tc>
        <w:tc>
          <w:tcPr>
            <w:tcW w:w="847" w:type="dxa"/>
            <w:tcBorders>
              <w:top w:val="nil"/>
              <w:left w:val="nil"/>
              <w:bottom w:val="nil"/>
              <w:right w:val="nil"/>
            </w:tcBorders>
            <w:shd w:val="clear" w:color="auto" w:fill="auto"/>
            <w:noWrap/>
            <w:vAlign w:val="center"/>
            <w:hideMark/>
          </w:tcPr>
          <w:p w14:paraId="5D7C1E9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29,745</w:t>
            </w:r>
          </w:p>
        </w:tc>
        <w:tc>
          <w:tcPr>
            <w:tcW w:w="847" w:type="dxa"/>
            <w:tcBorders>
              <w:top w:val="nil"/>
              <w:left w:val="nil"/>
              <w:bottom w:val="nil"/>
              <w:right w:val="nil"/>
            </w:tcBorders>
            <w:shd w:val="clear" w:color="auto" w:fill="auto"/>
            <w:noWrap/>
            <w:vAlign w:val="center"/>
            <w:hideMark/>
          </w:tcPr>
          <w:p w14:paraId="7DAEA79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55,263</w:t>
            </w:r>
          </w:p>
        </w:tc>
        <w:tc>
          <w:tcPr>
            <w:tcW w:w="847" w:type="dxa"/>
            <w:tcBorders>
              <w:top w:val="nil"/>
              <w:left w:val="nil"/>
              <w:bottom w:val="nil"/>
              <w:right w:val="nil"/>
            </w:tcBorders>
            <w:shd w:val="clear" w:color="auto" w:fill="auto"/>
            <w:noWrap/>
            <w:vAlign w:val="center"/>
            <w:hideMark/>
          </w:tcPr>
          <w:p w14:paraId="305FA3F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28,684</w:t>
            </w:r>
          </w:p>
        </w:tc>
        <w:tc>
          <w:tcPr>
            <w:tcW w:w="945" w:type="dxa"/>
            <w:tcBorders>
              <w:top w:val="nil"/>
              <w:left w:val="nil"/>
              <w:bottom w:val="nil"/>
            </w:tcBorders>
            <w:shd w:val="clear" w:color="auto" w:fill="auto"/>
            <w:noWrap/>
            <w:vAlign w:val="center"/>
            <w:hideMark/>
          </w:tcPr>
          <w:p w14:paraId="60232F3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233,305</w:t>
            </w:r>
          </w:p>
        </w:tc>
      </w:tr>
      <w:tr w:rsidR="0015649E" w:rsidRPr="0084045A" w14:paraId="3691A0C7" w14:textId="77777777" w:rsidTr="00C3352F">
        <w:trPr>
          <w:trHeight w:val="212"/>
          <w:jc w:val="center"/>
        </w:trPr>
        <w:tc>
          <w:tcPr>
            <w:tcW w:w="728" w:type="dxa"/>
            <w:vMerge/>
            <w:shd w:val="clear" w:color="auto" w:fill="auto"/>
            <w:noWrap/>
            <w:textDirection w:val="btLr"/>
            <w:vAlign w:val="center"/>
            <w:hideMark/>
          </w:tcPr>
          <w:p w14:paraId="0234B91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3BAD6F4A" w14:textId="3236D900"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07932BC0" w14:textId="6E8CFE7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4803</w:t>
            </w:r>
          </w:p>
        </w:tc>
        <w:tc>
          <w:tcPr>
            <w:tcW w:w="768" w:type="dxa"/>
            <w:tcBorders>
              <w:top w:val="nil"/>
              <w:left w:val="nil"/>
              <w:bottom w:val="single" w:sz="4" w:space="0" w:color="auto"/>
              <w:right w:val="nil"/>
            </w:tcBorders>
            <w:shd w:val="clear" w:color="auto" w:fill="auto"/>
            <w:noWrap/>
            <w:vAlign w:val="center"/>
            <w:hideMark/>
          </w:tcPr>
          <w:p w14:paraId="34022244" w14:textId="320B5AAC"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2541</w:t>
            </w:r>
          </w:p>
        </w:tc>
        <w:tc>
          <w:tcPr>
            <w:tcW w:w="847" w:type="dxa"/>
            <w:tcBorders>
              <w:top w:val="nil"/>
              <w:left w:val="nil"/>
              <w:bottom w:val="single" w:sz="4" w:space="0" w:color="auto"/>
              <w:right w:val="nil"/>
            </w:tcBorders>
            <w:shd w:val="clear" w:color="auto" w:fill="auto"/>
            <w:noWrap/>
            <w:vAlign w:val="center"/>
            <w:hideMark/>
          </w:tcPr>
          <w:p w14:paraId="50E9696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10,841</w:t>
            </w:r>
          </w:p>
        </w:tc>
        <w:tc>
          <w:tcPr>
            <w:tcW w:w="847" w:type="dxa"/>
            <w:tcBorders>
              <w:top w:val="nil"/>
              <w:left w:val="nil"/>
              <w:bottom w:val="single" w:sz="4" w:space="0" w:color="auto"/>
              <w:right w:val="nil"/>
            </w:tcBorders>
            <w:shd w:val="clear" w:color="auto" w:fill="auto"/>
            <w:noWrap/>
            <w:vAlign w:val="center"/>
            <w:hideMark/>
          </w:tcPr>
          <w:p w14:paraId="257DD1C4" w14:textId="78A255E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4371</w:t>
            </w:r>
          </w:p>
        </w:tc>
        <w:tc>
          <w:tcPr>
            <w:tcW w:w="880" w:type="dxa"/>
            <w:tcBorders>
              <w:top w:val="nil"/>
              <w:left w:val="nil"/>
              <w:bottom w:val="single" w:sz="4" w:space="0" w:color="auto"/>
              <w:right w:val="nil"/>
            </w:tcBorders>
            <w:shd w:val="clear" w:color="auto" w:fill="auto"/>
            <w:noWrap/>
            <w:vAlign w:val="center"/>
            <w:hideMark/>
          </w:tcPr>
          <w:p w14:paraId="66E4FFE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11,873</w:t>
            </w:r>
          </w:p>
        </w:tc>
        <w:tc>
          <w:tcPr>
            <w:tcW w:w="768" w:type="dxa"/>
            <w:tcBorders>
              <w:top w:val="nil"/>
              <w:left w:val="nil"/>
              <w:bottom w:val="single" w:sz="4" w:space="0" w:color="auto"/>
              <w:right w:val="nil"/>
            </w:tcBorders>
            <w:shd w:val="clear" w:color="auto" w:fill="auto"/>
            <w:noWrap/>
            <w:vAlign w:val="center"/>
            <w:hideMark/>
          </w:tcPr>
          <w:p w14:paraId="7A3A277E" w14:textId="06C7059F"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4155</w:t>
            </w:r>
          </w:p>
        </w:tc>
        <w:tc>
          <w:tcPr>
            <w:tcW w:w="847" w:type="dxa"/>
            <w:tcBorders>
              <w:top w:val="nil"/>
              <w:left w:val="nil"/>
              <w:bottom w:val="single" w:sz="4" w:space="0" w:color="auto"/>
              <w:right w:val="nil"/>
            </w:tcBorders>
            <w:shd w:val="clear" w:color="auto" w:fill="auto"/>
            <w:noWrap/>
            <w:vAlign w:val="center"/>
            <w:hideMark/>
          </w:tcPr>
          <w:p w14:paraId="240A002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11,150</w:t>
            </w:r>
          </w:p>
        </w:tc>
        <w:tc>
          <w:tcPr>
            <w:tcW w:w="847" w:type="dxa"/>
            <w:tcBorders>
              <w:top w:val="nil"/>
              <w:left w:val="nil"/>
              <w:bottom w:val="single" w:sz="4" w:space="0" w:color="auto"/>
              <w:right w:val="nil"/>
            </w:tcBorders>
            <w:shd w:val="clear" w:color="auto" w:fill="auto"/>
            <w:noWrap/>
            <w:vAlign w:val="center"/>
            <w:hideMark/>
          </w:tcPr>
          <w:p w14:paraId="2EB51A9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18,333</w:t>
            </w:r>
          </w:p>
        </w:tc>
        <w:tc>
          <w:tcPr>
            <w:tcW w:w="847" w:type="dxa"/>
            <w:tcBorders>
              <w:top w:val="nil"/>
              <w:left w:val="nil"/>
              <w:bottom w:val="single" w:sz="4" w:space="0" w:color="auto"/>
              <w:right w:val="nil"/>
            </w:tcBorders>
            <w:shd w:val="clear" w:color="auto" w:fill="auto"/>
            <w:noWrap/>
            <w:vAlign w:val="center"/>
            <w:hideMark/>
          </w:tcPr>
          <w:p w14:paraId="74CA93DB" w14:textId="1C2F51CC"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9441</w:t>
            </w:r>
          </w:p>
        </w:tc>
        <w:tc>
          <w:tcPr>
            <w:tcW w:w="945" w:type="dxa"/>
            <w:tcBorders>
              <w:top w:val="nil"/>
              <w:left w:val="nil"/>
              <w:bottom w:val="single" w:sz="4" w:space="0" w:color="auto"/>
            </w:tcBorders>
            <w:shd w:val="clear" w:color="auto" w:fill="auto"/>
            <w:noWrap/>
            <w:vAlign w:val="center"/>
            <w:hideMark/>
          </w:tcPr>
          <w:p w14:paraId="1A9739D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77,508</w:t>
            </w:r>
          </w:p>
        </w:tc>
      </w:tr>
      <w:tr w:rsidR="0015649E" w:rsidRPr="0084045A" w14:paraId="28C1CA35" w14:textId="77777777" w:rsidTr="00C3352F">
        <w:trPr>
          <w:trHeight w:val="212"/>
          <w:jc w:val="center"/>
        </w:trPr>
        <w:tc>
          <w:tcPr>
            <w:tcW w:w="728" w:type="dxa"/>
            <w:vMerge w:val="restart"/>
            <w:shd w:val="clear" w:color="auto" w:fill="auto"/>
            <w:noWrap/>
            <w:textDirection w:val="btLr"/>
            <w:vAlign w:val="center"/>
            <w:hideMark/>
          </w:tcPr>
          <w:p w14:paraId="0BD1BF5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lastRenderedPageBreak/>
              <w:t>Guerrero</w:t>
            </w:r>
          </w:p>
        </w:tc>
        <w:tc>
          <w:tcPr>
            <w:tcW w:w="753" w:type="dxa"/>
            <w:tcBorders>
              <w:bottom w:val="nil"/>
              <w:right w:val="nil"/>
            </w:tcBorders>
            <w:vAlign w:val="center"/>
          </w:tcPr>
          <w:p w14:paraId="08A57C24" w14:textId="7D2FAFC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4F98324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52,006</w:t>
            </w:r>
          </w:p>
        </w:tc>
        <w:tc>
          <w:tcPr>
            <w:tcW w:w="768" w:type="dxa"/>
            <w:tcBorders>
              <w:left w:val="nil"/>
              <w:bottom w:val="nil"/>
              <w:right w:val="nil"/>
            </w:tcBorders>
            <w:shd w:val="clear" w:color="auto" w:fill="auto"/>
            <w:noWrap/>
            <w:vAlign w:val="center"/>
            <w:hideMark/>
          </w:tcPr>
          <w:p w14:paraId="1CCD359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17,711</w:t>
            </w:r>
          </w:p>
        </w:tc>
        <w:tc>
          <w:tcPr>
            <w:tcW w:w="847" w:type="dxa"/>
            <w:tcBorders>
              <w:left w:val="nil"/>
              <w:bottom w:val="nil"/>
              <w:right w:val="nil"/>
            </w:tcBorders>
            <w:shd w:val="clear" w:color="auto" w:fill="auto"/>
            <w:noWrap/>
            <w:vAlign w:val="center"/>
            <w:hideMark/>
          </w:tcPr>
          <w:p w14:paraId="078DC85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66,883</w:t>
            </w:r>
          </w:p>
        </w:tc>
        <w:tc>
          <w:tcPr>
            <w:tcW w:w="847" w:type="dxa"/>
            <w:tcBorders>
              <w:left w:val="nil"/>
              <w:bottom w:val="nil"/>
              <w:right w:val="nil"/>
            </w:tcBorders>
            <w:shd w:val="clear" w:color="auto" w:fill="auto"/>
            <w:noWrap/>
            <w:vAlign w:val="center"/>
            <w:hideMark/>
          </w:tcPr>
          <w:p w14:paraId="654C377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47,508</w:t>
            </w:r>
          </w:p>
        </w:tc>
        <w:tc>
          <w:tcPr>
            <w:tcW w:w="880" w:type="dxa"/>
            <w:tcBorders>
              <w:left w:val="nil"/>
              <w:bottom w:val="nil"/>
              <w:right w:val="nil"/>
            </w:tcBorders>
            <w:shd w:val="clear" w:color="auto" w:fill="auto"/>
            <w:noWrap/>
            <w:vAlign w:val="center"/>
            <w:hideMark/>
          </w:tcPr>
          <w:p w14:paraId="37F93D2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60,026</w:t>
            </w:r>
          </w:p>
        </w:tc>
        <w:tc>
          <w:tcPr>
            <w:tcW w:w="768" w:type="dxa"/>
            <w:tcBorders>
              <w:left w:val="nil"/>
              <w:bottom w:val="nil"/>
              <w:right w:val="nil"/>
            </w:tcBorders>
            <w:shd w:val="clear" w:color="auto" w:fill="auto"/>
            <w:noWrap/>
            <w:vAlign w:val="center"/>
            <w:hideMark/>
          </w:tcPr>
          <w:p w14:paraId="6FABE85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42,557</w:t>
            </w:r>
          </w:p>
        </w:tc>
        <w:tc>
          <w:tcPr>
            <w:tcW w:w="847" w:type="dxa"/>
            <w:tcBorders>
              <w:left w:val="nil"/>
              <w:bottom w:val="nil"/>
              <w:right w:val="nil"/>
            </w:tcBorders>
            <w:shd w:val="clear" w:color="auto" w:fill="auto"/>
            <w:noWrap/>
            <w:vAlign w:val="center"/>
            <w:hideMark/>
          </w:tcPr>
          <w:p w14:paraId="30FD566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41,822</w:t>
            </w:r>
          </w:p>
        </w:tc>
        <w:tc>
          <w:tcPr>
            <w:tcW w:w="847" w:type="dxa"/>
            <w:tcBorders>
              <w:left w:val="nil"/>
              <w:bottom w:val="nil"/>
              <w:right w:val="nil"/>
            </w:tcBorders>
            <w:shd w:val="clear" w:color="auto" w:fill="auto"/>
            <w:noWrap/>
            <w:vAlign w:val="center"/>
            <w:hideMark/>
          </w:tcPr>
          <w:p w14:paraId="01E79BF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71,668</w:t>
            </w:r>
          </w:p>
        </w:tc>
        <w:tc>
          <w:tcPr>
            <w:tcW w:w="847" w:type="dxa"/>
            <w:tcBorders>
              <w:left w:val="nil"/>
              <w:bottom w:val="nil"/>
              <w:right w:val="nil"/>
            </w:tcBorders>
            <w:shd w:val="clear" w:color="auto" w:fill="auto"/>
            <w:noWrap/>
            <w:vAlign w:val="center"/>
            <w:hideMark/>
          </w:tcPr>
          <w:p w14:paraId="2D57D6B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47,578</w:t>
            </w:r>
          </w:p>
        </w:tc>
        <w:tc>
          <w:tcPr>
            <w:tcW w:w="945" w:type="dxa"/>
            <w:tcBorders>
              <w:left w:val="nil"/>
              <w:bottom w:val="nil"/>
            </w:tcBorders>
            <w:shd w:val="clear" w:color="auto" w:fill="auto"/>
            <w:noWrap/>
            <w:vAlign w:val="center"/>
            <w:hideMark/>
          </w:tcPr>
          <w:p w14:paraId="1DD5A90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447,758</w:t>
            </w:r>
          </w:p>
        </w:tc>
      </w:tr>
      <w:tr w:rsidR="0015649E" w:rsidRPr="0084045A" w14:paraId="14483518" w14:textId="77777777" w:rsidTr="00C3352F">
        <w:trPr>
          <w:trHeight w:val="212"/>
          <w:jc w:val="center"/>
        </w:trPr>
        <w:tc>
          <w:tcPr>
            <w:tcW w:w="728" w:type="dxa"/>
            <w:vMerge/>
            <w:shd w:val="clear" w:color="auto" w:fill="auto"/>
            <w:noWrap/>
            <w:textDirection w:val="btLr"/>
            <w:vAlign w:val="center"/>
            <w:hideMark/>
          </w:tcPr>
          <w:p w14:paraId="2D771F3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DF5FB51" w14:textId="29789E19"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70B726F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80,876</w:t>
            </w:r>
          </w:p>
        </w:tc>
        <w:tc>
          <w:tcPr>
            <w:tcW w:w="768" w:type="dxa"/>
            <w:tcBorders>
              <w:top w:val="nil"/>
              <w:left w:val="nil"/>
              <w:bottom w:val="nil"/>
              <w:right w:val="nil"/>
            </w:tcBorders>
            <w:shd w:val="clear" w:color="auto" w:fill="auto"/>
            <w:noWrap/>
            <w:vAlign w:val="center"/>
            <w:hideMark/>
          </w:tcPr>
          <w:p w14:paraId="3D5DE78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36,289</w:t>
            </w:r>
          </w:p>
        </w:tc>
        <w:tc>
          <w:tcPr>
            <w:tcW w:w="847" w:type="dxa"/>
            <w:tcBorders>
              <w:top w:val="nil"/>
              <w:left w:val="nil"/>
              <w:bottom w:val="nil"/>
              <w:right w:val="nil"/>
            </w:tcBorders>
            <w:shd w:val="clear" w:color="auto" w:fill="auto"/>
            <w:noWrap/>
            <w:vAlign w:val="center"/>
            <w:hideMark/>
          </w:tcPr>
          <w:p w14:paraId="5689241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120,495</w:t>
            </w:r>
          </w:p>
        </w:tc>
        <w:tc>
          <w:tcPr>
            <w:tcW w:w="847" w:type="dxa"/>
            <w:tcBorders>
              <w:top w:val="nil"/>
              <w:left w:val="nil"/>
              <w:bottom w:val="nil"/>
              <w:right w:val="nil"/>
            </w:tcBorders>
            <w:shd w:val="clear" w:color="auto" w:fill="auto"/>
            <w:noWrap/>
            <w:vAlign w:val="center"/>
            <w:hideMark/>
          </w:tcPr>
          <w:p w14:paraId="663ADA6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71,410</w:t>
            </w:r>
          </w:p>
        </w:tc>
        <w:tc>
          <w:tcPr>
            <w:tcW w:w="880" w:type="dxa"/>
            <w:tcBorders>
              <w:top w:val="nil"/>
              <w:left w:val="nil"/>
              <w:bottom w:val="nil"/>
              <w:right w:val="nil"/>
            </w:tcBorders>
            <w:shd w:val="clear" w:color="auto" w:fill="auto"/>
            <w:noWrap/>
            <w:vAlign w:val="center"/>
            <w:hideMark/>
          </w:tcPr>
          <w:p w14:paraId="7AD97CE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113,639</w:t>
            </w:r>
          </w:p>
        </w:tc>
        <w:tc>
          <w:tcPr>
            <w:tcW w:w="768" w:type="dxa"/>
            <w:tcBorders>
              <w:top w:val="nil"/>
              <w:left w:val="nil"/>
              <w:bottom w:val="nil"/>
              <w:right w:val="nil"/>
            </w:tcBorders>
            <w:shd w:val="clear" w:color="auto" w:fill="auto"/>
            <w:noWrap/>
            <w:vAlign w:val="center"/>
            <w:hideMark/>
          </w:tcPr>
          <w:p w14:paraId="0499A1C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76,720</w:t>
            </w:r>
          </w:p>
        </w:tc>
        <w:tc>
          <w:tcPr>
            <w:tcW w:w="847" w:type="dxa"/>
            <w:tcBorders>
              <w:top w:val="nil"/>
              <w:left w:val="nil"/>
              <w:bottom w:val="nil"/>
              <w:right w:val="nil"/>
            </w:tcBorders>
            <w:shd w:val="clear" w:color="auto" w:fill="auto"/>
            <w:noWrap/>
            <w:vAlign w:val="center"/>
            <w:hideMark/>
          </w:tcPr>
          <w:p w14:paraId="14E1274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104,600</w:t>
            </w:r>
          </w:p>
        </w:tc>
        <w:tc>
          <w:tcPr>
            <w:tcW w:w="847" w:type="dxa"/>
            <w:tcBorders>
              <w:top w:val="nil"/>
              <w:left w:val="nil"/>
              <w:bottom w:val="nil"/>
              <w:right w:val="nil"/>
            </w:tcBorders>
            <w:shd w:val="clear" w:color="auto" w:fill="auto"/>
            <w:noWrap/>
            <w:vAlign w:val="center"/>
            <w:hideMark/>
          </w:tcPr>
          <w:p w14:paraId="1CAD185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131,398</w:t>
            </w:r>
          </w:p>
        </w:tc>
        <w:tc>
          <w:tcPr>
            <w:tcW w:w="847" w:type="dxa"/>
            <w:tcBorders>
              <w:top w:val="nil"/>
              <w:left w:val="nil"/>
              <w:bottom w:val="nil"/>
              <w:right w:val="nil"/>
            </w:tcBorders>
            <w:shd w:val="clear" w:color="auto" w:fill="auto"/>
            <w:noWrap/>
            <w:vAlign w:val="center"/>
            <w:hideMark/>
          </w:tcPr>
          <w:p w14:paraId="378BFFB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89,781</w:t>
            </w:r>
          </w:p>
        </w:tc>
        <w:tc>
          <w:tcPr>
            <w:tcW w:w="945" w:type="dxa"/>
            <w:tcBorders>
              <w:top w:val="nil"/>
              <w:left w:val="nil"/>
              <w:bottom w:val="nil"/>
            </w:tcBorders>
            <w:shd w:val="clear" w:color="auto" w:fill="auto"/>
            <w:noWrap/>
            <w:vAlign w:val="center"/>
            <w:hideMark/>
          </w:tcPr>
          <w:p w14:paraId="10DD490D"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825,210</w:t>
            </w:r>
          </w:p>
        </w:tc>
      </w:tr>
      <w:tr w:rsidR="0015649E" w:rsidRPr="0084045A" w14:paraId="5A01C1BE" w14:textId="77777777" w:rsidTr="00C3352F">
        <w:trPr>
          <w:trHeight w:val="212"/>
          <w:jc w:val="center"/>
        </w:trPr>
        <w:tc>
          <w:tcPr>
            <w:tcW w:w="728" w:type="dxa"/>
            <w:vMerge/>
            <w:shd w:val="clear" w:color="auto" w:fill="auto"/>
            <w:noWrap/>
            <w:textDirection w:val="btLr"/>
            <w:vAlign w:val="center"/>
            <w:hideMark/>
          </w:tcPr>
          <w:p w14:paraId="3129842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0BEB87D" w14:textId="1355EF57"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4FB8465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82,308</w:t>
            </w:r>
          </w:p>
        </w:tc>
        <w:tc>
          <w:tcPr>
            <w:tcW w:w="768" w:type="dxa"/>
            <w:tcBorders>
              <w:top w:val="nil"/>
              <w:left w:val="nil"/>
              <w:bottom w:val="nil"/>
              <w:right w:val="nil"/>
            </w:tcBorders>
            <w:shd w:val="clear" w:color="auto" w:fill="auto"/>
            <w:noWrap/>
            <w:vAlign w:val="center"/>
            <w:hideMark/>
          </w:tcPr>
          <w:p w14:paraId="6B70250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39,165</w:t>
            </w:r>
          </w:p>
        </w:tc>
        <w:tc>
          <w:tcPr>
            <w:tcW w:w="847" w:type="dxa"/>
            <w:tcBorders>
              <w:top w:val="nil"/>
              <w:left w:val="nil"/>
              <w:bottom w:val="nil"/>
              <w:right w:val="nil"/>
            </w:tcBorders>
            <w:shd w:val="clear" w:color="auto" w:fill="auto"/>
            <w:noWrap/>
            <w:vAlign w:val="center"/>
            <w:hideMark/>
          </w:tcPr>
          <w:p w14:paraId="4849E6D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129,674</w:t>
            </w:r>
          </w:p>
        </w:tc>
        <w:tc>
          <w:tcPr>
            <w:tcW w:w="847" w:type="dxa"/>
            <w:tcBorders>
              <w:top w:val="nil"/>
              <w:left w:val="nil"/>
              <w:bottom w:val="nil"/>
              <w:right w:val="nil"/>
            </w:tcBorders>
            <w:shd w:val="clear" w:color="auto" w:fill="auto"/>
            <w:noWrap/>
            <w:vAlign w:val="center"/>
            <w:hideMark/>
          </w:tcPr>
          <w:p w14:paraId="562AC4C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150,140</w:t>
            </w:r>
          </w:p>
        </w:tc>
        <w:tc>
          <w:tcPr>
            <w:tcW w:w="880" w:type="dxa"/>
            <w:tcBorders>
              <w:top w:val="nil"/>
              <w:left w:val="nil"/>
              <w:bottom w:val="nil"/>
              <w:right w:val="nil"/>
            </w:tcBorders>
            <w:shd w:val="clear" w:color="auto" w:fill="auto"/>
            <w:noWrap/>
            <w:vAlign w:val="center"/>
            <w:hideMark/>
          </w:tcPr>
          <w:p w14:paraId="41CB5F2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99,836</w:t>
            </w:r>
          </w:p>
        </w:tc>
        <w:tc>
          <w:tcPr>
            <w:tcW w:w="768" w:type="dxa"/>
            <w:tcBorders>
              <w:top w:val="nil"/>
              <w:left w:val="nil"/>
              <w:bottom w:val="nil"/>
              <w:right w:val="nil"/>
            </w:tcBorders>
            <w:shd w:val="clear" w:color="auto" w:fill="auto"/>
            <w:noWrap/>
            <w:vAlign w:val="center"/>
            <w:hideMark/>
          </w:tcPr>
          <w:p w14:paraId="320F489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118,044</w:t>
            </w:r>
          </w:p>
        </w:tc>
        <w:tc>
          <w:tcPr>
            <w:tcW w:w="847" w:type="dxa"/>
            <w:tcBorders>
              <w:top w:val="nil"/>
              <w:left w:val="nil"/>
              <w:bottom w:val="nil"/>
              <w:right w:val="nil"/>
            </w:tcBorders>
            <w:shd w:val="clear" w:color="auto" w:fill="auto"/>
            <w:noWrap/>
            <w:vAlign w:val="center"/>
            <w:hideMark/>
          </w:tcPr>
          <w:p w14:paraId="0F60C3B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100,312</w:t>
            </w:r>
          </w:p>
        </w:tc>
        <w:tc>
          <w:tcPr>
            <w:tcW w:w="847" w:type="dxa"/>
            <w:tcBorders>
              <w:top w:val="nil"/>
              <w:left w:val="nil"/>
              <w:bottom w:val="nil"/>
              <w:right w:val="nil"/>
            </w:tcBorders>
            <w:shd w:val="clear" w:color="auto" w:fill="auto"/>
            <w:noWrap/>
            <w:vAlign w:val="center"/>
            <w:hideMark/>
          </w:tcPr>
          <w:p w14:paraId="0E41FF4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169,929</w:t>
            </w:r>
          </w:p>
        </w:tc>
        <w:tc>
          <w:tcPr>
            <w:tcW w:w="847" w:type="dxa"/>
            <w:tcBorders>
              <w:top w:val="nil"/>
              <w:left w:val="nil"/>
              <w:bottom w:val="nil"/>
              <w:right w:val="nil"/>
            </w:tcBorders>
            <w:shd w:val="clear" w:color="auto" w:fill="auto"/>
            <w:noWrap/>
            <w:vAlign w:val="center"/>
            <w:hideMark/>
          </w:tcPr>
          <w:p w14:paraId="14EC1E6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115,244</w:t>
            </w:r>
          </w:p>
        </w:tc>
        <w:tc>
          <w:tcPr>
            <w:tcW w:w="945" w:type="dxa"/>
            <w:tcBorders>
              <w:top w:val="nil"/>
              <w:left w:val="nil"/>
              <w:bottom w:val="nil"/>
            </w:tcBorders>
            <w:shd w:val="clear" w:color="auto" w:fill="auto"/>
            <w:noWrap/>
            <w:vAlign w:val="center"/>
            <w:hideMark/>
          </w:tcPr>
          <w:p w14:paraId="4157A27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1,004,653</w:t>
            </w:r>
          </w:p>
        </w:tc>
      </w:tr>
      <w:tr w:rsidR="0015649E" w:rsidRPr="0084045A" w14:paraId="2FAB8168" w14:textId="77777777" w:rsidTr="00C3352F">
        <w:trPr>
          <w:trHeight w:val="212"/>
          <w:jc w:val="center"/>
        </w:trPr>
        <w:tc>
          <w:tcPr>
            <w:tcW w:w="728" w:type="dxa"/>
            <w:vMerge/>
            <w:shd w:val="clear" w:color="auto" w:fill="auto"/>
            <w:noWrap/>
            <w:textDirection w:val="btLr"/>
            <w:vAlign w:val="center"/>
            <w:hideMark/>
          </w:tcPr>
          <w:p w14:paraId="10728D8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5AC8FBF" w14:textId="62CB904E"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1813571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29,004</w:t>
            </w:r>
          </w:p>
        </w:tc>
        <w:tc>
          <w:tcPr>
            <w:tcW w:w="768" w:type="dxa"/>
            <w:tcBorders>
              <w:top w:val="nil"/>
              <w:left w:val="nil"/>
              <w:bottom w:val="nil"/>
              <w:right w:val="nil"/>
            </w:tcBorders>
            <w:shd w:val="clear" w:color="auto" w:fill="auto"/>
            <w:noWrap/>
            <w:vAlign w:val="center"/>
            <w:hideMark/>
          </w:tcPr>
          <w:p w14:paraId="390123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11,586</w:t>
            </w:r>
          </w:p>
        </w:tc>
        <w:tc>
          <w:tcPr>
            <w:tcW w:w="847" w:type="dxa"/>
            <w:tcBorders>
              <w:top w:val="nil"/>
              <w:left w:val="nil"/>
              <w:bottom w:val="nil"/>
              <w:right w:val="nil"/>
            </w:tcBorders>
            <w:shd w:val="clear" w:color="auto" w:fill="auto"/>
            <w:noWrap/>
            <w:vAlign w:val="center"/>
            <w:hideMark/>
          </w:tcPr>
          <w:p w14:paraId="7BB0B33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48,366</w:t>
            </w:r>
          </w:p>
        </w:tc>
        <w:tc>
          <w:tcPr>
            <w:tcW w:w="847" w:type="dxa"/>
            <w:tcBorders>
              <w:top w:val="nil"/>
              <w:left w:val="nil"/>
              <w:bottom w:val="nil"/>
              <w:right w:val="nil"/>
            </w:tcBorders>
            <w:shd w:val="clear" w:color="auto" w:fill="auto"/>
            <w:noWrap/>
            <w:vAlign w:val="center"/>
            <w:hideMark/>
          </w:tcPr>
          <w:p w14:paraId="44D94F8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53,290</w:t>
            </w:r>
          </w:p>
        </w:tc>
        <w:tc>
          <w:tcPr>
            <w:tcW w:w="880" w:type="dxa"/>
            <w:tcBorders>
              <w:top w:val="nil"/>
              <w:left w:val="nil"/>
              <w:bottom w:val="nil"/>
              <w:right w:val="nil"/>
            </w:tcBorders>
            <w:shd w:val="clear" w:color="auto" w:fill="auto"/>
            <w:noWrap/>
            <w:vAlign w:val="center"/>
            <w:hideMark/>
          </w:tcPr>
          <w:p w14:paraId="5FCDC22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46,591</w:t>
            </w:r>
          </w:p>
        </w:tc>
        <w:tc>
          <w:tcPr>
            <w:tcW w:w="768" w:type="dxa"/>
            <w:tcBorders>
              <w:top w:val="nil"/>
              <w:left w:val="nil"/>
              <w:bottom w:val="nil"/>
              <w:right w:val="nil"/>
            </w:tcBorders>
            <w:shd w:val="clear" w:color="auto" w:fill="auto"/>
            <w:noWrap/>
            <w:vAlign w:val="center"/>
            <w:hideMark/>
          </w:tcPr>
          <w:p w14:paraId="739DCAD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46,228</w:t>
            </w:r>
          </w:p>
        </w:tc>
        <w:tc>
          <w:tcPr>
            <w:tcW w:w="847" w:type="dxa"/>
            <w:tcBorders>
              <w:top w:val="nil"/>
              <w:left w:val="nil"/>
              <w:bottom w:val="nil"/>
              <w:right w:val="nil"/>
            </w:tcBorders>
            <w:shd w:val="clear" w:color="auto" w:fill="auto"/>
            <w:noWrap/>
            <w:vAlign w:val="center"/>
            <w:hideMark/>
          </w:tcPr>
          <w:p w14:paraId="077AE22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57,576</w:t>
            </w:r>
          </w:p>
        </w:tc>
        <w:tc>
          <w:tcPr>
            <w:tcW w:w="847" w:type="dxa"/>
            <w:tcBorders>
              <w:top w:val="nil"/>
              <w:left w:val="nil"/>
              <w:bottom w:val="nil"/>
              <w:right w:val="nil"/>
            </w:tcBorders>
            <w:shd w:val="clear" w:color="auto" w:fill="auto"/>
            <w:noWrap/>
            <w:vAlign w:val="center"/>
            <w:hideMark/>
          </w:tcPr>
          <w:p w14:paraId="1042185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105,778</w:t>
            </w:r>
          </w:p>
        </w:tc>
        <w:tc>
          <w:tcPr>
            <w:tcW w:w="847" w:type="dxa"/>
            <w:tcBorders>
              <w:top w:val="nil"/>
              <w:left w:val="nil"/>
              <w:bottom w:val="nil"/>
              <w:right w:val="nil"/>
            </w:tcBorders>
            <w:shd w:val="clear" w:color="auto" w:fill="auto"/>
            <w:noWrap/>
            <w:vAlign w:val="center"/>
            <w:hideMark/>
          </w:tcPr>
          <w:p w14:paraId="52AC308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54,297</w:t>
            </w:r>
          </w:p>
        </w:tc>
        <w:tc>
          <w:tcPr>
            <w:tcW w:w="945" w:type="dxa"/>
            <w:tcBorders>
              <w:top w:val="nil"/>
              <w:left w:val="nil"/>
              <w:bottom w:val="nil"/>
            </w:tcBorders>
            <w:shd w:val="clear" w:color="auto" w:fill="auto"/>
            <w:noWrap/>
            <w:vAlign w:val="center"/>
            <w:hideMark/>
          </w:tcPr>
          <w:p w14:paraId="32CE4EA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452,716</w:t>
            </w:r>
          </w:p>
        </w:tc>
      </w:tr>
      <w:tr w:rsidR="0015649E" w:rsidRPr="0084045A" w14:paraId="52D49FB7" w14:textId="77777777" w:rsidTr="00C3352F">
        <w:trPr>
          <w:trHeight w:val="212"/>
          <w:jc w:val="center"/>
        </w:trPr>
        <w:tc>
          <w:tcPr>
            <w:tcW w:w="728" w:type="dxa"/>
            <w:vMerge/>
            <w:shd w:val="clear" w:color="auto" w:fill="auto"/>
            <w:noWrap/>
            <w:textDirection w:val="btLr"/>
            <w:vAlign w:val="center"/>
            <w:hideMark/>
          </w:tcPr>
          <w:p w14:paraId="6190437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76799135" w14:textId="366BE6EA"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30C4A2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10,367</w:t>
            </w:r>
          </w:p>
        </w:tc>
        <w:tc>
          <w:tcPr>
            <w:tcW w:w="768" w:type="dxa"/>
            <w:tcBorders>
              <w:top w:val="nil"/>
              <w:left w:val="nil"/>
              <w:bottom w:val="single" w:sz="4" w:space="0" w:color="auto"/>
              <w:right w:val="nil"/>
            </w:tcBorders>
            <w:shd w:val="clear" w:color="auto" w:fill="auto"/>
            <w:noWrap/>
            <w:vAlign w:val="center"/>
            <w:hideMark/>
          </w:tcPr>
          <w:p w14:paraId="0289BA0C" w14:textId="5E61B8F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5491</w:t>
            </w:r>
          </w:p>
        </w:tc>
        <w:tc>
          <w:tcPr>
            <w:tcW w:w="847" w:type="dxa"/>
            <w:tcBorders>
              <w:top w:val="nil"/>
              <w:left w:val="nil"/>
              <w:bottom w:val="single" w:sz="4" w:space="0" w:color="auto"/>
              <w:right w:val="nil"/>
            </w:tcBorders>
            <w:shd w:val="clear" w:color="auto" w:fill="auto"/>
            <w:noWrap/>
            <w:vAlign w:val="center"/>
            <w:hideMark/>
          </w:tcPr>
          <w:p w14:paraId="78B3125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23,454</w:t>
            </w:r>
          </w:p>
        </w:tc>
        <w:tc>
          <w:tcPr>
            <w:tcW w:w="847" w:type="dxa"/>
            <w:tcBorders>
              <w:top w:val="nil"/>
              <w:left w:val="nil"/>
              <w:bottom w:val="single" w:sz="4" w:space="0" w:color="auto"/>
              <w:right w:val="nil"/>
            </w:tcBorders>
            <w:shd w:val="clear" w:color="auto" w:fill="auto"/>
            <w:noWrap/>
            <w:vAlign w:val="center"/>
            <w:hideMark/>
          </w:tcPr>
          <w:p w14:paraId="08D42F84" w14:textId="66014B2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9469</w:t>
            </w:r>
          </w:p>
        </w:tc>
        <w:tc>
          <w:tcPr>
            <w:tcW w:w="880" w:type="dxa"/>
            <w:tcBorders>
              <w:top w:val="nil"/>
              <w:left w:val="nil"/>
              <w:bottom w:val="single" w:sz="4" w:space="0" w:color="auto"/>
              <w:right w:val="nil"/>
            </w:tcBorders>
            <w:shd w:val="clear" w:color="auto" w:fill="auto"/>
            <w:noWrap/>
            <w:vAlign w:val="center"/>
            <w:hideMark/>
          </w:tcPr>
          <w:p w14:paraId="4F2F882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25,744</w:t>
            </w:r>
          </w:p>
        </w:tc>
        <w:tc>
          <w:tcPr>
            <w:tcW w:w="768" w:type="dxa"/>
            <w:tcBorders>
              <w:top w:val="nil"/>
              <w:left w:val="nil"/>
              <w:bottom w:val="single" w:sz="4" w:space="0" w:color="auto"/>
              <w:right w:val="nil"/>
            </w:tcBorders>
            <w:shd w:val="clear" w:color="auto" w:fill="auto"/>
            <w:noWrap/>
            <w:vAlign w:val="center"/>
            <w:hideMark/>
          </w:tcPr>
          <w:p w14:paraId="6D866E7E" w14:textId="5AADAB5A"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9019</w:t>
            </w:r>
          </w:p>
        </w:tc>
        <w:tc>
          <w:tcPr>
            <w:tcW w:w="847" w:type="dxa"/>
            <w:tcBorders>
              <w:top w:val="nil"/>
              <w:left w:val="nil"/>
              <w:bottom w:val="single" w:sz="4" w:space="0" w:color="auto"/>
              <w:right w:val="nil"/>
            </w:tcBorders>
            <w:shd w:val="clear" w:color="auto" w:fill="auto"/>
            <w:noWrap/>
            <w:vAlign w:val="center"/>
            <w:hideMark/>
          </w:tcPr>
          <w:p w14:paraId="5949D86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23,937</w:t>
            </w:r>
          </w:p>
        </w:tc>
        <w:tc>
          <w:tcPr>
            <w:tcW w:w="847" w:type="dxa"/>
            <w:tcBorders>
              <w:top w:val="nil"/>
              <w:left w:val="nil"/>
              <w:bottom w:val="single" w:sz="4" w:space="0" w:color="auto"/>
              <w:right w:val="nil"/>
            </w:tcBorders>
            <w:shd w:val="clear" w:color="auto" w:fill="auto"/>
            <w:noWrap/>
            <w:vAlign w:val="center"/>
            <w:hideMark/>
          </w:tcPr>
          <w:p w14:paraId="0100A2C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38,938</w:t>
            </w:r>
          </w:p>
        </w:tc>
        <w:tc>
          <w:tcPr>
            <w:tcW w:w="847" w:type="dxa"/>
            <w:tcBorders>
              <w:top w:val="nil"/>
              <w:left w:val="nil"/>
              <w:bottom w:val="single" w:sz="4" w:space="0" w:color="auto"/>
              <w:right w:val="nil"/>
            </w:tcBorders>
            <w:shd w:val="clear" w:color="auto" w:fill="auto"/>
            <w:noWrap/>
            <w:vAlign w:val="center"/>
            <w:hideMark/>
          </w:tcPr>
          <w:p w14:paraId="10720D6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19,842</w:t>
            </w:r>
          </w:p>
        </w:tc>
        <w:tc>
          <w:tcPr>
            <w:tcW w:w="945" w:type="dxa"/>
            <w:tcBorders>
              <w:top w:val="nil"/>
              <w:left w:val="nil"/>
              <w:bottom w:val="single" w:sz="4" w:space="0" w:color="auto"/>
            </w:tcBorders>
            <w:shd w:val="clear" w:color="auto" w:fill="auto"/>
            <w:noWrap/>
            <w:vAlign w:val="center"/>
            <w:hideMark/>
          </w:tcPr>
          <w:p w14:paraId="02780E98"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166,261</w:t>
            </w:r>
          </w:p>
        </w:tc>
      </w:tr>
      <w:tr w:rsidR="0015649E" w:rsidRPr="0084045A" w14:paraId="573A0414" w14:textId="77777777" w:rsidTr="00C3352F">
        <w:trPr>
          <w:trHeight w:val="212"/>
          <w:jc w:val="center"/>
        </w:trPr>
        <w:tc>
          <w:tcPr>
            <w:tcW w:w="728" w:type="dxa"/>
            <w:vMerge w:val="restart"/>
            <w:shd w:val="clear" w:color="auto" w:fill="auto"/>
            <w:noWrap/>
            <w:textDirection w:val="btLr"/>
            <w:vAlign w:val="center"/>
            <w:hideMark/>
          </w:tcPr>
          <w:p w14:paraId="42002469"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Guanajuato</w:t>
            </w:r>
          </w:p>
        </w:tc>
        <w:tc>
          <w:tcPr>
            <w:tcW w:w="753" w:type="dxa"/>
            <w:tcBorders>
              <w:bottom w:val="nil"/>
              <w:right w:val="nil"/>
            </w:tcBorders>
            <w:vAlign w:val="center"/>
          </w:tcPr>
          <w:p w14:paraId="1A8198AD" w14:textId="64866C08"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78CAF81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80,423</w:t>
            </w:r>
          </w:p>
        </w:tc>
        <w:tc>
          <w:tcPr>
            <w:tcW w:w="768" w:type="dxa"/>
            <w:tcBorders>
              <w:left w:val="nil"/>
              <w:bottom w:val="nil"/>
              <w:right w:val="nil"/>
            </w:tcBorders>
            <w:shd w:val="clear" w:color="auto" w:fill="auto"/>
            <w:noWrap/>
            <w:vAlign w:val="center"/>
            <w:hideMark/>
          </w:tcPr>
          <w:p w14:paraId="1D9C82F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27,454</w:t>
            </w:r>
          </w:p>
        </w:tc>
        <w:tc>
          <w:tcPr>
            <w:tcW w:w="847" w:type="dxa"/>
            <w:tcBorders>
              <w:left w:val="nil"/>
              <w:bottom w:val="nil"/>
              <w:right w:val="nil"/>
            </w:tcBorders>
            <w:shd w:val="clear" w:color="auto" w:fill="auto"/>
            <w:noWrap/>
            <w:vAlign w:val="center"/>
            <w:hideMark/>
          </w:tcPr>
          <w:p w14:paraId="185A0ED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103,932</w:t>
            </w:r>
          </w:p>
        </w:tc>
        <w:tc>
          <w:tcPr>
            <w:tcW w:w="847" w:type="dxa"/>
            <w:tcBorders>
              <w:left w:val="nil"/>
              <w:bottom w:val="nil"/>
              <w:right w:val="nil"/>
            </w:tcBorders>
            <w:shd w:val="clear" w:color="auto" w:fill="auto"/>
            <w:noWrap/>
            <w:vAlign w:val="center"/>
            <w:hideMark/>
          </w:tcPr>
          <w:p w14:paraId="51F7E2E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74,005</w:t>
            </w:r>
          </w:p>
        </w:tc>
        <w:tc>
          <w:tcPr>
            <w:tcW w:w="880" w:type="dxa"/>
            <w:tcBorders>
              <w:left w:val="nil"/>
              <w:bottom w:val="nil"/>
              <w:right w:val="nil"/>
            </w:tcBorders>
            <w:shd w:val="clear" w:color="auto" w:fill="auto"/>
            <w:noWrap/>
            <w:vAlign w:val="center"/>
            <w:hideMark/>
          </w:tcPr>
          <w:p w14:paraId="2DC9D7B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93,732</w:t>
            </w:r>
          </w:p>
        </w:tc>
        <w:tc>
          <w:tcPr>
            <w:tcW w:w="768" w:type="dxa"/>
            <w:tcBorders>
              <w:left w:val="nil"/>
              <w:bottom w:val="nil"/>
              <w:right w:val="nil"/>
            </w:tcBorders>
            <w:shd w:val="clear" w:color="auto" w:fill="auto"/>
            <w:noWrap/>
            <w:vAlign w:val="center"/>
            <w:hideMark/>
          </w:tcPr>
          <w:p w14:paraId="33649E9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66,615</w:t>
            </w:r>
          </w:p>
        </w:tc>
        <w:tc>
          <w:tcPr>
            <w:tcW w:w="847" w:type="dxa"/>
            <w:tcBorders>
              <w:left w:val="nil"/>
              <w:bottom w:val="nil"/>
              <w:right w:val="nil"/>
            </w:tcBorders>
            <w:shd w:val="clear" w:color="auto" w:fill="auto"/>
            <w:noWrap/>
            <w:vAlign w:val="center"/>
            <w:hideMark/>
          </w:tcPr>
          <w:p w14:paraId="3624889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66,350</w:t>
            </w:r>
          </w:p>
        </w:tc>
        <w:tc>
          <w:tcPr>
            <w:tcW w:w="847" w:type="dxa"/>
            <w:tcBorders>
              <w:left w:val="nil"/>
              <w:bottom w:val="nil"/>
              <w:right w:val="nil"/>
            </w:tcBorders>
            <w:shd w:val="clear" w:color="auto" w:fill="auto"/>
            <w:noWrap/>
            <w:vAlign w:val="center"/>
            <w:hideMark/>
          </w:tcPr>
          <w:p w14:paraId="3298766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115,061</w:t>
            </w:r>
          </w:p>
        </w:tc>
        <w:tc>
          <w:tcPr>
            <w:tcW w:w="847" w:type="dxa"/>
            <w:tcBorders>
              <w:left w:val="nil"/>
              <w:bottom w:val="nil"/>
              <w:right w:val="nil"/>
            </w:tcBorders>
            <w:shd w:val="clear" w:color="auto" w:fill="auto"/>
            <w:noWrap/>
            <w:vAlign w:val="center"/>
            <w:hideMark/>
          </w:tcPr>
          <w:p w14:paraId="1E03F33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77,279</w:t>
            </w:r>
          </w:p>
        </w:tc>
        <w:tc>
          <w:tcPr>
            <w:tcW w:w="945" w:type="dxa"/>
            <w:tcBorders>
              <w:left w:val="nil"/>
              <w:bottom w:val="nil"/>
            </w:tcBorders>
            <w:shd w:val="clear" w:color="auto" w:fill="auto"/>
            <w:noWrap/>
            <w:vAlign w:val="center"/>
            <w:hideMark/>
          </w:tcPr>
          <w:p w14:paraId="189640A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704,852</w:t>
            </w:r>
          </w:p>
        </w:tc>
      </w:tr>
      <w:tr w:rsidR="0015649E" w:rsidRPr="0084045A" w14:paraId="5C8BDBD1" w14:textId="77777777" w:rsidTr="00C3352F">
        <w:trPr>
          <w:trHeight w:val="212"/>
          <w:jc w:val="center"/>
        </w:trPr>
        <w:tc>
          <w:tcPr>
            <w:tcW w:w="728" w:type="dxa"/>
            <w:vMerge/>
            <w:shd w:val="clear" w:color="auto" w:fill="auto"/>
            <w:noWrap/>
            <w:textDirection w:val="btLr"/>
            <w:vAlign w:val="center"/>
            <w:hideMark/>
          </w:tcPr>
          <w:p w14:paraId="67BB57D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924E3FD" w14:textId="13EB649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374B2C7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123,571</w:t>
            </w:r>
          </w:p>
        </w:tc>
        <w:tc>
          <w:tcPr>
            <w:tcW w:w="768" w:type="dxa"/>
            <w:tcBorders>
              <w:top w:val="nil"/>
              <w:left w:val="nil"/>
              <w:bottom w:val="nil"/>
              <w:right w:val="nil"/>
            </w:tcBorders>
            <w:shd w:val="clear" w:color="auto" w:fill="auto"/>
            <w:noWrap/>
            <w:vAlign w:val="center"/>
            <w:hideMark/>
          </w:tcPr>
          <w:p w14:paraId="59F4A21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55,772</w:t>
            </w:r>
          </w:p>
        </w:tc>
        <w:tc>
          <w:tcPr>
            <w:tcW w:w="847" w:type="dxa"/>
            <w:tcBorders>
              <w:top w:val="nil"/>
              <w:left w:val="nil"/>
              <w:bottom w:val="nil"/>
              <w:right w:val="nil"/>
            </w:tcBorders>
            <w:shd w:val="clear" w:color="auto" w:fill="auto"/>
            <w:noWrap/>
            <w:vAlign w:val="center"/>
            <w:hideMark/>
          </w:tcPr>
          <w:p w14:paraId="18FC6C8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186,280</w:t>
            </w:r>
          </w:p>
        </w:tc>
        <w:tc>
          <w:tcPr>
            <w:tcW w:w="847" w:type="dxa"/>
            <w:tcBorders>
              <w:top w:val="nil"/>
              <w:left w:val="nil"/>
              <w:bottom w:val="nil"/>
              <w:right w:val="nil"/>
            </w:tcBorders>
            <w:shd w:val="clear" w:color="auto" w:fill="auto"/>
            <w:noWrap/>
            <w:vAlign w:val="center"/>
            <w:hideMark/>
          </w:tcPr>
          <w:p w14:paraId="26DB8AA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111,055</w:t>
            </w:r>
          </w:p>
        </w:tc>
        <w:tc>
          <w:tcPr>
            <w:tcW w:w="880" w:type="dxa"/>
            <w:tcBorders>
              <w:top w:val="nil"/>
              <w:left w:val="nil"/>
              <w:bottom w:val="nil"/>
              <w:right w:val="nil"/>
            </w:tcBorders>
            <w:shd w:val="clear" w:color="auto" w:fill="auto"/>
            <w:noWrap/>
            <w:vAlign w:val="center"/>
            <w:hideMark/>
          </w:tcPr>
          <w:p w14:paraId="4F61D5F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177,791</w:t>
            </w:r>
          </w:p>
        </w:tc>
        <w:tc>
          <w:tcPr>
            <w:tcW w:w="768" w:type="dxa"/>
            <w:tcBorders>
              <w:top w:val="nil"/>
              <w:left w:val="nil"/>
              <w:bottom w:val="nil"/>
              <w:right w:val="nil"/>
            </w:tcBorders>
            <w:shd w:val="clear" w:color="auto" w:fill="auto"/>
            <w:noWrap/>
            <w:vAlign w:val="center"/>
            <w:hideMark/>
          </w:tcPr>
          <w:p w14:paraId="775A6D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120,761</w:t>
            </w:r>
          </w:p>
        </w:tc>
        <w:tc>
          <w:tcPr>
            <w:tcW w:w="847" w:type="dxa"/>
            <w:tcBorders>
              <w:top w:val="nil"/>
              <w:left w:val="nil"/>
              <w:bottom w:val="nil"/>
              <w:right w:val="nil"/>
            </w:tcBorders>
            <w:shd w:val="clear" w:color="auto" w:fill="auto"/>
            <w:noWrap/>
            <w:vAlign w:val="center"/>
            <w:hideMark/>
          </w:tcPr>
          <w:p w14:paraId="632C677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164,990</w:t>
            </w:r>
          </w:p>
        </w:tc>
        <w:tc>
          <w:tcPr>
            <w:tcW w:w="847" w:type="dxa"/>
            <w:tcBorders>
              <w:top w:val="nil"/>
              <w:left w:val="nil"/>
              <w:bottom w:val="nil"/>
              <w:right w:val="nil"/>
            </w:tcBorders>
            <w:shd w:val="clear" w:color="auto" w:fill="auto"/>
            <w:noWrap/>
            <w:vAlign w:val="center"/>
            <w:hideMark/>
          </w:tcPr>
          <w:p w14:paraId="398B3AF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207,828</w:t>
            </w:r>
          </w:p>
        </w:tc>
        <w:tc>
          <w:tcPr>
            <w:tcW w:w="847" w:type="dxa"/>
            <w:tcBorders>
              <w:top w:val="nil"/>
              <w:left w:val="nil"/>
              <w:bottom w:val="nil"/>
              <w:right w:val="nil"/>
            </w:tcBorders>
            <w:shd w:val="clear" w:color="auto" w:fill="auto"/>
            <w:noWrap/>
            <w:vAlign w:val="center"/>
            <w:hideMark/>
          </w:tcPr>
          <w:p w14:paraId="2D63038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142,485</w:t>
            </w:r>
          </w:p>
        </w:tc>
        <w:tc>
          <w:tcPr>
            <w:tcW w:w="945" w:type="dxa"/>
            <w:tcBorders>
              <w:top w:val="nil"/>
              <w:left w:val="nil"/>
              <w:bottom w:val="nil"/>
            </w:tcBorders>
            <w:shd w:val="clear" w:color="auto" w:fill="auto"/>
            <w:noWrap/>
            <w:vAlign w:val="center"/>
            <w:hideMark/>
          </w:tcPr>
          <w:p w14:paraId="4A8B496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1,290,533</w:t>
            </w:r>
          </w:p>
        </w:tc>
      </w:tr>
      <w:tr w:rsidR="0015649E" w:rsidRPr="0084045A" w14:paraId="64C70EC0" w14:textId="77777777" w:rsidTr="00C3352F">
        <w:trPr>
          <w:trHeight w:val="212"/>
          <w:jc w:val="center"/>
        </w:trPr>
        <w:tc>
          <w:tcPr>
            <w:tcW w:w="728" w:type="dxa"/>
            <w:vMerge/>
            <w:shd w:val="clear" w:color="auto" w:fill="auto"/>
            <w:noWrap/>
            <w:textDirection w:val="btLr"/>
            <w:vAlign w:val="center"/>
            <w:hideMark/>
          </w:tcPr>
          <w:p w14:paraId="7C7CD43D"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BE716E7" w14:textId="487FE8F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4B6687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142,216</w:t>
            </w:r>
          </w:p>
        </w:tc>
        <w:tc>
          <w:tcPr>
            <w:tcW w:w="768" w:type="dxa"/>
            <w:tcBorders>
              <w:top w:val="nil"/>
              <w:left w:val="nil"/>
              <w:bottom w:val="nil"/>
              <w:right w:val="nil"/>
            </w:tcBorders>
            <w:shd w:val="clear" w:color="auto" w:fill="auto"/>
            <w:noWrap/>
            <w:vAlign w:val="center"/>
            <w:hideMark/>
          </w:tcPr>
          <w:p w14:paraId="3772461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68,116</w:t>
            </w:r>
          </w:p>
        </w:tc>
        <w:tc>
          <w:tcPr>
            <w:tcW w:w="847" w:type="dxa"/>
            <w:tcBorders>
              <w:top w:val="nil"/>
              <w:left w:val="nil"/>
              <w:bottom w:val="nil"/>
              <w:right w:val="nil"/>
            </w:tcBorders>
            <w:shd w:val="clear" w:color="auto" w:fill="auto"/>
            <w:noWrap/>
            <w:vAlign w:val="center"/>
            <w:hideMark/>
          </w:tcPr>
          <w:p w14:paraId="35F881F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227,020</w:t>
            </w:r>
          </w:p>
        </w:tc>
        <w:tc>
          <w:tcPr>
            <w:tcW w:w="847" w:type="dxa"/>
            <w:tcBorders>
              <w:top w:val="nil"/>
              <w:left w:val="nil"/>
              <w:bottom w:val="nil"/>
              <w:right w:val="nil"/>
            </w:tcBorders>
            <w:shd w:val="clear" w:color="auto" w:fill="auto"/>
            <w:noWrap/>
            <w:vAlign w:val="center"/>
            <w:hideMark/>
          </w:tcPr>
          <w:p w14:paraId="199E49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264,601</w:t>
            </w:r>
          </w:p>
        </w:tc>
        <w:tc>
          <w:tcPr>
            <w:tcW w:w="880" w:type="dxa"/>
            <w:tcBorders>
              <w:top w:val="nil"/>
              <w:left w:val="nil"/>
              <w:bottom w:val="nil"/>
              <w:right w:val="nil"/>
            </w:tcBorders>
            <w:shd w:val="clear" w:color="auto" w:fill="auto"/>
            <w:noWrap/>
            <w:vAlign w:val="center"/>
            <w:hideMark/>
          </w:tcPr>
          <w:p w14:paraId="686568A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177,123</w:t>
            </w:r>
          </w:p>
        </w:tc>
        <w:tc>
          <w:tcPr>
            <w:tcW w:w="768" w:type="dxa"/>
            <w:tcBorders>
              <w:top w:val="nil"/>
              <w:left w:val="nil"/>
              <w:bottom w:val="nil"/>
              <w:right w:val="nil"/>
            </w:tcBorders>
            <w:shd w:val="clear" w:color="auto" w:fill="auto"/>
            <w:noWrap/>
            <w:vAlign w:val="center"/>
            <w:hideMark/>
          </w:tcPr>
          <w:p w14:paraId="156C2B2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210,831</w:t>
            </w:r>
          </w:p>
        </w:tc>
        <w:tc>
          <w:tcPr>
            <w:tcW w:w="847" w:type="dxa"/>
            <w:tcBorders>
              <w:top w:val="nil"/>
              <w:left w:val="nil"/>
              <w:bottom w:val="nil"/>
              <w:right w:val="nil"/>
            </w:tcBorders>
            <w:shd w:val="clear" w:color="auto" w:fill="auto"/>
            <w:noWrap/>
            <w:vAlign w:val="center"/>
            <w:hideMark/>
          </w:tcPr>
          <w:p w14:paraId="71C04D4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179,675</w:t>
            </w:r>
          </w:p>
        </w:tc>
        <w:tc>
          <w:tcPr>
            <w:tcW w:w="847" w:type="dxa"/>
            <w:tcBorders>
              <w:top w:val="nil"/>
              <w:left w:val="nil"/>
              <w:bottom w:val="nil"/>
              <w:right w:val="nil"/>
            </w:tcBorders>
            <w:shd w:val="clear" w:color="auto" w:fill="auto"/>
            <w:noWrap/>
            <w:vAlign w:val="center"/>
            <w:hideMark/>
          </w:tcPr>
          <w:p w14:paraId="7960D1D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305,127</w:t>
            </w:r>
          </w:p>
        </w:tc>
        <w:tc>
          <w:tcPr>
            <w:tcW w:w="847" w:type="dxa"/>
            <w:tcBorders>
              <w:top w:val="nil"/>
              <w:left w:val="nil"/>
              <w:bottom w:val="nil"/>
              <w:right w:val="nil"/>
            </w:tcBorders>
            <w:shd w:val="clear" w:color="auto" w:fill="auto"/>
            <w:noWrap/>
            <w:vAlign w:val="center"/>
            <w:hideMark/>
          </w:tcPr>
          <w:p w14:paraId="125FF2E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207,386</w:t>
            </w:r>
          </w:p>
        </w:tc>
        <w:tc>
          <w:tcPr>
            <w:tcW w:w="945" w:type="dxa"/>
            <w:tcBorders>
              <w:top w:val="nil"/>
              <w:left w:val="nil"/>
              <w:bottom w:val="nil"/>
            </w:tcBorders>
            <w:shd w:val="clear" w:color="auto" w:fill="auto"/>
            <w:noWrap/>
            <w:vAlign w:val="center"/>
            <w:hideMark/>
          </w:tcPr>
          <w:p w14:paraId="05F6B69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1,782,095</w:t>
            </w:r>
          </w:p>
        </w:tc>
      </w:tr>
      <w:tr w:rsidR="0015649E" w:rsidRPr="0084045A" w14:paraId="5BD16B3E" w14:textId="77777777" w:rsidTr="00C3352F">
        <w:trPr>
          <w:trHeight w:val="212"/>
          <w:jc w:val="center"/>
        </w:trPr>
        <w:tc>
          <w:tcPr>
            <w:tcW w:w="728" w:type="dxa"/>
            <w:vMerge/>
            <w:shd w:val="clear" w:color="auto" w:fill="auto"/>
            <w:noWrap/>
            <w:textDirection w:val="btLr"/>
            <w:vAlign w:val="center"/>
            <w:hideMark/>
          </w:tcPr>
          <w:p w14:paraId="438DC46D"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0B559EC" w14:textId="6E188D2A"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384781C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46,220</w:t>
            </w:r>
          </w:p>
        </w:tc>
        <w:tc>
          <w:tcPr>
            <w:tcW w:w="768" w:type="dxa"/>
            <w:tcBorders>
              <w:top w:val="nil"/>
              <w:left w:val="nil"/>
              <w:bottom w:val="nil"/>
              <w:right w:val="nil"/>
            </w:tcBorders>
            <w:shd w:val="clear" w:color="auto" w:fill="auto"/>
            <w:noWrap/>
            <w:vAlign w:val="center"/>
            <w:hideMark/>
          </w:tcPr>
          <w:p w14:paraId="2A4AC7B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18,543</w:t>
            </w:r>
          </w:p>
        </w:tc>
        <w:tc>
          <w:tcPr>
            <w:tcW w:w="847" w:type="dxa"/>
            <w:tcBorders>
              <w:top w:val="nil"/>
              <w:left w:val="nil"/>
              <w:bottom w:val="nil"/>
              <w:right w:val="nil"/>
            </w:tcBorders>
            <w:shd w:val="clear" w:color="auto" w:fill="auto"/>
            <w:noWrap/>
            <w:vAlign w:val="center"/>
            <w:hideMark/>
          </w:tcPr>
          <w:p w14:paraId="11DBE30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77,737</w:t>
            </w:r>
          </w:p>
        </w:tc>
        <w:tc>
          <w:tcPr>
            <w:tcW w:w="847" w:type="dxa"/>
            <w:tcBorders>
              <w:top w:val="nil"/>
              <w:left w:val="nil"/>
              <w:bottom w:val="nil"/>
              <w:right w:val="nil"/>
            </w:tcBorders>
            <w:shd w:val="clear" w:color="auto" w:fill="auto"/>
            <w:noWrap/>
            <w:vAlign w:val="center"/>
            <w:hideMark/>
          </w:tcPr>
          <w:p w14:paraId="3BA1B54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86,012</w:t>
            </w:r>
          </w:p>
        </w:tc>
        <w:tc>
          <w:tcPr>
            <w:tcW w:w="880" w:type="dxa"/>
            <w:tcBorders>
              <w:top w:val="nil"/>
              <w:left w:val="nil"/>
              <w:bottom w:val="nil"/>
              <w:right w:val="nil"/>
            </w:tcBorders>
            <w:shd w:val="clear" w:color="auto" w:fill="auto"/>
            <w:noWrap/>
            <w:vAlign w:val="center"/>
            <w:hideMark/>
          </w:tcPr>
          <w:p w14:paraId="45B4129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75,512</w:t>
            </w:r>
          </w:p>
        </w:tc>
        <w:tc>
          <w:tcPr>
            <w:tcW w:w="768" w:type="dxa"/>
            <w:tcBorders>
              <w:top w:val="nil"/>
              <w:left w:val="nil"/>
              <w:bottom w:val="nil"/>
              <w:right w:val="nil"/>
            </w:tcBorders>
            <w:shd w:val="clear" w:color="auto" w:fill="auto"/>
            <w:noWrap/>
            <w:vAlign w:val="center"/>
            <w:hideMark/>
          </w:tcPr>
          <w:p w14:paraId="28396A9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75,234</w:t>
            </w:r>
          </w:p>
        </w:tc>
        <w:tc>
          <w:tcPr>
            <w:tcW w:w="847" w:type="dxa"/>
            <w:tcBorders>
              <w:top w:val="nil"/>
              <w:left w:val="nil"/>
              <w:bottom w:val="nil"/>
              <w:right w:val="nil"/>
            </w:tcBorders>
            <w:shd w:val="clear" w:color="auto" w:fill="auto"/>
            <w:noWrap/>
            <w:vAlign w:val="center"/>
            <w:hideMark/>
          </w:tcPr>
          <w:p w14:paraId="3DBA1C5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94,894</w:t>
            </w:r>
          </w:p>
        </w:tc>
        <w:tc>
          <w:tcPr>
            <w:tcW w:w="847" w:type="dxa"/>
            <w:tcBorders>
              <w:top w:val="nil"/>
              <w:left w:val="nil"/>
              <w:bottom w:val="nil"/>
              <w:right w:val="nil"/>
            </w:tcBorders>
            <w:shd w:val="clear" w:color="auto" w:fill="auto"/>
            <w:noWrap/>
            <w:vAlign w:val="center"/>
            <w:hideMark/>
          </w:tcPr>
          <w:p w14:paraId="27DECD8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176,575</w:t>
            </w:r>
          </w:p>
        </w:tc>
        <w:tc>
          <w:tcPr>
            <w:tcW w:w="847" w:type="dxa"/>
            <w:tcBorders>
              <w:top w:val="nil"/>
              <w:left w:val="nil"/>
              <w:bottom w:val="nil"/>
              <w:right w:val="nil"/>
            </w:tcBorders>
            <w:shd w:val="clear" w:color="auto" w:fill="auto"/>
            <w:noWrap/>
            <w:vAlign w:val="center"/>
            <w:hideMark/>
          </w:tcPr>
          <w:p w14:paraId="297FF1F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91,804</w:t>
            </w:r>
          </w:p>
        </w:tc>
        <w:tc>
          <w:tcPr>
            <w:tcW w:w="945" w:type="dxa"/>
            <w:tcBorders>
              <w:top w:val="nil"/>
              <w:left w:val="nil"/>
              <w:bottom w:val="nil"/>
            </w:tcBorders>
            <w:shd w:val="clear" w:color="auto" w:fill="auto"/>
            <w:noWrap/>
            <w:vAlign w:val="center"/>
            <w:hideMark/>
          </w:tcPr>
          <w:p w14:paraId="2C733BF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742,531</w:t>
            </w:r>
          </w:p>
        </w:tc>
      </w:tr>
      <w:tr w:rsidR="0015649E" w:rsidRPr="0084045A" w14:paraId="6DE41A10" w14:textId="77777777" w:rsidTr="00C3352F">
        <w:trPr>
          <w:trHeight w:val="212"/>
          <w:jc w:val="center"/>
        </w:trPr>
        <w:tc>
          <w:tcPr>
            <w:tcW w:w="728" w:type="dxa"/>
            <w:vMerge/>
            <w:shd w:val="clear" w:color="auto" w:fill="auto"/>
            <w:noWrap/>
            <w:textDirection w:val="btLr"/>
            <w:vAlign w:val="center"/>
            <w:hideMark/>
          </w:tcPr>
          <w:p w14:paraId="0C0C1FE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4831072F" w14:textId="3EEC6AC3"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1BED723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14,976</w:t>
            </w:r>
          </w:p>
        </w:tc>
        <w:tc>
          <w:tcPr>
            <w:tcW w:w="768" w:type="dxa"/>
            <w:tcBorders>
              <w:top w:val="nil"/>
              <w:left w:val="nil"/>
              <w:bottom w:val="single" w:sz="4" w:space="0" w:color="auto"/>
              <w:right w:val="nil"/>
            </w:tcBorders>
            <w:shd w:val="clear" w:color="auto" w:fill="auto"/>
            <w:noWrap/>
            <w:vAlign w:val="center"/>
            <w:hideMark/>
          </w:tcPr>
          <w:p w14:paraId="7F4451AB" w14:textId="539389C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7909</w:t>
            </w:r>
          </w:p>
        </w:tc>
        <w:tc>
          <w:tcPr>
            <w:tcW w:w="847" w:type="dxa"/>
            <w:tcBorders>
              <w:top w:val="nil"/>
              <w:left w:val="nil"/>
              <w:bottom w:val="single" w:sz="4" w:space="0" w:color="auto"/>
              <w:right w:val="nil"/>
            </w:tcBorders>
            <w:shd w:val="clear" w:color="auto" w:fill="auto"/>
            <w:noWrap/>
            <w:vAlign w:val="center"/>
            <w:hideMark/>
          </w:tcPr>
          <w:p w14:paraId="7AFE003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33,674</w:t>
            </w:r>
          </w:p>
        </w:tc>
        <w:tc>
          <w:tcPr>
            <w:tcW w:w="847" w:type="dxa"/>
            <w:tcBorders>
              <w:top w:val="nil"/>
              <w:left w:val="nil"/>
              <w:bottom w:val="single" w:sz="4" w:space="0" w:color="auto"/>
              <w:right w:val="nil"/>
            </w:tcBorders>
            <w:shd w:val="clear" w:color="auto" w:fill="auto"/>
            <w:noWrap/>
            <w:vAlign w:val="center"/>
            <w:hideMark/>
          </w:tcPr>
          <w:p w14:paraId="7D5AF17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13,552</w:t>
            </w:r>
          </w:p>
        </w:tc>
        <w:tc>
          <w:tcPr>
            <w:tcW w:w="880" w:type="dxa"/>
            <w:tcBorders>
              <w:top w:val="nil"/>
              <w:left w:val="nil"/>
              <w:bottom w:val="single" w:sz="4" w:space="0" w:color="auto"/>
              <w:right w:val="nil"/>
            </w:tcBorders>
            <w:shd w:val="clear" w:color="auto" w:fill="auto"/>
            <w:noWrap/>
            <w:vAlign w:val="center"/>
            <w:hideMark/>
          </w:tcPr>
          <w:p w14:paraId="24EDE74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36,730</w:t>
            </w:r>
          </w:p>
        </w:tc>
        <w:tc>
          <w:tcPr>
            <w:tcW w:w="768" w:type="dxa"/>
            <w:tcBorders>
              <w:top w:val="nil"/>
              <w:left w:val="nil"/>
              <w:bottom w:val="single" w:sz="4" w:space="0" w:color="auto"/>
              <w:right w:val="nil"/>
            </w:tcBorders>
            <w:shd w:val="clear" w:color="auto" w:fill="auto"/>
            <w:noWrap/>
            <w:vAlign w:val="center"/>
            <w:hideMark/>
          </w:tcPr>
          <w:p w14:paraId="55CD62A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12,826</w:t>
            </w:r>
          </w:p>
        </w:tc>
        <w:tc>
          <w:tcPr>
            <w:tcW w:w="847" w:type="dxa"/>
            <w:tcBorders>
              <w:top w:val="nil"/>
              <w:left w:val="nil"/>
              <w:bottom w:val="single" w:sz="4" w:space="0" w:color="auto"/>
              <w:right w:val="nil"/>
            </w:tcBorders>
            <w:shd w:val="clear" w:color="auto" w:fill="auto"/>
            <w:noWrap/>
            <w:vAlign w:val="center"/>
            <w:hideMark/>
          </w:tcPr>
          <w:p w14:paraId="434FA4A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34,430</w:t>
            </w:r>
          </w:p>
        </w:tc>
        <w:tc>
          <w:tcPr>
            <w:tcW w:w="847" w:type="dxa"/>
            <w:tcBorders>
              <w:top w:val="nil"/>
              <w:left w:val="nil"/>
              <w:bottom w:val="single" w:sz="4" w:space="0" w:color="auto"/>
              <w:right w:val="nil"/>
            </w:tcBorders>
            <w:shd w:val="clear" w:color="auto" w:fill="auto"/>
            <w:noWrap/>
            <w:vAlign w:val="center"/>
            <w:hideMark/>
          </w:tcPr>
          <w:p w14:paraId="616C3C4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56,641</w:t>
            </w:r>
          </w:p>
        </w:tc>
        <w:tc>
          <w:tcPr>
            <w:tcW w:w="847" w:type="dxa"/>
            <w:tcBorders>
              <w:top w:val="nil"/>
              <w:left w:val="nil"/>
              <w:bottom w:val="single" w:sz="4" w:space="0" w:color="auto"/>
              <w:right w:val="nil"/>
            </w:tcBorders>
            <w:shd w:val="clear" w:color="auto" w:fill="auto"/>
            <w:noWrap/>
            <w:vAlign w:val="center"/>
            <w:hideMark/>
          </w:tcPr>
          <w:p w14:paraId="105291E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29,188</w:t>
            </w:r>
          </w:p>
        </w:tc>
        <w:tc>
          <w:tcPr>
            <w:tcW w:w="945" w:type="dxa"/>
            <w:tcBorders>
              <w:top w:val="nil"/>
              <w:left w:val="nil"/>
              <w:bottom w:val="single" w:sz="4" w:space="0" w:color="auto"/>
            </w:tcBorders>
            <w:shd w:val="clear" w:color="auto" w:fill="auto"/>
            <w:noWrap/>
            <w:vAlign w:val="center"/>
            <w:hideMark/>
          </w:tcPr>
          <w:p w14:paraId="4AB3C6F2"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239,927</w:t>
            </w:r>
          </w:p>
        </w:tc>
      </w:tr>
      <w:tr w:rsidR="0015649E" w:rsidRPr="0084045A" w14:paraId="02530A7A" w14:textId="77777777" w:rsidTr="00C3352F">
        <w:trPr>
          <w:trHeight w:val="212"/>
          <w:jc w:val="center"/>
        </w:trPr>
        <w:tc>
          <w:tcPr>
            <w:tcW w:w="728" w:type="dxa"/>
            <w:vMerge w:val="restart"/>
            <w:shd w:val="clear" w:color="auto" w:fill="auto"/>
            <w:noWrap/>
            <w:textDirection w:val="btLr"/>
            <w:vAlign w:val="center"/>
            <w:hideMark/>
          </w:tcPr>
          <w:p w14:paraId="62C8C415"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Hidalgo</w:t>
            </w:r>
          </w:p>
        </w:tc>
        <w:tc>
          <w:tcPr>
            <w:tcW w:w="753" w:type="dxa"/>
            <w:tcBorders>
              <w:bottom w:val="nil"/>
              <w:right w:val="nil"/>
            </w:tcBorders>
            <w:vAlign w:val="center"/>
          </w:tcPr>
          <w:p w14:paraId="4B17459A" w14:textId="0EC880E7"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56D5F4F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37,250</w:t>
            </w:r>
          </w:p>
        </w:tc>
        <w:tc>
          <w:tcPr>
            <w:tcW w:w="768" w:type="dxa"/>
            <w:tcBorders>
              <w:left w:val="nil"/>
              <w:bottom w:val="nil"/>
              <w:right w:val="nil"/>
            </w:tcBorders>
            <w:shd w:val="clear" w:color="auto" w:fill="auto"/>
            <w:noWrap/>
            <w:vAlign w:val="center"/>
            <w:hideMark/>
          </w:tcPr>
          <w:p w14:paraId="6923A7A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12,721</w:t>
            </w:r>
          </w:p>
        </w:tc>
        <w:tc>
          <w:tcPr>
            <w:tcW w:w="847" w:type="dxa"/>
            <w:tcBorders>
              <w:left w:val="nil"/>
              <w:bottom w:val="nil"/>
              <w:right w:val="nil"/>
            </w:tcBorders>
            <w:shd w:val="clear" w:color="auto" w:fill="auto"/>
            <w:noWrap/>
            <w:vAlign w:val="center"/>
            <w:hideMark/>
          </w:tcPr>
          <w:p w14:paraId="17E2CE0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48,171</w:t>
            </w:r>
          </w:p>
        </w:tc>
        <w:tc>
          <w:tcPr>
            <w:tcW w:w="847" w:type="dxa"/>
            <w:tcBorders>
              <w:left w:val="nil"/>
              <w:bottom w:val="nil"/>
              <w:right w:val="nil"/>
            </w:tcBorders>
            <w:shd w:val="clear" w:color="auto" w:fill="auto"/>
            <w:noWrap/>
            <w:vAlign w:val="center"/>
            <w:hideMark/>
          </w:tcPr>
          <w:p w14:paraId="730632F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34,312</w:t>
            </w:r>
          </w:p>
        </w:tc>
        <w:tc>
          <w:tcPr>
            <w:tcW w:w="880" w:type="dxa"/>
            <w:tcBorders>
              <w:left w:val="nil"/>
              <w:bottom w:val="nil"/>
              <w:right w:val="nil"/>
            </w:tcBorders>
            <w:shd w:val="clear" w:color="auto" w:fill="auto"/>
            <w:noWrap/>
            <w:vAlign w:val="center"/>
            <w:hideMark/>
          </w:tcPr>
          <w:p w14:paraId="4FDDFA7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43,473</w:t>
            </w:r>
          </w:p>
        </w:tc>
        <w:tc>
          <w:tcPr>
            <w:tcW w:w="768" w:type="dxa"/>
            <w:tcBorders>
              <w:left w:val="nil"/>
              <w:bottom w:val="nil"/>
              <w:right w:val="nil"/>
            </w:tcBorders>
            <w:shd w:val="clear" w:color="auto" w:fill="auto"/>
            <w:noWrap/>
            <w:vAlign w:val="center"/>
            <w:hideMark/>
          </w:tcPr>
          <w:p w14:paraId="11DE345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30,907</w:t>
            </w:r>
          </w:p>
        </w:tc>
        <w:tc>
          <w:tcPr>
            <w:tcW w:w="847" w:type="dxa"/>
            <w:tcBorders>
              <w:left w:val="nil"/>
              <w:bottom w:val="nil"/>
              <w:right w:val="nil"/>
            </w:tcBorders>
            <w:shd w:val="clear" w:color="auto" w:fill="auto"/>
            <w:noWrap/>
            <w:vAlign w:val="center"/>
            <w:hideMark/>
          </w:tcPr>
          <w:p w14:paraId="148AE5A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30,805</w:t>
            </w:r>
          </w:p>
        </w:tc>
        <w:tc>
          <w:tcPr>
            <w:tcW w:w="847" w:type="dxa"/>
            <w:tcBorders>
              <w:left w:val="nil"/>
              <w:bottom w:val="nil"/>
              <w:right w:val="nil"/>
            </w:tcBorders>
            <w:shd w:val="clear" w:color="auto" w:fill="auto"/>
            <w:noWrap/>
            <w:vAlign w:val="center"/>
            <w:hideMark/>
          </w:tcPr>
          <w:p w14:paraId="2F989DF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53,483</w:t>
            </w:r>
          </w:p>
        </w:tc>
        <w:tc>
          <w:tcPr>
            <w:tcW w:w="847" w:type="dxa"/>
            <w:tcBorders>
              <w:left w:val="nil"/>
              <w:bottom w:val="nil"/>
              <w:right w:val="nil"/>
            </w:tcBorders>
            <w:shd w:val="clear" w:color="auto" w:fill="auto"/>
            <w:noWrap/>
            <w:vAlign w:val="center"/>
            <w:hideMark/>
          </w:tcPr>
          <w:p w14:paraId="0CF1015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36,028</w:t>
            </w:r>
          </w:p>
        </w:tc>
        <w:tc>
          <w:tcPr>
            <w:tcW w:w="945" w:type="dxa"/>
            <w:tcBorders>
              <w:left w:val="nil"/>
              <w:bottom w:val="nil"/>
            </w:tcBorders>
            <w:shd w:val="clear" w:color="auto" w:fill="auto"/>
            <w:noWrap/>
            <w:vAlign w:val="center"/>
            <w:hideMark/>
          </w:tcPr>
          <w:p w14:paraId="14CC728B"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327,150</w:t>
            </w:r>
          </w:p>
        </w:tc>
      </w:tr>
      <w:tr w:rsidR="0015649E" w:rsidRPr="0084045A" w14:paraId="60A4BB40" w14:textId="77777777" w:rsidTr="00C3352F">
        <w:trPr>
          <w:trHeight w:val="212"/>
          <w:jc w:val="center"/>
        </w:trPr>
        <w:tc>
          <w:tcPr>
            <w:tcW w:w="728" w:type="dxa"/>
            <w:vMerge/>
            <w:shd w:val="clear" w:color="auto" w:fill="auto"/>
            <w:noWrap/>
            <w:textDirection w:val="btLr"/>
            <w:vAlign w:val="center"/>
            <w:hideMark/>
          </w:tcPr>
          <w:p w14:paraId="46C5A4D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751A0A1" w14:textId="3D05CB06"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018C06C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57,599</w:t>
            </w:r>
          </w:p>
        </w:tc>
        <w:tc>
          <w:tcPr>
            <w:tcW w:w="768" w:type="dxa"/>
            <w:tcBorders>
              <w:top w:val="nil"/>
              <w:left w:val="nil"/>
              <w:bottom w:val="nil"/>
              <w:right w:val="nil"/>
            </w:tcBorders>
            <w:shd w:val="clear" w:color="auto" w:fill="auto"/>
            <w:noWrap/>
            <w:vAlign w:val="center"/>
            <w:hideMark/>
          </w:tcPr>
          <w:p w14:paraId="73EC9BF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26,098</w:t>
            </w:r>
          </w:p>
        </w:tc>
        <w:tc>
          <w:tcPr>
            <w:tcW w:w="847" w:type="dxa"/>
            <w:tcBorders>
              <w:top w:val="nil"/>
              <w:left w:val="nil"/>
              <w:bottom w:val="nil"/>
              <w:right w:val="nil"/>
            </w:tcBorders>
            <w:shd w:val="clear" w:color="auto" w:fill="auto"/>
            <w:noWrap/>
            <w:vAlign w:val="center"/>
            <w:hideMark/>
          </w:tcPr>
          <w:p w14:paraId="5727475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87,512</w:t>
            </w:r>
          </w:p>
        </w:tc>
        <w:tc>
          <w:tcPr>
            <w:tcW w:w="847" w:type="dxa"/>
            <w:tcBorders>
              <w:top w:val="nil"/>
              <w:left w:val="nil"/>
              <w:bottom w:val="nil"/>
              <w:right w:val="nil"/>
            </w:tcBorders>
            <w:shd w:val="clear" w:color="auto" w:fill="auto"/>
            <w:noWrap/>
            <w:vAlign w:val="center"/>
            <w:hideMark/>
          </w:tcPr>
          <w:p w14:paraId="18E9A5D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52,377</w:t>
            </w:r>
          </w:p>
        </w:tc>
        <w:tc>
          <w:tcPr>
            <w:tcW w:w="880" w:type="dxa"/>
            <w:tcBorders>
              <w:top w:val="nil"/>
              <w:left w:val="nil"/>
              <w:bottom w:val="nil"/>
              <w:right w:val="nil"/>
            </w:tcBorders>
            <w:shd w:val="clear" w:color="auto" w:fill="auto"/>
            <w:noWrap/>
            <w:vAlign w:val="center"/>
            <w:hideMark/>
          </w:tcPr>
          <w:p w14:paraId="568CB20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84,180</w:t>
            </w:r>
          </w:p>
        </w:tc>
        <w:tc>
          <w:tcPr>
            <w:tcW w:w="768" w:type="dxa"/>
            <w:tcBorders>
              <w:top w:val="nil"/>
              <w:left w:val="nil"/>
              <w:bottom w:val="nil"/>
              <w:right w:val="nil"/>
            </w:tcBorders>
            <w:shd w:val="clear" w:color="auto" w:fill="auto"/>
            <w:noWrap/>
            <w:vAlign w:val="center"/>
            <w:hideMark/>
          </w:tcPr>
          <w:p w14:paraId="6E97815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57,401</w:t>
            </w:r>
          </w:p>
        </w:tc>
        <w:tc>
          <w:tcPr>
            <w:tcW w:w="847" w:type="dxa"/>
            <w:tcBorders>
              <w:top w:val="nil"/>
              <w:left w:val="nil"/>
              <w:bottom w:val="nil"/>
              <w:right w:val="nil"/>
            </w:tcBorders>
            <w:shd w:val="clear" w:color="auto" w:fill="auto"/>
            <w:noWrap/>
            <w:vAlign w:val="center"/>
            <w:hideMark/>
          </w:tcPr>
          <w:p w14:paraId="454A315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78,889</w:t>
            </w:r>
          </w:p>
        </w:tc>
        <w:tc>
          <w:tcPr>
            <w:tcW w:w="847" w:type="dxa"/>
            <w:tcBorders>
              <w:top w:val="nil"/>
              <w:left w:val="nil"/>
              <w:bottom w:val="nil"/>
              <w:right w:val="nil"/>
            </w:tcBorders>
            <w:shd w:val="clear" w:color="auto" w:fill="auto"/>
            <w:noWrap/>
            <w:vAlign w:val="center"/>
            <w:hideMark/>
          </w:tcPr>
          <w:p w14:paraId="4A54845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99,872</w:t>
            </w:r>
          </w:p>
        </w:tc>
        <w:tc>
          <w:tcPr>
            <w:tcW w:w="847" w:type="dxa"/>
            <w:tcBorders>
              <w:top w:val="nil"/>
              <w:left w:val="nil"/>
              <w:bottom w:val="nil"/>
              <w:right w:val="nil"/>
            </w:tcBorders>
            <w:shd w:val="clear" w:color="auto" w:fill="auto"/>
            <w:noWrap/>
            <w:vAlign w:val="center"/>
            <w:hideMark/>
          </w:tcPr>
          <w:p w14:paraId="2765E95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68,751</w:t>
            </w:r>
          </w:p>
        </w:tc>
        <w:tc>
          <w:tcPr>
            <w:tcW w:w="945" w:type="dxa"/>
            <w:tcBorders>
              <w:top w:val="nil"/>
              <w:left w:val="nil"/>
              <w:bottom w:val="nil"/>
            </w:tcBorders>
            <w:shd w:val="clear" w:color="auto" w:fill="auto"/>
            <w:noWrap/>
            <w:vAlign w:val="center"/>
            <w:hideMark/>
          </w:tcPr>
          <w:p w14:paraId="0BB6032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612,679</w:t>
            </w:r>
          </w:p>
        </w:tc>
      </w:tr>
      <w:tr w:rsidR="0015649E" w:rsidRPr="0084045A" w14:paraId="76CF2833" w14:textId="77777777" w:rsidTr="00C3352F">
        <w:trPr>
          <w:trHeight w:val="212"/>
          <w:jc w:val="center"/>
        </w:trPr>
        <w:tc>
          <w:tcPr>
            <w:tcW w:w="728" w:type="dxa"/>
            <w:vMerge/>
            <w:shd w:val="clear" w:color="auto" w:fill="auto"/>
            <w:noWrap/>
            <w:textDirection w:val="btLr"/>
            <w:vAlign w:val="center"/>
            <w:hideMark/>
          </w:tcPr>
          <w:p w14:paraId="2AB0614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B9121F5" w14:textId="224A8C5C"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19D0983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68,884</w:t>
            </w:r>
          </w:p>
        </w:tc>
        <w:tc>
          <w:tcPr>
            <w:tcW w:w="768" w:type="dxa"/>
            <w:tcBorders>
              <w:top w:val="nil"/>
              <w:left w:val="nil"/>
              <w:bottom w:val="nil"/>
              <w:right w:val="nil"/>
            </w:tcBorders>
            <w:shd w:val="clear" w:color="auto" w:fill="auto"/>
            <w:noWrap/>
            <w:vAlign w:val="center"/>
            <w:hideMark/>
          </w:tcPr>
          <w:p w14:paraId="726B174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32,909</w:t>
            </w:r>
          </w:p>
        </w:tc>
        <w:tc>
          <w:tcPr>
            <w:tcW w:w="847" w:type="dxa"/>
            <w:tcBorders>
              <w:top w:val="nil"/>
              <w:left w:val="nil"/>
              <w:bottom w:val="nil"/>
              <w:right w:val="nil"/>
            </w:tcBorders>
            <w:shd w:val="clear" w:color="auto" w:fill="auto"/>
            <w:noWrap/>
            <w:vAlign w:val="center"/>
            <w:hideMark/>
          </w:tcPr>
          <w:p w14:paraId="1169786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109,403</w:t>
            </w:r>
          </w:p>
        </w:tc>
        <w:tc>
          <w:tcPr>
            <w:tcW w:w="847" w:type="dxa"/>
            <w:tcBorders>
              <w:top w:val="nil"/>
              <w:left w:val="nil"/>
              <w:bottom w:val="nil"/>
              <w:right w:val="nil"/>
            </w:tcBorders>
            <w:shd w:val="clear" w:color="auto" w:fill="auto"/>
            <w:noWrap/>
            <w:vAlign w:val="center"/>
            <w:hideMark/>
          </w:tcPr>
          <w:p w14:paraId="163BFCE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127,194</w:t>
            </w:r>
          </w:p>
        </w:tc>
        <w:tc>
          <w:tcPr>
            <w:tcW w:w="880" w:type="dxa"/>
            <w:tcBorders>
              <w:top w:val="nil"/>
              <w:left w:val="nil"/>
              <w:bottom w:val="nil"/>
              <w:right w:val="nil"/>
            </w:tcBorders>
            <w:shd w:val="clear" w:color="auto" w:fill="auto"/>
            <w:noWrap/>
            <w:vAlign w:val="center"/>
            <w:hideMark/>
          </w:tcPr>
          <w:p w14:paraId="1660FCD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84,935</w:t>
            </w:r>
          </w:p>
        </w:tc>
        <w:tc>
          <w:tcPr>
            <w:tcW w:w="768" w:type="dxa"/>
            <w:tcBorders>
              <w:top w:val="nil"/>
              <w:left w:val="nil"/>
              <w:bottom w:val="nil"/>
              <w:right w:val="nil"/>
            </w:tcBorders>
            <w:shd w:val="clear" w:color="auto" w:fill="auto"/>
            <w:noWrap/>
            <w:vAlign w:val="center"/>
            <w:hideMark/>
          </w:tcPr>
          <w:p w14:paraId="21D060F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100,853</w:t>
            </w:r>
          </w:p>
        </w:tc>
        <w:tc>
          <w:tcPr>
            <w:tcW w:w="847" w:type="dxa"/>
            <w:tcBorders>
              <w:top w:val="nil"/>
              <w:left w:val="nil"/>
              <w:bottom w:val="nil"/>
              <w:right w:val="nil"/>
            </w:tcBorders>
            <w:shd w:val="clear" w:color="auto" w:fill="auto"/>
            <w:noWrap/>
            <w:vAlign w:val="center"/>
            <w:hideMark/>
          </w:tcPr>
          <w:p w14:paraId="522447D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86,068</w:t>
            </w:r>
          </w:p>
        </w:tc>
        <w:tc>
          <w:tcPr>
            <w:tcW w:w="847" w:type="dxa"/>
            <w:tcBorders>
              <w:top w:val="nil"/>
              <w:left w:val="nil"/>
              <w:bottom w:val="nil"/>
              <w:right w:val="nil"/>
            </w:tcBorders>
            <w:shd w:val="clear" w:color="auto" w:fill="auto"/>
            <w:noWrap/>
            <w:vAlign w:val="center"/>
            <w:hideMark/>
          </w:tcPr>
          <w:p w14:paraId="54E586E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146,416</w:t>
            </w:r>
          </w:p>
        </w:tc>
        <w:tc>
          <w:tcPr>
            <w:tcW w:w="847" w:type="dxa"/>
            <w:tcBorders>
              <w:top w:val="nil"/>
              <w:left w:val="nil"/>
              <w:bottom w:val="nil"/>
              <w:right w:val="nil"/>
            </w:tcBorders>
            <w:shd w:val="clear" w:color="auto" w:fill="auto"/>
            <w:noWrap/>
            <w:vAlign w:val="center"/>
            <w:hideMark/>
          </w:tcPr>
          <w:p w14:paraId="04745C4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99,718</w:t>
            </w:r>
          </w:p>
        </w:tc>
        <w:tc>
          <w:tcPr>
            <w:tcW w:w="945" w:type="dxa"/>
            <w:tcBorders>
              <w:top w:val="nil"/>
              <w:left w:val="nil"/>
              <w:bottom w:val="nil"/>
            </w:tcBorders>
            <w:shd w:val="clear" w:color="auto" w:fill="auto"/>
            <w:noWrap/>
            <w:vAlign w:val="center"/>
            <w:hideMark/>
          </w:tcPr>
          <w:p w14:paraId="7F04D0E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856,380</w:t>
            </w:r>
          </w:p>
        </w:tc>
      </w:tr>
      <w:tr w:rsidR="0015649E" w:rsidRPr="0084045A" w14:paraId="5E8F7F8F" w14:textId="77777777" w:rsidTr="00C3352F">
        <w:trPr>
          <w:trHeight w:val="212"/>
          <w:jc w:val="center"/>
        </w:trPr>
        <w:tc>
          <w:tcPr>
            <w:tcW w:w="728" w:type="dxa"/>
            <w:vMerge/>
            <w:shd w:val="clear" w:color="auto" w:fill="auto"/>
            <w:noWrap/>
            <w:textDirection w:val="btLr"/>
            <w:vAlign w:val="center"/>
            <w:hideMark/>
          </w:tcPr>
          <w:p w14:paraId="0446172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0FF2F8EE" w14:textId="20F75D78"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77447A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24,832</w:t>
            </w:r>
          </w:p>
        </w:tc>
        <w:tc>
          <w:tcPr>
            <w:tcW w:w="768" w:type="dxa"/>
            <w:tcBorders>
              <w:top w:val="nil"/>
              <w:left w:val="nil"/>
              <w:bottom w:val="nil"/>
              <w:right w:val="nil"/>
            </w:tcBorders>
            <w:shd w:val="clear" w:color="auto" w:fill="auto"/>
            <w:noWrap/>
            <w:vAlign w:val="center"/>
            <w:hideMark/>
          </w:tcPr>
          <w:p w14:paraId="190B62C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9,991</w:t>
            </w:r>
          </w:p>
        </w:tc>
        <w:tc>
          <w:tcPr>
            <w:tcW w:w="847" w:type="dxa"/>
            <w:tcBorders>
              <w:top w:val="nil"/>
              <w:left w:val="nil"/>
              <w:bottom w:val="nil"/>
              <w:right w:val="nil"/>
            </w:tcBorders>
            <w:shd w:val="clear" w:color="auto" w:fill="auto"/>
            <w:noWrap/>
            <w:vAlign w:val="center"/>
            <w:hideMark/>
          </w:tcPr>
          <w:p w14:paraId="64D8165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42,010</w:t>
            </w:r>
          </w:p>
        </w:tc>
        <w:tc>
          <w:tcPr>
            <w:tcW w:w="847" w:type="dxa"/>
            <w:tcBorders>
              <w:top w:val="nil"/>
              <w:left w:val="nil"/>
              <w:bottom w:val="nil"/>
              <w:right w:val="nil"/>
            </w:tcBorders>
            <w:shd w:val="clear" w:color="auto" w:fill="auto"/>
            <w:noWrap/>
            <w:vAlign w:val="center"/>
            <w:hideMark/>
          </w:tcPr>
          <w:p w14:paraId="50DF244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46,620</w:t>
            </w:r>
          </w:p>
        </w:tc>
        <w:tc>
          <w:tcPr>
            <w:tcW w:w="880" w:type="dxa"/>
            <w:tcBorders>
              <w:top w:val="nil"/>
              <w:left w:val="nil"/>
              <w:bottom w:val="nil"/>
              <w:right w:val="nil"/>
            </w:tcBorders>
            <w:shd w:val="clear" w:color="auto" w:fill="auto"/>
            <w:noWrap/>
            <w:vAlign w:val="center"/>
            <w:hideMark/>
          </w:tcPr>
          <w:p w14:paraId="1B80D6D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41,051</w:t>
            </w:r>
          </w:p>
        </w:tc>
        <w:tc>
          <w:tcPr>
            <w:tcW w:w="768" w:type="dxa"/>
            <w:tcBorders>
              <w:top w:val="nil"/>
              <w:left w:val="nil"/>
              <w:bottom w:val="nil"/>
              <w:right w:val="nil"/>
            </w:tcBorders>
            <w:shd w:val="clear" w:color="auto" w:fill="auto"/>
            <w:noWrap/>
            <w:vAlign w:val="center"/>
            <w:hideMark/>
          </w:tcPr>
          <w:p w14:paraId="38BE144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41,024</w:t>
            </w:r>
          </w:p>
        </w:tc>
        <w:tc>
          <w:tcPr>
            <w:tcW w:w="847" w:type="dxa"/>
            <w:tcBorders>
              <w:top w:val="nil"/>
              <w:left w:val="nil"/>
              <w:bottom w:val="nil"/>
              <w:right w:val="nil"/>
            </w:tcBorders>
            <w:shd w:val="clear" w:color="auto" w:fill="auto"/>
            <w:noWrap/>
            <w:vAlign w:val="center"/>
            <w:hideMark/>
          </w:tcPr>
          <w:p w14:paraId="6F1BAC8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51,730</w:t>
            </w:r>
          </w:p>
        </w:tc>
        <w:tc>
          <w:tcPr>
            <w:tcW w:w="847" w:type="dxa"/>
            <w:tcBorders>
              <w:top w:val="nil"/>
              <w:left w:val="nil"/>
              <w:bottom w:val="nil"/>
              <w:right w:val="nil"/>
            </w:tcBorders>
            <w:shd w:val="clear" w:color="auto" w:fill="auto"/>
            <w:noWrap/>
            <w:vAlign w:val="center"/>
            <w:hideMark/>
          </w:tcPr>
          <w:p w14:paraId="13B753C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96,217</w:t>
            </w:r>
          </w:p>
        </w:tc>
        <w:tc>
          <w:tcPr>
            <w:tcW w:w="847" w:type="dxa"/>
            <w:tcBorders>
              <w:top w:val="nil"/>
              <w:left w:val="nil"/>
              <w:bottom w:val="nil"/>
              <w:right w:val="nil"/>
            </w:tcBorders>
            <w:shd w:val="clear" w:color="auto" w:fill="auto"/>
            <w:noWrap/>
            <w:vAlign w:val="center"/>
            <w:hideMark/>
          </w:tcPr>
          <w:p w14:paraId="7B158F6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49,998</w:t>
            </w:r>
          </w:p>
        </w:tc>
        <w:tc>
          <w:tcPr>
            <w:tcW w:w="945" w:type="dxa"/>
            <w:tcBorders>
              <w:top w:val="nil"/>
              <w:left w:val="nil"/>
              <w:bottom w:val="nil"/>
            </w:tcBorders>
            <w:shd w:val="clear" w:color="auto" w:fill="auto"/>
            <w:noWrap/>
            <w:vAlign w:val="center"/>
            <w:hideMark/>
          </w:tcPr>
          <w:p w14:paraId="052B05F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403,473</w:t>
            </w:r>
          </w:p>
        </w:tc>
      </w:tr>
      <w:tr w:rsidR="0015649E" w:rsidRPr="0084045A" w14:paraId="1D655EB8" w14:textId="77777777" w:rsidTr="00C3352F">
        <w:trPr>
          <w:trHeight w:val="128"/>
          <w:jc w:val="center"/>
        </w:trPr>
        <w:tc>
          <w:tcPr>
            <w:tcW w:w="728" w:type="dxa"/>
            <w:vMerge/>
            <w:shd w:val="clear" w:color="auto" w:fill="auto"/>
            <w:noWrap/>
            <w:textDirection w:val="btLr"/>
            <w:vAlign w:val="center"/>
            <w:hideMark/>
          </w:tcPr>
          <w:p w14:paraId="421D73B4"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7EECA9A9" w14:textId="4CC99956"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5835C077" w14:textId="5E18F78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7967</w:t>
            </w:r>
          </w:p>
        </w:tc>
        <w:tc>
          <w:tcPr>
            <w:tcW w:w="768" w:type="dxa"/>
            <w:tcBorders>
              <w:top w:val="nil"/>
              <w:left w:val="nil"/>
              <w:bottom w:val="single" w:sz="4" w:space="0" w:color="auto"/>
              <w:right w:val="nil"/>
            </w:tcBorders>
            <w:shd w:val="clear" w:color="auto" w:fill="auto"/>
            <w:noWrap/>
            <w:vAlign w:val="center"/>
            <w:hideMark/>
          </w:tcPr>
          <w:p w14:paraId="212569AD" w14:textId="7EDCA8EA"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4262</w:t>
            </w:r>
          </w:p>
        </w:tc>
        <w:tc>
          <w:tcPr>
            <w:tcW w:w="847" w:type="dxa"/>
            <w:tcBorders>
              <w:top w:val="nil"/>
              <w:left w:val="nil"/>
              <w:bottom w:val="single" w:sz="4" w:space="0" w:color="auto"/>
              <w:right w:val="nil"/>
            </w:tcBorders>
            <w:shd w:val="clear" w:color="auto" w:fill="auto"/>
            <w:noWrap/>
            <w:vAlign w:val="center"/>
            <w:hideMark/>
          </w:tcPr>
          <w:p w14:paraId="3353E08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18,384</w:t>
            </w:r>
          </w:p>
        </w:tc>
        <w:tc>
          <w:tcPr>
            <w:tcW w:w="847" w:type="dxa"/>
            <w:tcBorders>
              <w:top w:val="nil"/>
              <w:left w:val="nil"/>
              <w:bottom w:val="single" w:sz="4" w:space="0" w:color="auto"/>
              <w:right w:val="nil"/>
            </w:tcBorders>
            <w:shd w:val="clear" w:color="auto" w:fill="auto"/>
            <w:noWrap/>
            <w:vAlign w:val="center"/>
            <w:hideMark/>
          </w:tcPr>
          <w:p w14:paraId="33D943E1" w14:textId="7249260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7496</w:t>
            </w:r>
          </w:p>
        </w:tc>
        <w:tc>
          <w:tcPr>
            <w:tcW w:w="880" w:type="dxa"/>
            <w:tcBorders>
              <w:top w:val="nil"/>
              <w:left w:val="nil"/>
              <w:bottom w:val="single" w:sz="4" w:space="0" w:color="auto"/>
              <w:right w:val="nil"/>
            </w:tcBorders>
            <w:shd w:val="clear" w:color="auto" w:fill="auto"/>
            <w:noWrap/>
            <w:vAlign w:val="center"/>
            <w:hideMark/>
          </w:tcPr>
          <w:p w14:paraId="310DE85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20,585</w:t>
            </w:r>
          </w:p>
        </w:tc>
        <w:tc>
          <w:tcPr>
            <w:tcW w:w="768" w:type="dxa"/>
            <w:tcBorders>
              <w:top w:val="nil"/>
              <w:left w:val="nil"/>
              <w:bottom w:val="single" w:sz="4" w:space="0" w:color="auto"/>
              <w:right w:val="nil"/>
            </w:tcBorders>
            <w:shd w:val="clear" w:color="auto" w:fill="auto"/>
            <w:noWrap/>
            <w:vAlign w:val="center"/>
            <w:hideMark/>
          </w:tcPr>
          <w:p w14:paraId="7D97A7D2" w14:textId="7B44882C"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7285</w:t>
            </w:r>
          </w:p>
        </w:tc>
        <w:tc>
          <w:tcPr>
            <w:tcW w:w="847" w:type="dxa"/>
            <w:tcBorders>
              <w:top w:val="nil"/>
              <w:left w:val="nil"/>
              <w:bottom w:val="single" w:sz="4" w:space="0" w:color="auto"/>
              <w:right w:val="nil"/>
            </w:tcBorders>
            <w:shd w:val="clear" w:color="auto" w:fill="auto"/>
            <w:noWrap/>
            <w:vAlign w:val="center"/>
            <w:hideMark/>
          </w:tcPr>
          <w:p w14:paraId="3E0E2F6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19,571</w:t>
            </w:r>
          </w:p>
        </w:tc>
        <w:tc>
          <w:tcPr>
            <w:tcW w:w="847" w:type="dxa"/>
            <w:tcBorders>
              <w:top w:val="nil"/>
              <w:left w:val="nil"/>
              <w:bottom w:val="single" w:sz="4" w:space="0" w:color="auto"/>
              <w:right w:val="nil"/>
            </w:tcBorders>
            <w:shd w:val="clear" w:color="auto" w:fill="auto"/>
            <w:noWrap/>
            <w:vAlign w:val="center"/>
            <w:hideMark/>
          </w:tcPr>
          <w:p w14:paraId="413D760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32,225</w:t>
            </w:r>
          </w:p>
        </w:tc>
        <w:tc>
          <w:tcPr>
            <w:tcW w:w="847" w:type="dxa"/>
            <w:tcBorders>
              <w:top w:val="nil"/>
              <w:left w:val="nil"/>
              <w:bottom w:val="single" w:sz="4" w:space="0" w:color="auto"/>
              <w:right w:val="nil"/>
            </w:tcBorders>
            <w:shd w:val="clear" w:color="auto" w:fill="auto"/>
            <w:noWrap/>
            <w:vAlign w:val="center"/>
            <w:hideMark/>
          </w:tcPr>
          <w:p w14:paraId="6DE5F52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16,622</w:t>
            </w:r>
          </w:p>
        </w:tc>
        <w:tc>
          <w:tcPr>
            <w:tcW w:w="945" w:type="dxa"/>
            <w:tcBorders>
              <w:top w:val="nil"/>
              <w:left w:val="nil"/>
              <w:bottom w:val="single" w:sz="4" w:space="0" w:color="auto"/>
            </w:tcBorders>
            <w:shd w:val="clear" w:color="auto" w:fill="auto"/>
            <w:noWrap/>
            <w:vAlign w:val="center"/>
            <w:hideMark/>
          </w:tcPr>
          <w:p w14:paraId="29FB011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134,397</w:t>
            </w:r>
          </w:p>
        </w:tc>
      </w:tr>
      <w:tr w:rsidR="0015649E" w:rsidRPr="0084045A" w14:paraId="6371D178" w14:textId="77777777" w:rsidTr="00C3352F">
        <w:trPr>
          <w:trHeight w:val="212"/>
          <w:jc w:val="center"/>
        </w:trPr>
        <w:tc>
          <w:tcPr>
            <w:tcW w:w="728" w:type="dxa"/>
            <w:vMerge w:val="restart"/>
            <w:shd w:val="clear" w:color="auto" w:fill="auto"/>
            <w:noWrap/>
            <w:textDirection w:val="btLr"/>
            <w:vAlign w:val="center"/>
            <w:hideMark/>
          </w:tcPr>
          <w:p w14:paraId="54EF756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Jalisco</w:t>
            </w:r>
          </w:p>
        </w:tc>
        <w:tc>
          <w:tcPr>
            <w:tcW w:w="753" w:type="dxa"/>
            <w:tcBorders>
              <w:bottom w:val="nil"/>
              <w:right w:val="nil"/>
            </w:tcBorders>
            <w:vAlign w:val="center"/>
          </w:tcPr>
          <w:p w14:paraId="017727D1" w14:textId="6D0C62CA"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533F300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104,704</w:t>
            </w:r>
          </w:p>
        </w:tc>
        <w:tc>
          <w:tcPr>
            <w:tcW w:w="768" w:type="dxa"/>
            <w:tcBorders>
              <w:left w:val="nil"/>
              <w:bottom w:val="nil"/>
              <w:right w:val="nil"/>
            </w:tcBorders>
            <w:shd w:val="clear" w:color="auto" w:fill="auto"/>
            <w:noWrap/>
            <w:vAlign w:val="center"/>
            <w:hideMark/>
          </w:tcPr>
          <w:p w14:paraId="3A2251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35,646</w:t>
            </w:r>
          </w:p>
        </w:tc>
        <w:tc>
          <w:tcPr>
            <w:tcW w:w="847" w:type="dxa"/>
            <w:tcBorders>
              <w:left w:val="nil"/>
              <w:bottom w:val="nil"/>
              <w:right w:val="nil"/>
            </w:tcBorders>
            <w:shd w:val="clear" w:color="auto" w:fill="auto"/>
            <w:noWrap/>
            <w:vAlign w:val="center"/>
            <w:hideMark/>
          </w:tcPr>
          <w:p w14:paraId="51A692C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134,570</w:t>
            </w:r>
          </w:p>
        </w:tc>
        <w:tc>
          <w:tcPr>
            <w:tcW w:w="847" w:type="dxa"/>
            <w:tcBorders>
              <w:left w:val="nil"/>
              <w:bottom w:val="nil"/>
              <w:right w:val="nil"/>
            </w:tcBorders>
            <w:shd w:val="clear" w:color="auto" w:fill="auto"/>
            <w:noWrap/>
            <w:vAlign w:val="center"/>
            <w:hideMark/>
          </w:tcPr>
          <w:p w14:paraId="7E58E0C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95,557</w:t>
            </w:r>
          </w:p>
        </w:tc>
        <w:tc>
          <w:tcPr>
            <w:tcW w:w="880" w:type="dxa"/>
            <w:tcBorders>
              <w:left w:val="nil"/>
              <w:bottom w:val="nil"/>
              <w:right w:val="nil"/>
            </w:tcBorders>
            <w:shd w:val="clear" w:color="auto" w:fill="auto"/>
            <w:noWrap/>
            <w:vAlign w:val="center"/>
            <w:hideMark/>
          </w:tcPr>
          <w:p w14:paraId="32B5583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120,694</w:t>
            </w:r>
          </w:p>
        </w:tc>
        <w:tc>
          <w:tcPr>
            <w:tcW w:w="768" w:type="dxa"/>
            <w:tcBorders>
              <w:left w:val="nil"/>
              <w:bottom w:val="nil"/>
              <w:right w:val="nil"/>
            </w:tcBorders>
            <w:shd w:val="clear" w:color="auto" w:fill="auto"/>
            <w:noWrap/>
            <w:vAlign w:val="center"/>
            <w:hideMark/>
          </w:tcPr>
          <w:p w14:paraId="720608E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85,540</w:t>
            </w:r>
          </w:p>
        </w:tc>
        <w:tc>
          <w:tcPr>
            <w:tcW w:w="847" w:type="dxa"/>
            <w:tcBorders>
              <w:left w:val="nil"/>
              <w:bottom w:val="nil"/>
              <w:right w:val="nil"/>
            </w:tcBorders>
            <w:shd w:val="clear" w:color="auto" w:fill="auto"/>
            <w:noWrap/>
            <w:vAlign w:val="center"/>
            <w:hideMark/>
          </w:tcPr>
          <w:p w14:paraId="6C9148D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85,031</w:t>
            </w:r>
          </w:p>
        </w:tc>
        <w:tc>
          <w:tcPr>
            <w:tcW w:w="847" w:type="dxa"/>
            <w:tcBorders>
              <w:left w:val="nil"/>
              <w:bottom w:val="nil"/>
              <w:right w:val="nil"/>
            </w:tcBorders>
            <w:shd w:val="clear" w:color="auto" w:fill="auto"/>
            <w:noWrap/>
            <w:vAlign w:val="center"/>
            <w:hideMark/>
          </w:tcPr>
          <w:p w14:paraId="1CA4F4F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147,261</w:t>
            </w:r>
          </w:p>
        </w:tc>
        <w:tc>
          <w:tcPr>
            <w:tcW w:w="847" w:type="dxa"/>
            <w:tcBorders>
              <w:left w:val="nil"/>
              <w:bottom w:val="nil"/>
              <w:right w:val="nil"/>
            </w:tcBorders>
            <w:shd w:val="clear" w:color="auto" w:fill="auto"/>
            <w:noWrap/>
            <w:vAlign w:val="center"/>
            <w:hideMark/>
          </w:tcPr>
          <w:p w14:paraId="7F5687D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98,719</w:t>
            </w:r>
          </w:p>
        </w:tc>
        <w:tc>
          <w:tcPr>
            <w:tcW w:w="945" w:type="dxa"/>
            <w:tcBorders>
              <w:left w:val="nil"/>
              <w:bottom w:val="nil"/>
            </w:tcBorders>
            <w:shd w:val="clear" w:color="auto" w:fill="auto"/>
            <w:noWrap/>
            <w:vAlign w:val="center"/>
            <w:hideMark/>
          </w:tcPr>
          <w:p w14:paraId="35A704D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907,722</w:t>
            </w:r>
          </w:p>
        </w:tc>
      </w:tr>
      <w:tr w:rsidR="0015649E" w:rsidRPr="0084045A" w14:paraId="7AA6E452" w14:textId="77777777" w:rsidTr="00C3352F">
        <w:trPr>
          <w:trHeight w:val="212"/>
          <w:jc w:val="center"/>
        </w:trPr>
        <w:tc>
          <w:tcPr>
            <w:tcW w:w="728" w:type="dxa"/>
            <w:vMerge/>
            <w:shd w:val="clear" w:color="auto" w:fill="auto"/>
            <w:noWrap/>
            <w:textDirection w:val="btLr"/>
            <w:vAlign w:val="center"/>
            <w:hideMark/>
          </w:tcPr>
          <w:p w14:paraId="207DE43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8A953AC" w14:textId="0F36C477"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32FBB5B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157,299</w:t>
            </w:r>
          </w:p>
        </w:tc>
        <w:tc>
          <w:tcPr>
            <w:tcW w:w="768" w:type="dxa"/>
            <w:tcBorders>
              <w:top w:val="nil"/>
              <w:left w:val="nil"/>
              <w:bottom w:val="nil"/>
              <w:right w:val="nil"/>
            </w:tcBorders>
            <w:shd w:val="clear" w:color="auto" w:fill="auto"/>
            <w:noWrap/>
            <w:vAlign w:val="center"/>
            <w:hideMark/>
          </w:tcPr>
          <w:p w14:paraId="7D770B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71,241</w:t>
            </w:r>
          </w:p>
        </w:tc>
        <w:tc>
          <w:tcPr>
            <w:tcW w:w="847" w:type="dxa"/>
            <w:tcBorders>
              <w:top w:val="nil"/>
              <w:left w:val="nil"/>
              <w:bottom w:val="nil"/>
              <w:right w:val="nil"/>
            </w:tcBorders>
            <w:shd w:val="clear" w:color="auto" w:fill="auto"/>
            <w:noWrap/>
            <w:vAlign w:val="center"/>
            <w:hideMark/>
          </w:tcPr>
          <w:p w14:paraId="5AF61FB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238,773</w:t>
            </w:r>
          </w:p>
        </w:tc>
        <w:tc>
          <w:tcPr>
            <w:tcW w:w="847" w:type="dxa"/>
            <w:tcBorders>
              <w:top w:val="nil"/>
              <w:left w:val="nil"/>
              <w:bottom w:val="nil"/>
              <w:right w:val="nil"/>
            </w:tcBorders>
            <w:shd w:val="clear" w:color="auto" w:fill="auto"/>
            <w:noWrap/>
            <w:vAlign w:val="center"/>
            <w:hideMark/>
          </w:tcPr>
          <w:p w14:paraId="2F2C58B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142,842</w:t>
            </w:r>
          </w:p>
        </w:tc>
        <w:tc>
          <w:tcPr>
            <w:tcW w:w="880" w:type="dxa"/>
            <w:tcBorders>
              <w:top w:val="nil"/>
              <w:left w:val="nil"/>
              <w:bottom w:val="nil"/>
              <w:right w:val="nil"/>
            </w:tcBorders>
            <w:shd w:val="clear" w:color="auto" w:fill="auto"/>
            <w:noWrap/>
            <w:vAlign w:val="center"/>
            <w:hideMark/>
          </w:tcPr>
          <w:p w14:paraId="53547A7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229,468</w:t>
            </w:r>
          </w:p>
        </w:tc>
        <w:tc>
          <w:tcPr>
            <w:tcW w:w="768" w:type="dxa"/>
            <w:tcBorders>
              <w:top w:val="nil"/>
              <w:left w:val="nil"/>
              <w:bottom w:val="nil"/>
              <w:right w:val="nil"/>
            </w:tcBorders>
            <w:shd w:val="clear" w:color="auto" w:fill="auto"/>
            <w:noWrap/>
            <w:vAlign w:val="center"/>
            <w:hideMark/>
          </w:tcPr>
          <w:p w14:paraId="6AEBD99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156,400</w:t>
            </w:r>
          </w:p>
        </w:tc>
        <w:tc>
          <w:tcPr>
            <w:tcW w:w="847" w:type="dxa"/>
            <w:tcBorders>
              <w:top w:val="nil"/>
              <w:left w:val="nil"/>
              <w:bottom w:val="nil"/>
              <w:right w:val="nil"/>
            </w:tcBorders>
            <w:shd w:val="clear" w:color="auto" w:fill="auto"/>
            <w:noWrap/>
            <w:vAlign w:val="center"/>
            <w:hideMark/>
          </w:tcPr>
          <w:p w14:paraId="75082B7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214,139</w:t>
            </w:r>
          </w:p>
        </w:tc>
        <w:tc>
          <w:tcPr>
            <w:tcW w:w="847" w:type="dxa"/>
            <w:tcBorders>
              <w:top w:val="nil"/>
              <w:left w:val="nil"/>
              <w:bottom w:val="nil"/>
              <w:right w:val="nil"/>
            </w:tcBorders>
            <w:shd w:val="clear" w:color="auto" w:fill="auto"/>
            <w:noWrap/>
            <w:vAlign w:val="center"/>
            <w:hideMark/>
          </w:tcPr>
          <w:p w14:paraId="5578160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270,162</w:t>
            </w:r>
          </w:p>
        </w:tc>
        <w:tc>
          <w:tcPr>
            <w:tcW w:w="847" w:type="dxa"/>
            <w:tcBorders>
              <w:top w:val="nil"/>
              <w:left w:val="nil"/>
              <w:bottom w:val="nil"/>
              <w:right w:val="nil"/>
            </w:tcBorders>
            <w:shd w:val="clear" w:color="auto" w:fill="auto"/>
            <w:noWrap/>
            <w:vAlign w:val="center"/>
            <w:hideMark/>
          </w:tcPr>
          <w:p w14:paraId="7AF1BB0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185,408</w:t>
            </w:r>
          </w:p>
        </w:tc>
        <w:tc>
          <w:tcPr>
            <w:tcW w:w="945" w:type="dxa"/>
            <w:tcBorders>
              <w:top w:val="nil"/>
              <w:left w:val="nil"/>
              <w:bottom w:val="nil"/>
            </w:tcBorders>
            <w:shd w:val="clear" w:color="auto" w:fill="auto"/>
            <w:noWrap/>
            <w:vAlign w:val="center"/>
            <w:hideMark/>
          </w:tcPr>
          <w:p w14:paraId="26A09CAA"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1,665,733</w:t>
            </w:r>
          </w:p>
        </w:tc>
      </w:tr>
      <w:tr w:rsidR="0015649E" w:rsidRPr="0084045A" w14:paraId="63C8E7BC" w14:textId="77777777" w:rsidTr="00C3352F">
        <w:trPr>
          <w:trHeight w:val="212"/>
          <w:jc w:val="center"/>
        </w:trPr>
        <w:tc>
          <w:tcPr>
            <w:tcW w:w="728" w:type="dxa"/>
            <w:vMerge/>
            <w:shd w:val="clear" w:color="auto" w:fill="auto"/>
            <w:noWrap/>
            <w:textDirection w:val="btLr"/>
            <w:vAlign w:val="center"/>
            <w:hideMark/>
          </w:tcPr>
          <w:p w14:paraId="6F92115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1AFA0F3" w14:textId="431BBE0E"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59BE779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194,380</w:t>
            </w:r>
          </w:p>
        </w:tc>
        <w:tc>
          <w:tcPr>
            <w:tcW w:w="768" w:type="dxa"/>
            <w:tcBorders>
              <w:top w:val="nil"/>
              <w:left w:val="nil"/>
              <w:bottom w:val="nil"/>
              <w:right w:val="nil"/>
            </w:tcBorders>
            <w:shd w:val="clear" w:color="auto" w:fill="auto"/>
            <w:noWrap/>
            <w:vAlign w:val="center"/>
            <w:hideMark/>
          </w:tcPr>
          <w:p w14:paraId="7AFF02F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92,817</w:t>
            </w:r>
          </w:p>
        </w:tc>
        <w:tc>
          <w:tcPr>
            <w:tcW w:w="847" w:type="dxa"/>
            <w:tcBorders>
              <w:top w:val="nil"/>
              <w:left w:val="nil"/>
              <w:bottom w:val="nil"/>
              <w:right w:val="nil"/>
            </w:tcBorders>
            <w:shd w:val="clear" w:color="auto" w:fill="auto"/>
            <w:noWrap/>
            <w:vAlign w:val="center"/>
            <w:hideMark/>
          </w:tcPr>
          <w:p w14:paraId="2420DA0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308,404</w:t>
            </w:r>
          </w:p>
        </w:tc>
        <w:tc>
          <w:tcPr>
            <w:tcW w:w="847" w:type="dxa"/>
            <w:tcBorders>
              <w:top w:val="nil"/>
              <w:left w:val="nil"/>
              <w:bottom w:val="nil"/>
              <w:right w:val="nil"/>
            </w:tcBorders>
            <w:shd w:val="clear" w:color="auto" w:fill="auto"/>
            <w:noWrap/>
            <w:vAlign w:val="center"/>
            <w:hideMark/>
          </w:tcPr>
          <w:p w14:paraId="1B5814F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358,374</w:t>
            </w:r>
          </w:p>
        </w:tc>
        <w:tc>
          <w:tcPr>
            <w:tcW w:w="880" w:type="dxa"/>
            <w:tcBorders>
              <w:top w:val="nil"/>
              <w:left w:val="nil"/>
              <w:bottom w:val="nil"/>
              <w:right w:val="nil"/>
            </w:tcBorders>
            <w:shd w:val="clear" w:color="auto" w:fill="auto"/>
            <w:noWrap/>
            <w:vAlign w:val="center"/>
            <w:hideMark/>
          </w:tcPr>
          <w:p w14:paraId="1D29B90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239,177</w:t>
            </w:r>
          </w:p>
        </w:tc>
        <w:tc>
          <w:tcPr>
            <w:tcW w:w="768" w:type="dxa"/>
            <w:tcBorders>
              <w:top w:val="nil"/>
              <w:left w:val="nil"/>
              <w:bottom w:val="nil"/>
              <w:right w:val="nil"/>
            </w:tcBorders>
            <w:shd w:val="clear" w:color="auto" w:fill="auto"/>
            <w:noWrap/>
            <w:vAlign w:val="center"/>
            <w:hideMark/>
          </w:tcPr>
          <w:p w14:paraId="64AB0A5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283,847</w:t>
            </w:r>
          </w:p>
        </w:tc>
        <w:tc>
          <w:tcPr>
            <w:tcW w:w="847" w:type="dxa"/>
            <w:tcBorders>
              <w:top w:val="nil"/>
              <w:left w:val="nil"/>
              <w:bottom w:val="nil"/>
              <w:right w:val="nil"/>
            </w:tcBorders>
            <w:shd w:val="clear" w:color="auto" w:fill="auto"/>
            <w:noWrap/>
            <w:vAlign w:val="center"/>
            <w:hideMark/>
          </w:tcPr>
          <w:p w14:paraId="10B8A78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242,188</w:t>
            </w:r>
          </w:p>
        </w:tc>
        <w:tc>
          <w:tcPr>
            <w:tcW w:w="847" w:type="dxa"/>
            <w:tcBorders>
              <w:top w:val="nil"/>
              <w:left w:val="nil"/>
              <w:bottom w:val="nil"/>
              <w:right w:val="nil"/>
            </w:tcBorders>
            <w:shd w:val="clear" w:color="auto" w:fill="auto"/>
            <w:noWrap/>
            <w:vAlign w:val="center"/>
            <w:hideMark/>
          </w:tcPr>
          <w:p w14:paraId="17001D3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411,864</w:t>
            </w:r>
          </w:p>
        </w:tc>
        <w:tc>
          <w:tcPr>
            <w:tcW w:w="847" w:type="dxa"/>
            <w:tcBorders>
              <w:top w:val="nil"/>
              <w:left w:val="nil"/>
              <w:bottom w:val="nil"/>
              <w:right w:val="nil"/>
            </w:tcBorders>
            <w:shd w:val="clear" w:color="auto" w:fill="auto"/>
            <w:noWrap/>
            <w:vAlign w:val="center"/>
            <w:hideMark/>
          </w:tcPr>
          <w:p w14:paraId="7A6EB1A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280,365</w:t>
            </w:r>
          </w:p>
        </w:tc>
        <w:tc>
          <w:tcPr>
            <w:tcW w:w="945" w:type="dxa"/>
            <w:tcBorders>
              <w:top w:val="nil"/>
              <w:left w:val="nil"/>
              <w:bottom w:val="nil"/>
            </w:tcBorders>
            <w:shd w:val="clear" w:color="auto" w:fill="auto"/>
            <w:noWrap/>
            <w:vAlign w:val="center"/>
            <w:hideMark/>
          </w:tcPr>
          <w:p w14:paraId="03A1731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2,411,414</w:t>
            </w:r>
          </w:p>
        </w:tc>
      </w:tr>
      <w:tr w:rsidR="0015649E" w:rsidRPr="0084045A" w14:paraId="6E0F7A5B" w14:textId="77777777" w:rsidTr="00C3352F">
        <w:trPr>
          <w:trHeight w:val="212"/>
          <w:jc w:val="center"/>
        </w:trPr>
        <w:tc>
          <w:tcPr>
            <w:tcW w:w="728" w:type="dxa"/>
            <w:vMerge/>
            <w:shd w:val="clear" w:color="auto" w:fill="auto"/>
            <w:noWrap/>
            <w:textDirection w:val="btLr"/>
            <w:vAlign w:val="center"/>
            <w:hideMark/>
          </w:tcPr>
          <w:p w14:paraId="2D6F01D9"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6A6A08D" w14:textId="1A56FB1A"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1169F5F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67,224</w:t>
            </w:r>
          </w:p>
        </w:tc>
        <w:tc>
          <w:tcPr>
            <w:tcW w:w="768" w:type="dxa"/>
            <w:tcBorders>
              <w:top w:val="nil"/>
              <w:left w:val="nil"/>
              <w:bottom w:val="nil"/>
              <w:right w:val="nil"/>
            </w:tcBorders>
            <w:shd w:val="clear" w:color="auto" w:fill="auto"/>
            <w:noWrap/>
            <w:vAlign w:val="center"/>
            <w:hideMark/>
          </w:tcPr>
          <w:p w14:paraId="290E268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26,846</w:t>
            </w:r>
          </w:p>
        </w:tc>
        <w:tc>
          <w:tcPr>
            <w:tcW w:w="847" w:type="dxa"/>
            <w:tcBorders>
              <w:top w:val="nil"/>
              <w:left w:val="nil"/>
              <w:bottom w:val="nil"/>
              <w:right w:val="nil"/>
            </w:tcBorders>
            <w:shd w:val="clear" w:color="auto" w:fill="auto"/>
            <w:noWrap/>
            <w:vAlign w:val="center"/>
            <w:hideMark/>
          </w:tcPr>
          <w:p w14:paraId="1EE7DC8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112,027</w:t>
            </w:r>
          </w:p>
        </w:tc>
        <w:tc>
          <w:tcPr>
            <w:tcW w:w="847" w:type="dxa"/>
            <w:tcBorders>
              <w:top w:val="nil"/>
              <w:left w:val="nil"/>
              <w:bottom w:val="nil"/>
              <w:right w:val="nil"/>
            </w:tcBorders>
            <w:shd w:val="clear" w:color="auto" w:fill="auto"/>
            <w:noWrap/>
            <w:vAlign w:val="center"/>
            <w:hideMark/>
          </w:tcPr>
          <w:p w14:paraId="40052E8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123,381</w:t>
            </w:r>
          </w:p>
        </w:tc>
        <w:tc>
          <w:tcPr>
            <w:tcW w:w="880" w:type="dxa"/>
            <w:tcBorders>
              <w:top w:val="nil"/>
              <w:left w:val="nil"/>
              <w:bottom w:val="nil"/>
              <w:right w:val="nil"/>
            </w:tcBorders>
            <w:shd w:val="clear" w:color="auto" w:fill="auto"/>
            <w:noWrap/>
            <w:vAlign w:val="center"/>
            <w:hideMark/>
          </w:tcPr>
          <w:p w14:paraId="21D7671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107,817</w:t>
            </w:r>
          </w:p>
        </w:tc>
        <w:tc>
          <w:tcPr>
            <w:tcW w:w="768" w:type="dxa"/>
            <w:tcBorders>
              <w:top w:val="nil"/>
              <w:left w:val="nil"/>
              <w:bottom w:val="nil"/>
              <w:right w:val="nil"/>
            </w:tcBorders>
            <w:shd w:val="clear" w:color="auto" w:fill="auto"/>
            <w:noWrap/>
            <w:vAlign w:val="center"/>
            <w:hideMark/>
          </w:tcPr>
          <w:p w14:paraId="5F9B642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106,921</w:t>
            </w:r>
          </w:p>
        </w:tc>
        <w:tc>
          <w:tcPr>
            <w:tcW w:w="847" w:type="dxa"/>
            <w:tcBorders>
              <w:top w:val="nil"/>
              <w:left w:val="nil"/>
              <w:bottom w:val="nil"/>
              <w:right w:val="nil"/>
            </w:tcBorders>
            <w:shd w:val="clear" w:color="auto" w:fill="auto"/>
            <w:noWrap/>
            <w:vAlign w:val="center"/>
            <w:hideMark/>
          </w:tcPr>
          <w:p w14:paraId="675D205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134,657</w:t>
            </w:r>
          </w:p>
        </w:tc>
        <w:tc>
          <w:tcPr>
            <w:tcW w:w="847" w:type="dxa"/>
            <w:tcBorders>
              <w:top w:val="nil"/>
              <w:left w:val="nil"/>
              <w:bottom w:val="nil"/>
              <w:right w:val="nil"/>
            </w:tcBorders>
            <w:shd w:val="clear" w:color="auto" w:fill="auto"/>
            <w:noWrap/>
            <w:vAlign w:val="center"/>
            <w:hideMark/>
          </w:tcPr>
          <w:p w14:paraId="7AAEF8C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250,255</w:t>
            </w:r>
          </w:p>
        </w:tc>
        <w:tc>
          <w:tcPr>
            <w:tcW w:w="847" w:type="dxa"/>
            <w:tcBorders>
              <w:top w:val="nil"/>
              <w:left w:val="nil"/>
              <w:bottom w:val="nil"/>
              <w:right w:val="nil"/>
            </w:tcBorders>
            <w:shd w:val="clear" w:color="auto" w:fill="auto"/>
            <w:noWrap/>
            <w:vAlign w:val="center"/>
            <w:hideMark/>
          </w:tcPr>
          <w:p w14:paraId="258AF39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129,981</w:t>
            </w:r>
          </w:p>
        </w:tc>
        <w:tc>
          <w:tcPr>
            <w:tcW w:w="945" w:type="dxa"/>
            <w:tcBorders>
              <w:top w:val="nil"/>
              <w:left w:val="nil"/>
              <w:bottom w:val="nil"/>
            </w:tcBorders>
            <w:shd w:val="clear" w:color="auto" w:fill="auto"/>
            <w:noWrap/>
            <w:vAlign w:val="center"/>
            <w:hideMark/>
          </w:tcPr>
          <w:p w14:paraId="5EAEAC2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1,059,108</w:t>
            </w:r>
          </w:p>
        </w:tc>
      </w:tr>
      <w:tr w:rsidR="0015649E" w:rsidRPr="0084045A" w14:paraId="60FA8D2F" w14:textId="77777777" w:rsidTr="00C3352F">
        <w:trPr>
          <w:trHeight w:val="77"/>
          <w:jc w:val="center"/>
        </w:trPr>
        <w:tc>
          <w:tcPr>
            <w:tcW w:w="728" w:type="dxa"/>
            <w:vMerge/>
            <w:shd w:val="clear" w:color="auto" w:fill="auto"/>
            <w:noWrap/>
            <w:textDirection w:val="btLr"/>
            <w:vAlign w:val="center"/>
            <w:hideMark/>
          </w:tcPr>
          <w:p w14:paraId="62D5F09D"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447CA51B" w14:textId="15EBCA06"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7CD6D02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21,156</w:t>
            </w:r>
          </w:p>
        </w:tc>
        <w:tc>
          <w:tcPr>
            <w:tcW w:w="768" w:type="dxa"/>
            <w:tcBorders>
              <w:top w:val="nil"/>
              <w:left w:val="nil"/>
              <w:bottom w:val="single" w:sz="4" w:space="0" w:color="auto"/>
              <w:right w:val="nil"/>
            </w:tcBorders>
            <w:shd w:val="clear" w:color="auto" w:fill="auto"/>
            <w:noWrap/>
            <w:vAlign w:val="center"/>
            <w:hideMark/>
          </w:tcPr>
          <w:p w14:paraId="57FB5B3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11,228</w:t>
            </w:r>
          </w:p>
        </w:tc>
        <w:tc>
          <w:tcPr>
            <w:tcW w:w="847" w:type="dxa"/>
            <w:tcBorders>
              <w:top w:val="nil"/>
              <w:left w:val="nil"/>
              <w:bottom w:val="single" w:sz="4" w:space="0" w:color="auto"/>
              <w:right w:val="nil"/>
            </w:tcBorders>
            <w:shd w:val="clear" w:color="auto" w:fill="auto"/>
            <w:noWrap/>
            <w:vAlign w:val="center"/>
            <w:hideMark/>
          </w:tcPr>
          <w:p w14:paraId="60E7A6C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48,051</w:t>
            </w:r>
          </w:p>
        </w:tc>
        <w:tc>
          <w:tcPr>
            <w:tcW w:w="847" w:type="dxa"/>
            <w:tcBorders>
              <w:top w:val="nil"/>
              <w:left w:val="nil"/>
              <w:bottom w:val="single" w:sz="4" w:space="0" w:color="auto"/>
              <w:right w:val="nil"/>
            </w:tcBorders>
            <w:shd w:val="clear" w:color="auto" w:fill="auto"/>
            <w:noWrap/>
            <w:vAlign w:val="center"/>
            <w:hideMark/>
          </w:tcPr>
          <w:p w14:paraId="31F6BB1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19,437</w:t>
            </w:r>
          </w:p>
        </w:tc>
        <w:tc>
          <w:tcPr>
            <w:tcW w:w="880" w:type="dxa"/>
            <w:tcBorders>
              <w:top w:val="nil"/>
              <w:left w:val="nil"/>
              <w:bottom w:val="single" w:sz="4" w:space="0" w:color="auto"/>
              <w:right w:val="nil"/>
            </w:tcBorders>
            <w:shd w:val="clear" w:color="auto" w:fill="auto"/>
            <w:noWrap/>
            <w:vAlign w:val="center"/>
            <w:hideMark/>
          </w:tcPr>
          <w:p w14:paraId="61738F0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52,954</w:t>
            </w:r>
          </w:p>
        </w:tc>
        <w:tc>
          <w:tcPr>
            <w:tcW w:w="768" w:type="dxa"/>
            <w:tcBorders>
              <w:top w:val="nil"/>
              <w:left w:val="nil"/>
              <w:bottom w:val="single" w:sz="4" w:space="0" w:color="auto"/>
              <w:right w:val="nil"/>
            </w:tcBorders>
            <w:shd w:val="clear" w:color="auto" w:fill="auto"/>
            <w:noWrap/>
            <w:vAlign w:val="center"/>
            <w:hideMark/>
          </w:tcPr>
          <w:p w14:paraId="2942280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18,590</w:t>
            </w:r>
          </w:p>
        </w:tc>
        <w:tc>
          <w:tcPr>
            <w:tcW w:w="847" w:type="dxa"/>
            <w:tcBorders>
              <w:top w:val="nil"/>
              <w:left w:val="nil"/>
              <w:bottom w:val="single" w:sz="4" w:space="0" w:color="auto"/>
              <w:right w:val="nil"/>
            </w:tcBorders>
            <w:shd w:val="clear" w:color="auto" w:fill="auto"/>
            <w:noWrap/>
            <w:vAlign w:val="center"/>
            <w:hideMark/>
          </w:tcPr>
          <w:p w14:paraId="6A0668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50,067</w:t>
            </w:r>
          </w:p>
        </w:tc>
        <w:tc>
          <w:tcPr>
            <w:tcW w:w="847" w:type="dxa"/>
            <w:tcBorders>
              <w:top w:val="nil"/>
              <w:left w:val="nil"/>
              <w:bottom w:val="single" w:sz="4" w:space="0" w:color="auto"/>
              <w:right w:val="nil"/>
            </w:tcBorders>
            <w:shd w:val="clear" w:color="auto" w:fill="auto"/>
            <w:noWrap/>
            <w:vAlign w:val="center"/>
            <w:hideMark/>
          </w:tcPr>
          <w:p w14:paraId="12DF81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82,593</w:t>
            </w:r>
          </w:p>
        </w:tc>
        <w:tc>
          <w:tcPr>
            <w:tcW w:w="847" w:type="dxa"/>
            <w:tcBorders>
              <w:top w:val="nil"/>
              <w:left w:val="nil"/>
              <w:bottom w:val="single" w:sz="4" w:space="0" w:color="auto"/>
              <w:right w:val="nil"/>
            </w:tcBorders>
            <w:shd w:val="clear" w:color="auto" w:fill="auto"/>
            <w:noWrap/>
            <w:vAlign w:val="center"/>
            <w:hideMark/>
          </w:tcPr>
          <w:p w14:paraId="237C7A9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42,660</w:t>
            </w:r>
          </w:p>
        </w:tc>
        <w:tc>
          <w:tcPr>
            <w:tcW w:w="945" w:type="dxa"/>
            <w:tcBorders>
              <w:top w:val="nil"/>
              <w:left w:val="nil"/>
              <w:bottom w:val="single" w:sz="4" w:space="0" w:color="auto"/>
            </w:tcBorders>
            <w:shd w:val="clear" w:color="auto" w:fill="auto"/>
            <w:noWrap/>
            <w:vAlign w:val="center"/>
            <w:hideMark/>
          </w:tcPr>
          <w:p w14:paraId="7976E34A"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346,736</w:t>
            </w:r>
          </w:p>
        </w:tc>
      </w:tr>
      <w:tr w:rsidR="0015649E" w:rsidRPr="0084045A" w14:paraId="31AB13F5" w14:textId="77777777" w:rsidTr="00C3352F">
        <w:trPr>
          <w:trHeight w:val="212"/>
          <w:jc w:val="center"/>
        </w:trPr>
        <w:tc>
          <w:tcPr>
            <w:tcW w:w="728" w:type="dxa"/>
            <w:vMerge w:val="restart"/>
            <w:shd w:val="clear" w:color="auto" w:fill="auto"/>
            <w:noWrap/>
            <w:textDirection w:val="btLr"/>
            <w:vAlign w:val="center"/>
            <w:hideMark/>
          </w:tcPr>
          <w:p w14:paraId="0707354B"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México</w:t>
            </w:r>
          </w:p>
        </w:tc>
        <w:tc>
          <w:tcPr>
            <w:tcW w:w="753" w:type="dxa"/>
            <w:tcBorders>
              <w:bottom w:val="nil"/>
              <w:right w:val="nil"/>
            </w:tcBorders>
            <w:vAlign w:val="center"/>
          </w:tcPr>
          <w:p w14:paraId="3A944355" w14:textId="11B1F6CA"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64E7D97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205,667</w:t>
            </w:r>
          </w:p>
        </w:tc>
        <w:tc>
          <w:tcPr>
            <w:tcW w:w="768" w:type="dxa"/>
            <w:tcBorders>
              <w:left w:val="nil"/>
              <w:bottom w:val="nil"/>
              <w:right w:val="nil"/>
            </w:tcBorders>
            <w:shd w:val="clear" w:color="auto" w:fill="auto"/>
            <w:noWrap/>
            <w:vAlign w:val="center"/>
            <w:hideMark/>
          </w:tcPr>
          <w:p w14:paraId="2D8F606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69,545</w:t>
            </w:r>
          </w:p>
        </w:tc>
        <w:tc>
          <w:tcPr>
            <w:tcW w:w="847" w:type="dxa"/>
            <w:tcBorders>
              <w:left w:val="nil"/>
              <w:bottom w:val="nil"/>
              <w:right w:val="nil"/>
            </w:tcBorders>
            <w:shd w:val="clear" w:color="auto" w:fill="auto"/>
            <w:noWrap/>
            <w:vAlign w:val="center"/>
            <w:hideMark/>
          </w:tcPr>
          <w:p w14:paraId="70735BD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260,760</w:t>
            </w:r>
          </w:p>
        </w:tc>
        <w:tc>
          <w:tcPr>
            <w:tcW w:w="847" w:type="dxa"/>
            <w:tcBorders>
              <w:left w:val="nil"/>
              <w:bottom w:val="nil"/>
              <w:right w:val="nil"/>
            </w:tcBorders>
            <w:shd w:val="clear" w:color="auto" w:fill="auto"/>
            <w:noWrap/>
            <w:vAlign w:val="center"/>
            <w:hideMark/>
          </w:tcPr>
          <w:p w14:paraId="1498097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183,885</w:t>
            </w:r>
          </w:p>
        </w:tc>
        <w:tc>
          <w:tcPr>
            <w:tcW w:w="880" w:type="dxa"/>
            <w:tcBorders>
              <w:left w:val="nil"/>
              <w:bottom w:val="nil"/>
              <w:right w:val="nil"/>
            </w:tcBorders>
            <w:shd w:val="clear" w:color="auto" w:fill="auto"/>
            <w:noWrap/>
            <w:vAlign w:val="center"/>
            <w:hideMark/>
          </w:tcPr>
          <w:p w14:paraId="27AF447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230,636</w:t>
            </w:r>
          </w:p>
        </w:tc>
        <w:tc>
          <w:tcPr>
            <w:tcW w:w="768" w:type="dxa"/>
            <w:tcBorders>
              <w:left w:val="nil"/>
              <w:bottom w:val="nil"/>
              <w:right w:val="nil"/>
            </w:tcBorders>
            <w:shd w:val="clear" w:color="auto" w:fill="auto"/>
            <w:noWrap/>
            <w:vAlign w:val="center"/>
            <w:hideMark/>
          </w:tcPr>
          <w:p w14:paraId="09E1575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162,308</w:t>
            </w:r>
          </w:p>
        </w:tc>
        <w:tc>
          <w:tcPr>
            <w:tcW w:w="847" w:type="dxa"/>
            <w:tcBorders>
              <w:left w:val="nil"/>
              <w:bottom w:val="nil"/>
              <w:right w:val="nil"/>
            </w:tcBorders>
            <w:shd w:val="clear" w:color="auto" w:fill="auto"/>
            <w:noWrap/>
            <w:vAlign w:val="center"/>
            <w:hideMark/>
          </w:tcPr>
          <w:p w14:paraId="24E0E94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161,763</w:t>
            </w:r>
          </w:p>
        </w:tc>
        <w:tc>
          <w:tcPr>
            <w:tcW w:w="847" w:type="dxa"/>
            <w:tcBorders>
              <w:left w:val="nil"/>
              <w:bottom w:val="nil"/>
              <w:right w:val="nil"/>
            </w:tcBorders>
            <w:shd w:val="clear" w:color="auto" w:fill="auto"/>
            <w:noWrap/>
            <w:vAlign w:val="center"/>
            <w:hideMark/>
          </w:tcPr>
          <w:p w14:paraId="6362B4A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280,741</w:t>
            </w:r>
          </w:p>
        </w:tc>
        <w:tc>
          <w:tcPr>
            <w:tcW w:w="847" w:type="dxa"/>
            <w:tcBorders>
              <w:left w:val="nil"/>
              <w:bottom w:val="nil"/>
              <w:right w:val="nil"/>
            </w:tcBorders>
            <w:shd w:val="clear" w:color="auto" w:fill="auto"/>
            <w:noWrap/>
            <w:vAlign w:val="center"/>
            <w:hideMark/>
          </w:tcPr>
          <w:p w14:paraId="5CB9D67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188,967</w:t>
            </w:r>
          </w:p>
        </w:tc>
        <w:tc>
          <w:tcPr>
            <w:tcW w:w="945" w:type="dxa"/>
            <w:tcBorders>
              <w:left w:val="nil"/>
              <w:bottom w:val="nil"/>
            </w:tcBorders>
            <w:shd w:val="clear" w:color="auto" w:fill="auto"/>
            <w:noWrap/>
            <w:vAlign w:val="center"/>
            <w:hideMark/>
          </w:tcPr>
          <w:p w14:paraId="606584F8"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1,744,272</w:t>
            </w:r>
          </w:p>
        </w:tc>
      </w:tr>
      <w:tr w:rsidR="0015649E" w:rsidRPr="0084045A" w14:paraId="27CA193C" w14:textId="77777777" w:rsidTr="00C3352F">
        <w:trPr>
          <w:trHeight w:val="212"/>
          <w:jc w:val="center"/>
        </w:trPr>
        <w:tc>
          <w:tcPr>
            <w:tcW w:w="728" w:type="dxa"/>
            <w:vMerge/>
            <w:shd w:val="clear" w:color="auto" w:fill="auto"/>
            <w:noWrap/>
            <w:textDirection w:val="btLr"/>
            <w:vAlign w:val="center"/>
            <w:hideMark/>
          </w:tcPr>
          <w:p w14:paraId="0B296D22"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F4C5DA2" w14:textId="7355561B"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3FB0F71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319,827</w:t>
            </w:r>
          </w:p>
        </w:tc>
        <w:tc>
          <w:tcPr>
            <w:tcW w:w="768" w:type="dxa"/>
            <w:tcBorders>
              <w:top w:val="nil"/>
              <w:left w:val="nil"/>
              <w:bottom w:val="nil"/>
              <w:right w:val="nil"/>
            </w:tcBorders>
            <w:shd w:val="clear" w:color="auto" w:fill="auto"/>
            <w:noWrap/>
            <w:vAlign w:val="center"/>
            <w:hideMark/>
          </w:tcPr>
          <w:p w14:paraId="030485D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144,061</w:t>
            </w:r>
          </w:p>
        </w:tc>
        <w:tc>
          <w:tcPr>
            <w:tcW w:w="847" w:type="dxa"/>
            <w:tcBorders>
              <w:top w:val="nil"/>
              <w:left w:val="nil"/>
              <w:bottom w:val="nil"/>
              <w:right w:val="nil"/>
            </w:tcBorders>
            <w:shd w:val="clear" w:color="auto" w:fill="auto"/>
            <w:noWrap/>
            <w:vAlign w:val="center"/>
            <w:hideMark/>
          </w:tcPr>
          <w:p w14:paraId="5F8EC04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480,203</w:t>
            </w:r>
          </w:p>
        </w:tc>
        <w:tc>
          <w:tcPr>
            <w:tcW w:w="847" w:type="dxa"/>
            <w:tcBorders>
              <w:top w:val="nil"/>
              <w:left w:val="nil"/>
              <w:bottom w:val="nil"/>
              <w:right w:val="nil"/>
            </w:tcBorders>
            <w:shd w:val="clear" w:color="auto" w:fill="auto"/>
            <w:noWrap/>
            <w:vAlign w:val="center"/>
            <w:hideMark/>
          </w:tcPr>
          <w:p w14:paraId="0273285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285,707</w:t>
            </w:r>
          </w:p>
        </w:tc>
        <w:tc>
          <w:tcPr>
            <w:tcW w:w="880" w:type="dxa"/>
            <w:tcBorders>
              <w:top w:val="nil"/>
              <w:left w:val="nil"/>
              <w:bottom w:val="nil"/>
              <w:right w:val="nil"/>
            </w:tcBorders>
            <w:shd w:val="clear" w:color="auto" w:fill="auto"/>
            <w:noWrap/>
            <w:vAlign w:val="center"/>
            <w:hideMark/>
          </w:tcPr>
          <w:p w14:paraId="16DFFD4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456,473</w:t>
            </w:r>
          </w:p>
        </w:tc>
        <w:tc>
          <w:tcPr>
            <w:tcW w:w="768" w:type="dxa"/>
            <w:tcBorders>
              <w:top w:val="nil"/>
              <w:left w:val="nil"/>
              <w:bottom w:val="nil"/>
              <w:right w:val="nil"/>
            </w:tcBorders>
            <w:shd w:val="clear" w:color="auto" w:fill="auto"/>
            <w:noWrap/>
            <w:vAlign w:val="center"/>
            <w:hideMark/>
          </w:tcPr>
          <w:p w14:paraId="2A038A6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309,432</w:t>
            </w:r>
          </w:p>
        </w:tc>
        <w:tc>
          <w:tcPr>
            <w:tcW w:w="847" w:type="dxa"/>
            <w:tcBorders>
              <w:top w:val="nil"/>
              <w:left w:val="nil"/>
              <w:bottom w:val="nil"/>
              <w:right w:val="nil"/>
            </w:tcBorders>
            <w:shd w:val="clear" w:color="auto" w:fill="auto"/>
            <w:noWrap/>
            <w:vAlign w:val="center"/>
            <w:hideMark/>
          </w:tcPr>
          <w:p w14:paraId="64E2199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422,744</w:t>
            </w:r>
          </w:p>
        </w:tc>
        <w:tc>
          <w:tcPr>
            <w:tcW w:w="847" w:type="dxa"/>
            <w:tcBorders>
              <w:top w:val="nil"/>
              <w:left w:val="nil"/>
              <w:bottom w:val="nil"/>
              <w:right w:val="nil"/>
            </w:tcBorders>
            <w:shd w:val="clear" w:color="auto" w:fill="auto"/>
            <w:noWrap/>
            <w:vAlign w:val="center"/>
            <w:hideMark/>
          </w:tcPr>
          <w:p w14:paraId="50FD87B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532,109</w:t>
            </w:r>
          </w:p>
        </w:tc>
        <w:tc>
          <w:tcPr>
            <w:tcW w:w="847" w:type="dxa"/>
            <w:tcBorders>
              <w:top w:val="nil"/>
              <w:left w:val="nil"/>
              <w:bottom w:val="nil"/>
              <w:right w:val="nil"/>
            </w:tcBorders>
            <w:shd w:val="clear" w:color="auto" w:fill="auto"/>
            <w:noWrap/>
            <w:vAlign w:val="center"/>
            <w:hideMark/>
          </w:tcPr>
          <w:p w14:paraId="294C054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364,291</w:t>
            </w:r>
          </w:p>
        </w:tc>
        <w:tc>
          <w:tcPr>
            <w:tcW w:w="945" w:type="dxa"/>
            <w:tcBorders>
              <w:top w:val="nil"/>
              <w:left w:val="nil"/>
              <w:bottom w:val="nil"/>
            </w:tcBorders>
            <w:shd w:val="clear" w:color="auto" w:fill="auto"/>
            <w:noWrap/>
            <w:vAlign w:val="center"/>
            <w:hideMark/>
          </w:tcPr>
          <w:p w14:paraId="6472EBBA"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3,314,848</w:t>
            </w:r>
          </w:p>
        </w:tc>
      </w:tr>
      <w:tr w:rsidR="0015649E" w:rsidRPr="0084045A" w14:paraId="56DF5C99" w14:textId="77777777" w:rsidTr="00C3352F">
        <w:trPr>
          <w:trHeight w:val="212"/>
          <w:jc w:val="center"/>
        </w:trPr>
        <w:tc>
          <w:tcPr>
            <w:tcW w:w="728" w:type="dxa"/>
            <w:vMerge/>
            <w:shd w:val="clear" w:color="auto" w:fill="auto"/>
            <w:noWrap/>
            <w:textDirection w:val="btLr"/>
            <w:vAlign w:val="center"/>
            <w:hideMark/>
          </w:tcPr>
          <w:p w14:paraId="0F36E466"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7E4C91D" w14:textId="2BD548E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2F042FE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417,401</w:t>
            </w:r>
          </w:p>
        </w:tc>
        <w:tc>
          <w:tcPr>
            <w:tcW w:w="768" w:type="dxa"/>
            <w:tcBorders>
              <w:top w:val="nil"/>
              <w:left w:val="nil"/>
              <w:bottom w:val="nil"/>
              <w:right w:val="nil"/>
            </w:tcBorders>
            <w:shd w:val="clear" w:color="auto" w:fill="auto"/>
            <w:noWrap/>
            <w:vAlign w:val="center"/>
            <w:hideMark/>
          </w:tcPr>
          <w:p w14:paraId="4EADBC7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199,068</w:t>
            </w:r>
          </w:p>
        </w:tc>
        <w:tc>
          <w:tcPr>
            <w:tcW w:w="847" w:type="dxa"/>
            <w:tcBorders>
              <w:top w:val="nil"/>
              <w:left w:val="nil"/>
              <w:bottom w:val="nil"/>
              <w:right w:val="nil"/>
            </w:tcBorders>
            <w:shd w:val="clear" w:color="auto" w:fill="auto"/>
            <w:noWrap/>
            <w:vAlign w:val="center"/>
            <w:hideMark/>
          </w:tcPr>
          <w:p w14:paraId="7A248A2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660,678</w:t>
            </w:r>
          </w:p>
        </w:tc>
        <w:tc>
          <w:tcPr>
            <w:tcW w:w="847" w:type="dxa"/>
            <w:tcBorders>
              <w:top w:val="nil"/>
              <w:left w:val="nil"/>
              <w:bottom w:val="nil"/>
              <w:right w:val="nil"/>
            </w:tcBorders>
            <w:shd w:val="clear" w:color="auto" w:fill="auto"/>
            <w:noWrap/>
            <w:vAlign w:val="center"/>
            <w:hideMark/>
          </w:tcPr>
          <w:p w14:paraId="66D5FC3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766,863</w:t>
            </w:r>
          </w:p>
        </w:tc>
        <w:tc>
          <w:tcPr>
            <w:tcW w:w="880" w:type="dxa"/>
            <w:tcBorders>
              <w:top w:val="nil"/>
              <w:left w:val="nil"/>
              <w:bottom w:val="nil"/>
              <w:right w:val="nil"/>
            </w:tcBorders>
            <w:shd w:val="clear" w:color="auto" w:fill="auto"/>
            <w:noWrap/>
            <w:vAlign w:val="center"/>
            <w:hideMark/>
          </w:tcPr>
          <w:p w14:paraId="3A39032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511,253</w:t>
            </w:r>
          </w:p>
        </w:tc>
        <w:tc>
          <w:tcPr>
            <w:tcW w:w="768" w:type="dxa"/>
            <w:tcBorders>
              <w:top w:val="nil"/>
              <w:left w:val="nil"/>
              <w:bottom w:val="nil"/>
              <w:right w:val="nil"/>
            </w:tcBorders>
            <w:shd w:val="clear" w:color="auto" w:fill="auto"/>
            <w:noWrap/>
            <w:vAlign w:val="center"/>
            <w:hideMark/>
          </w:tcPr>
          <w:p w14:paraId="383B963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606,110</w:t>
            </w:r>
          </w:p>
        </w:tc>
        <w:tc>
          <w:tcPr>
            <w:tcW w:w="847" w:type="dxa"/>
            <w:tcBorders>
              <w:top w:val="nil"/>
              <w:left w:val="nil"/>
              <w:bottom w:val="nil"/>
              <w:right w:val="nil"/>
            </w:tcBorders>
            <w:shd w:val="clear" w:color="auto" w:fill="auto"/>
            <w:noWrap/>
            <w:vAlign w:val="center"/>
            <w:hideMark/>
          </w:tcPr>
          <w:p w14:paraId="60FF612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516,270</w:t>
            </w:r>
          </w:p>
        </w:tc>
        <w:tc>
          <w:tcPr>
            <w:tcW w:w="847" w:type="dxa"/>
            <w:tcBorders>
              <w:top w:val="nil"/>
              <w:left w:val="nil"/>
              <w:bottom w:val="nil"/>
              <w:right w:val="nil"/>
            </w:tcBorders>
            <w:shd w:val="clear" w:color="auto" w:fill="auto"/>
            <w:noWrap/>
            <w:vAlign w:val="center"/>
            <w:hideMark/>
          </w:tcPr>
          <w:p w14:paraId="403FCBF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876,460</w:t>
            </w:r>
          </w:p>
        </w:tc>
        <w:tc>
          <w:tcPr>
            <w:tcW w:w="847" w:type="dxa"/>
            <w:tcBorders>
              <w:top w:val="nil"/>
              <w:left w:val="nil"/>
              <w:bottom w:val="nil"/>
              <w:right w:val="nil"/>
            </w:tcBorders>
            <w:shd w:val="clear" w:color="auto" w:fill="auto"/>
            <w:noWrap/>
            <w:vAlign w:val="center"/>
            <w:hideMark/>
          </w:tcPr>
          <w:p w14:paraId="6A80D40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595,553</w:t>
            </w:r>
          </w:p>
        </w:tc>
        <w:tc>
          <w:tcPr>
            <w:tcW w:w="945" w:type="dxa"/>
            <w:tcBorders>
              <w:top w:val="nil"/>
              <w:left w:val="nil"/>
              <w:bottom w:val="nil"/>
            </w:tcBorders>
            <w:shd w:val="clear" w:color="auto" w:fill="auto"/>
            <w:noWrap/>
            <w:vAlign w:val="center"/>
            <w:hideMark/>
          </w:tcPr>
          <w:p w14:paraId="6B527F02"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5,149,656</w:t>
            </w:r>
          </w:p>
        </w:tc>
      </w:tr>
      <w:tr w:rsidR="0015649E" w:rsidRPr="0084045A" w14:paraId="4799CD98" w14:textId="77777777" w:rsidTr="00C3352F">
        <w:trPr>
          <w:trHeight w:val="212"/>
          <w:jc w:val="center"/>
        </w:trPr>
        <w:tc>
          <w:tcPr>
            <w:tcW w:w="728" w:type="dxa"/>
            <w:vMerge/>
            <w:shd w:val="clear" w:color="auto" w:fill="auto"/>
            <w:noWrap/>
            <w:textDirection w:val="btLr"/>
            <w:vAlign w:val="center"/>
            <w:hideMark/>
          </w:tcPr>
          <w:p w14:paraId="51F0309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06844CD3" w14:textId="305A08B4"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1C83F0D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138,268</w:t>
            </w:r>
          </w:p>
        </w:tc>
        <w:tc>
          <w:tcPr>
            <w:tcW w:w="768" w:type="dxa"/>
            <w:tcBorders>
              <w:top w:val="nil"/>
              <w:left w:val="nil"/>
              <w:bottom w:val="nil"/>
              <w:right w:val="nil"/>
            </w:tcBorders>
            <w:shd w:val="clear" w:color="auto" w:fill="auto"/>
            <w:noWrap/>
            <w:vAlign w:val="center"/>
            <w:hideMark/>
          </w:tcPr>
          <w:p w14:paraId="0CBAB50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56,040</w:t>
            </w:r>
          </w:p>
        </w:tc>
        <w:tc>
          <w:tcPr>
            <w:tcW w:w="847" w:type="dxa"/>
            <w:tcBorders>
              <w:top w:val="nil"/>
              <w:left w:val="nil"/>
              <w:bottom w:val="nil"/>
              <w:right w:val="nil"/>
            </w:tcBorders>
            <w:shd w:val="clear" w:color="auto" w:fill="auto"/>
            <w:noWrap/>
            <w:vAlign w:val="center"/>
            <w:hideMark/>
          </w:tcPr>
          <w:p w14:paraId="71BEC5D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237,310</w:t>
            </w:r>
          </w:p>
        </w:tc>
        <w:tc>
          <w:tcPr>
            <w:tcW w:w="847" w:type="dxa"/>
            <w:tcBorders>
              <w:top w:val="nil"/>
              <w:left w:val="nil"/>
              <w:bottom w:val="nil"/>
              <w:right w:val="nil"/>
            </w:tcBorders>
            <w:shd w:val="clear" w:color="auto" w:fill="auto"/>
            <w:noWrap/>
            <w:vAlign w:val="center"/>
            <w:hideMark/>
          </w:tcPr>
          <w:p w14:paraId="3EB8F18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265,205</w:t>
            </w:r>
          </w:p>
        </w:tc>
        <w:tc>
          <w:tcPr>
            <w:tcW w:w="880" w:type="dxa"/>
            <w:tcBorders>
              <w:top w:val="nil"/>
              <w:left w:val="nil"/>
              <w:bottom w:val="nil"/>
              <w:right w:val="nil"/>
            </w:tcBorders>
            <w:shd w:val="clear" w:color="auto" w:fill="auto"/>
            <w:noWrap/>
            <w:vAlign w:val="center"/>
            <w:hideMark/>
          </w:tcPr>
          <w:p w14:paraId="581747E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235,148</w:t>
            </w:r>
          </w:p>
        </w:tc>
        <w:tc>
          <w:tcPr>
            <w:tcW w:w="768" w:type="dxa"/>
            <w:tcBorders>
              <w:top w:val="nil"/>
              <w:left w:val="nil"/>
              <w:bottom w:val="nil"/>
              <w:right w:val="nil"/>
            </w:tcBorders>
            <w:shd w:val="clear" w:color="auto" w:fill="auto"/>
            <w:noWrap/>
            <w:vAlign w:val="center"/>
            <w:hideMark/>
          </w:tcPr>
          <w:p w14:paraId="102F0E3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236,594</w:t>
            </w:r>
          </w:p>
        </w:tc>
        <w:tc>
          <w:tcPr>
            <w:tcW w:w="847" w:type="dxa"/>
            <w:tcBorders>
              <w:top w:val="nil"/>
              <w:left w:val="nil"/>
              <w:bottom w:val="nil"/>
              <w:right w:val="nil"/>
            </w:tcBorders>
            <w:shd w:val="clear" w:color="auto" w:fill="auto"/>
            <w:noWrap/>
            <w:vAlign w:val="center"/>
            <w:hideMark/>
          </w:tcPr>
          <w:p w14:paraId="78401F0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299,744</w:t>
            </w:r>
          </w:p>
        </w:tc>
        <w:tc>
          <w:tcPr>
            <w:tcW w:w="847" w:type="dxa"/>
            <w:tcBorders>
              <w:top w:val="nil"/>
              <w:left w:val="nil"/>
              <w:bottom w:val="nil"/>
              <w:right w:val="nil"/>
            </w:tcBorders>
            <w:shd w:val="clear" w:color="auto" w:fill="auto"/>
            <w:noWrap/>
            <w:vAlign w:val="center"/>
            <w:hideMark/>
          </w:tcPr>
          <w:p w14:paraId="4EF3365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559,985</w:t>
            </w:r>
          </w:p>
        </w:tc>
        <w:tc>
          <w:tcPr>
            <w:tcW w:w="847" w:type="dxa"/>
            <w:tcBorders>
              <w:top w:val="nil"/>
              <w:left w:val="nil"/>
              <w:bottom w:val="nil"/>
              <w:right w:val="nil"/>
            </w:tcBorders>
            <w:shd w:val="clear" w:color="auto" w:fill="auto"/>
            <w:noWrap/>
            <w:vAlign w:val="center"/>
            <w:hideMark/>
          </w:tcPr>
          <w:p w14:paraId="6378AFE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292,146</w:t>
            </w:r>
          </w:p>
        </w:tc>
        <w:tc>
          <w:tcPr>
            <w:tcW w:w="945" w:type="dxa"/>
            <w:tcBorders>
              <w:top w:val="nil"/>
              <w:left w:val="nil"/>
              <w:bottom w:val="nil"/>
            </w:tcBorders>
            <w:shd w:val="clear" w:color="auto" w:fill="auto"/>
            <w:noWrap/>
            <w:vAlign w:val="center"/>
            <w:hideMark/>
          </w:tcPr>
          <w:p w14:paraId="2800F3E8"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2,320,441</w:t>
            </w:r>
          </w:p>
        </w:tc>
      </w:tr>
      <w:tr w:rsidR="0015649E" w:rsidRPr="0084045A" w14:paraId="19A6A882" w14:textId="77777777" w:rsidTr="00C3352F">
        <w:trPr>
          <w:trHeight w:val="212"/>
          <w:jc w:val="center"/>
        </w:trPr>
        <w:tc>
          <w:tcPr>
            <w:tcW w:w="728" w:type="dxa"/>
            <w:vMerge/>
            <w:shd w:val="clear" w:color="auto" w:fill="auto"/>
            <w:noWrap/>
            <w:textDirection w:val="btLr"/>
            <w:vAlign w:val="center"/>
            <w:hideMark/>
          </w:tcPr>
          <w:p w14:paraId="7271108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7694738B" w14:textId="090CABDF"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38218D9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35,585</w:t>
            </w:r>
          </w:p>
        </w:tc>
        <w:tc>
          <w:tcPr>
            <w:tcW w:w="768" w:type="dxa"/>
            <w:tcBorders>
              <w:top w:val="nil"/>
              <w:left w:val="nil"/>
              <w:bottom w:val="single" w:sz="4" w:space="0" w:color="auto"/>
              <w:right w:val="nil"/>
            </w:tcBorders>
            <w:shd w:val="clear" w:color="auto" w:fill="auto"/>
            <w:noWrap/>
            <w:vAlign w:val="center"/>
            <w:hideMark/>
          </w:tcPr>
          <w:p w14:paraId="7A428C1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19,309</w:t>
            </w:r>
          </w:p>
        </w:tc>
        <w:tc>
          <w:tcPr>
            <w:tcW w:w="847" w:type="dxa"/>
            <w:tcBorders>
              <w:top w:val="nil"/>
              <w:left w:val="nil"/>
              <w:bottom w:val="single" w:sz="4" w:space="0" w:color="auto"/>
              <w:right w:val="nil"/>
            </w:tcBorders>
            <w:shd w:val="clear" w:color="auto" w:fill="auto"/>
            <w:noWrap/>
            <w:vAlign w:val="center"/>
            <w:hideMark/>
          </w:tcPr>
          <w:p w14:paraId="66050FD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84,465</w:t>
            </w:r>
          </w:p>
        </w:tc>
        <w:tc>
          <w:tcPr>
            <w:tcW w:w="847" w:type="dxa"/>
            <w:tcBorders>
              <w:top w:val="nil"/>
              <w:left w:val="nil"/>
              <w:bottom w:val="single" w:sz="4" w:space="0" w:color="auto"/>
              <w:right w:val="nil"/>
            </w:tcBorders>
            <w:shd w:val="clear" w:color="auto" w:fill="auto"/>
            <w:noWrap/>
            <w:vAlign w:val="center"/>
            <w:hideMark/>
          </w:tcPr>
          <w:p w14:paraId="6B3DA20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34,920</w:t>
            </w:r>
          </w:p>
        </w:tc>
        <w:tc>
          <w:tcPr>
            <w:tcW w:w="880" w:type="dxa"/>
            <w:tcBorders>
              <w:top w:val="nil"/>
              <w:left w:val="nil"/>
              <w:bottom w:val="single" w:sz="4" w:space="0" w:color="auto"/>
              <w:right w:val="nil"/>
            </w:tcBorders>
            <w:shd w:val="clear" w:color="auto" w:fill="auto"/>
            <w:noWrap/>
            <w:vAlign w:val="center"/>
            <w:hideMark/>
          </w:tcPr>
          <w:p w14:paraId="367D576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97,213</w:t>
            </w:r>
          </w:p>
        </w:tc>
        <w:tc>
          <w:tcPr>
            <w:tcW w:w="768" w:type="dxa"/>
            <w:tcBorders>
              <w:top w:val="nil"/>
              <w:left w:val="nil"/>
              <w:bottom w:val="single" w:sz="4" w:space="0" w:color="auto"/>
              <w:right w:val="nil"/>
            </w:tcBorders>
            <w:shd w:val="clear" w:color="auto" w:fill="auto"/>
            <w:noWrap/>
            <w:vAlign w:val="center"/>
            <w:hideMark/>
          </w:tcPr>
          <w:p w14:paraId="018F169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34,867</w:t>
            </w:r>
          </w:p>
        </w:tc>
        <w:tc>
          <w:tcPr>
            <w:tcW w:w="847" w:type="dxa"/>
            <w:tcBorders>
              <w:top w:val="nil"/>
              <w:left w:val="nil"/>
              <w:bottom w:val="single" w:sz="4" w:space="0" w:color="auto"/>
              <w:right w:val="nil"/>
            </w:tcBorders>
            <w:shd w:val="clear" w:color="auto" w:fill="auto"/>
            <w:noWrap/>
            <w:vAlign w:val="center"/>
            <w:hideMark/>
          </w:tcPr>
          <w:p w14:paraId="696332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94,941</w:t>
            </w:r>
          </w:p>
        </w:tc>
        <w:tc>
          <w:tcPr>
            <w:tcW w:w="847" w:type="dxa"/>
            <w:tcBorders>
              <w:top w:val="nil"/>
              <w:left w:val="nil"/>
              <w:bottom w:val="single" w:sz="4" w:space="0" w:color="auto"/>
              <w:right w:val="nil"/>
            </w:tcBorders>
            <w:shd w:val="clear" w:color="auto" w:fill="auto"/>
            <w:noWrap/>
            <w:vAlign w:val="center"/>
            <w:hideMark/>
          </w:tcPr>
          <w:p w14:paraId="1D9E753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158,379</w:t>
            </w:r>
          </w:p>
        </w:tc>
        <w:tc>
          <w:tcPr>
            <w:tcW w:w="847" w:type="dxa"/>
            <w:tcBorders>
              <w:top w:val="nil"/>
              <w:left w:val="nil"/>
              <w:bottom w:val="single" w:sz="4" w:space="0" w:color="auto"/>
              <w:right w:val="nil"/>
            </w:tcBorders>
            <w:shd w:val="clear" w:color="auto" w:fill="auto"/>
            <w:noWrap/>
            <w:vAlign w:val="center"/>
            <w:hideMark/>
          </w:tcPr>
          <w:p w14:paraId="6303D49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82,725</w:t>
            </w:r>
          </w:p>
        </w:tc>
        <w:tc>
          <w:tcPr>
            <w:tcW w:w="945" w:type="dxa"/>
            <w:tcBorders>
              <w:top w:val="nil"/>
              <w:left w:val="nil"/>
              <w:bottom w:val="single" w:sz="4" w:space="0" w:color="auto"/>
            </w:tcBorders>
            <w:shd w:val="clear" w:color="auto" w:fill="auto"/>
            <w:noWrap/>
            <w:vAlign w:val="center"/>
            <w:hideMark/>
          </w:tcPr>
          <w:p w14:paraId="25005AC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642,404</w:t>
            </w:r>
          </w:p>
        </w:tc>
      </w:tr>
      <w:tr w:rsidR="0015649E" w:rsidRPr="0084045A" w14:paraId="72364AC3" w14:textId="77777777" w:rsidTr="00C3352F">
        <w:trPr>
          <w:trHeight w:val="212"/>
          <w:jc w:val="center"/>
        </w:trPr>
        <w:tc>
          <w:tcPr>
            <w:tcW w:w="728" w:type="dxa"/>
            <w:vMerge w:val="restart"/>
            <w:shd w:val="clear" w:color="auto" w:fill="auto"/>
            <w:noWrap/>
            <w:textDirection w:val="btLr"/>
            <w:vAlign w:val="center"/>
            <w:hideMark/>
          </w:tcPr>
          <w:p w14:paraId="299B498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Michoacán</w:t>
            </w:r>
          </w:p>
        </w:tc>
        <w:tc>
          <w:tcPr>
            <w:tcW w:w="753" w:type="dxa"/>
            <w:tcBorders>
              <w:bottom w:val="nil"/>
              <w:right w:val="nil"/>
            </w:tcBorders>
            <w:vAlign w:val="center"/>
          </w:tcPr>
          <w:p w14:paraId="455FE89A" w14:textId="462A529E"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0B6B36C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62,146</w:t>
            </w:r>
          </w:p>
        </w:tc>
        <w:tc>
          <w:tcPr>
            <w:tcW w:w="768" w:type="dxa"/>
            <w:tcBorders>
              <w:left w:val="nil"/>
              <w:bottom w:val="nil"/>
              <w:right w:val="nil"/>
            </w:tcBorders>
            <w:shd w:val="clear" w:color="auto" w:fill="auto"/>
            <w:noWrap/>
            <w:vAlign w:val="center"/>
            <w:hideMark/>
          </w:tcPr>
          <w:p w14:paraId="2B20900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21,415</w:t>
            </w:r>
          </w:p>
        </w:tc>
        <w:tc>
          <w:tcPr>
            <w:tcW w:w="847" w:type="dxa"/>
            <w:tcBorders>
              <w:left w:val="nil"/>
              <w:bottom w:val="nil"/>
              <w:right w:val="nil"/>
            </w:tcBorders>
            <w:shd w:val="clear" w:color="auto" w:fill="auto"/>
            <w:noWrap/>
            <w:vAlign w:val="center"/>
            <w:hideMark/>
          </w:tcPr>
          <w:p w14:paraId="1B418D4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81,829</w:t>
            </w:r>
          </w:p>
        </w:tc>
        <w:tc>
          <w:tcPr>
            <w:tcW w:w="847" w:type="dxa"/>
            <w:tcBorders>
              <w:left w:val="nil"/>
              <w:bottom w:val="nil"/>
              <w:right w:val="nil"/>
            </w:tcBorders>
            <w:shd w:val="clear" w:color="auto" w:fill="auto"/>
            <w:noWrap/>
            <w:vAlign w:val="center"/>
            <w:hideMark/>
          </w:tcPr>
          <w:p w14:paraId="3CD5632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58,805</w:t>
            </w:r>
          </w:p>
        </w:tc>
        <w:tc>
          <w:tcPr>
            <w:tcW w:w="880" w:type="dxa"/>
            <w:tcBorders>
              <w:left w:val="nil"/>
              <w:bottom w:val="nil"/>
              <w:right w:val="nil"/>
            </w:tcBorders>
            <w:shd w:val="clear" w:color="auto" w:fill="auto"/>
            <w:noWrap/>
            <w:vAlign w:val="center"/>
            <w:hideMark/>
          </w:tcPr>
          <w:p w14:paraId="614A069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75,162</w:t>
            </w:r>
          </w:p>
        </w:tc>
        <w:tc>
          <w:tcPr>
            <w:tcW w:w="768" w:type="dxa"/>
            <w:tcBorders>
              <w:left w:val="nil"/>
              <w:bottom w:val="nil"/>
              <w:right w:val="nil"/>
            </w:tcBorders>
            <w:shd w:val="clear" w:color="auto" w:fill="auto"/>
            <w:noWrap/>
            <w:vAlign w:val="center"/>
            <w:hideMark/>
          </w:tcPr>
          <w:p w14:paraId="6FEBC1D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53,903</w:t>
            </w:r>
          </w:p>
        </w:tc>
        <w:tc>
          <w:tcPr>
            <w:tcW w:w="847" w:type="dxa"/>
            <w:tcBorders>
              <w:left w:val="nil"/>
              <w:bottom w:val="nil"/>
              <w:right w:val="nil"/>
            </w:tcBorders>
            <w:shd w:val="clear" w:color="auto" w:fill="auto"/>
            <w:noWrap/>
            <w:vAlign w:val="center"/>
            <w:hideMark/>
          </w:tcPr>
          <w:p w14:paraId="42795AE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53,507</w:t>
            </w:r>
          </w:p>
        </w:tc>
        <w:tc>
          <w:tcPr>
            <w:tcW w:w="847" w:type="dxa"/>
            <w:tcBorders>
              <w:left w:val="nil"/>
              <w:bottom w:val="nil"/>
              <w:right w:val="nil"/>
            </w:tcBorders>
            <w:shd w:val="clear" w:color="auto" w:fill="auto"/>
            <w:noWrap/>
            <w:vAlign w:val="center"/>
            <w:hideMark/>
          </w:tcPr>
          <w:p w14:paraId="44A0660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92,403</w:t>
            </w:r>
          </w:p>
        </w:tc>
        <w:tc>
          <w:tcPr>
            <w:tcW w:w="847" w:type="dxa"/>
            <w:tcBorders>
              <w:left w:val="nil"/>
              <w:bottom w:val="nil"/>
              <w:right w:val="nil"/>
            </w:tcBorders>
            <w:shd w:val="clear" w:color="auto" w:fill="auto"/>
            <w:noWrap/>
            <w:vAlign w:val="center"/>
            <w:hideMark/>
          </w:tcPr>
          <w:p w14:paraId="58779AF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61,920</w:t>
            </w:r>
          </w:p>
        </w:tc>
        <w:tc>
          <w:tcPr>
            <w:tcW w:w="945" w:type="dxa"/>
            <w:tcBorders>
              <w:left w:val="nil"/>
              <w:bottom w:val="nil"/>
            </w:tcBorders>
            <w:shd w:val="clear" w:color="auto" w:fill="auto"/>
            <w:noWrap/>
            <w:vAlign w:val="center"/>
            <w:hideMark/>
          </w:tcPr>
          <w:p w14:paraId="7F8025C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561,090</w:t>
            </w:r>
          </w:p>
        </w:tc>
      </w:tr>
      <w:tr w:rsidR="0015649E" w:rsidRPr="0084045A" w14:paraId="5924DCA4" w14:textId="77777777" w:rsidTr="00C3352F">
        <w:trPr>
          <w:trHeight w:val="212"/>
          <w:jc w:val="center"/>
        </w:trPr>
        <w:tc>
          <w:tcPr>
            <w:tcW w:w="728" w:type="dxa"/>
            <w:vMerge/>
            <w:shd w:val="clear" w:color="auto" w:fill="auto"/>
            <w:noWrap/>
            <w:textDirection w:val="btLr"/>
            <w:vAlign w:val="center"/>
            <w:hideMark/>
          </w:tcPr>
          <w:p w14:paraId="27DF0444"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1B36E0F" w14:textId="60B0519C"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4B9208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96,100</w:t>
            </w:r>
          </w:p>
        </w:tc>
        <w:tc>
          <w:tcPr>
            <w:tcW w:w="768" w:type="dxa"/>
            <w:tcBorders>
              <w:top w:val="nil"/>
              <w:left w:val="nil"/>
              <w:bottom w:val="nil"/>
              <w:right w:val="nil"/>
            </w:tcBorders>
            <w:shd w:val="clear" w:color="auto" w:fill="auto"/>
            <w:noWrap/>
            <w:vAlign w:val="center"/>
            <w:hideMark/>
          </w:tcPr>
          <w:p w14:paraId="3C61871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43,358</w:t>
            </w:r>
          </w:p>
        </w:tc>
        <w:tc>
          <w:tcPr>
            <w:tcW w:w="847" w:type="dxa"/>
            <w:tcBorders>
              <w:top w:val="nil"/>
              <w:left w:val="nil"/>
              <w:bottom w:val="nil"/>
              <w:right w:val="nil"/>
            </w:tcBorders>
            <w:shd w:val="clear" w:color="auto" w:fill="auto"/>
            <w:noWrap/>
            <w:vAlign w:val="center"/>
            <w:hideMark/>
          </w:tcPr>
          <w:p w14:paraId="04875FB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144,770</w:t>
            </w:r>
          </w:p>
        </w:tc>
        <w:tc>
          <w:tcPr>
            <w:tcW w:w="847" w:type="dxa"/>
            <w:tcBorders>
              <w:top w:val="nil"/>
              <w:left w:val="nil"/>
              <w:bottom w:val="nil"/>
              <w:right w:val="nil"/>
            </w:tcBorders>
            <w:shd w:val="clear" w:color="auto" w:fill="auto"/>
            <w:noWrap/>
            <w:vAlign w:val="center"/>
            <w:hideMark/>
          </w:tcPr>
          <w:p w14:paraId="586F760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86,278</w:t>
            </w:r>
          </w:p>
        </w:tc>
        <w:tc>
          <w:tcPr>
            <w:tcW w:w="880" w:type="dxa"/>
            <w:tcBorders>
              <w:top w:val="nil"/>
              <w:left w:val="nil"/>
              <w:bottom w:val="nil"/>
              <w:right w:val="nil"/>
            </w:tcBorders>
            <w:shd w:val="clear" w:color="auto" w:fill="auto"/>
            <w:noWrap/>
            <w:vAlign w:val="center"/>
            <w:hideMark/>
          </w:tcPr>
          <w:p w14:paraId="470EB04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138,075</w:t>
            </w:r>
          </w:p>
        </w:tc>
        <w:tc>
          <w:tcPr>
            <w:tcW w:w="768" w:type="dxa"/>
            <w:tcBorders>
              <w:top w:val="nil"/>
              <w:left w:val="nil"/>
              <w:bottom w:val="nil"/>
              <w:right w:val="nil"/>
            </w:tcBorders>
            <w:shd w:val="clear" w:color="auto" w:fill="auto"/>
            <w:noWrap/>
            <w:vAlign w:val="center"/>
            <w:hideMark/>
          </w:tcPr>
          <w:p w14:paraId="198D31D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93,750</w:t>
            </w:r>
          </w:p>
        </w:tc>
        <w:tc>
          <w:tcPr>
            <w:tcW w:w="847" w:type="dxa"/>
            <w:tcBorders>
              <w:top w:val="nil"/>
              <w:left w:val="nil"/>
              <w:bottom w:val="nil"/>
              <w:right w:val="nil"/>
            </w:tcBorders>
            <w:shd w:val="clear" w:color="auto" w:fill="auto"/>
            <w:noWrap/>
            <w:vAlign w:val="center"/>
            <w:hideMark/>
          </w:tcPr>
          <w:p w14:paraId="58BDD8B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128,422</w:t>
            </w:r>
          </w:p>
        </w:tc>
        <w:tc>
          <w:tcPr>
            <w:tcW w:w="847" w:type="dxa"/>
            <w:tcBorders>
              <w:top w:val="nil"/>
              <w:left w:val="nil"/>
              <w:bottom w:val="nil"/>
              <w:right w:val="nil"/>
            </w:tcBorders>
            <w:shd w:val="clear" w:color="auto" w:fill="auto"/>
            <w:noWrap/>
            <w:vAlign w:val="center"/>
            <w:hideMark/>
          </w:tcPr>
          <w:p w14:paraId="0630265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162,219</w:t>
            </w:r>
          </w:p>
        </w:tc>
        <w:tc>
          <w:tcPr>
            <w:tcW w:w="847" w:type="dxa"/>
            <w:tcBorders>
              <w:top w:val="nil"/>
              <w:left w:val="nil"/>
              <w:bottom w:val="nil"/>
              <w:right w:val="nil"/>
            </w:tcBorders>
            <w:shd w:val="clear" w:color="auto" w:fill="auto"/>
            <w:noWrap/>
            <w:vAlign w:val="center"/>
            <w:hideMark/>
          </w:tcPr>
          <w:p w14:paraId="003AEDF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111,538</w:t>
            </w:r>
          </w:p>
        </w:tc>
        <w:tc>
          <w:tcPr>
            <w:tcW w:w="945" w:type="dxa"/>
            <w:tcBorders>
              <w:top w:val="nil"/>
              <w:left w:val="nil"/>
              <w:bottom w:val="nil"/>
            </w:tcBorders>
            <w:shd w:val="clear" w:color="auto" w:fill="auto"/>
            <w:noWrap/>
            <w:vAlign w:val="center"/>
            <w:hideMark/>
          </w:tcPr>
          <w:p w14:paraId="6FC7A57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1,004,510</w:t>
            </w:r>
          </w:p>
        </w:tc>
      </w:tr>
      <w:tr w:rsidR="0015649E" w:rsidRPr="0084045A" w14:paraId="3F3DA75E" w14:textId="77777777" w:rsidTr="00C3352F">
        <w:trPr>
          <w:trHeight w:val="212"/>
          <w:jc w:val="center"/>
        </w:trPr>
        <w:tc>
          <w:tcPr>
            <w:tcW w:w="728" w:type="dxa"/>
            <w:vMerge/>
            <w:shd w:val="clear" w:color="auto" w:fill="auto"/>
            <w:noWrap/>
            <w:textDirection w:val="btLr"/>
            <w:vAlign w:val="center"/>
            <w:hideMark/>
          </w:tcPr>
          <w:p w14:paraId="7631703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61AA083A" w14:textId="6737C22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530A7FC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110,256</w:t>
            </w:r>
          </w:p>
        </w:tc>
        <w:tc>
          <w:tcPr>
            <w:tcW w:w="768" w:type="dxa"/>
            <w:tcBorders>
              <w:top w:val="nil"/>
              <w:left w:val="nil"/>
              <w:bottom w:val="nil"/>
              <w:right w:val="nil"/>
            </w:tcBorders>
            <w:shd w:val="clear" w:color="auto" w:fill="auto"/>
            <w:noWrap/>
            <w:vAlign w:val="center"/>
            <w:hideMark/>
          </w:tcPr>
          <w:p w14:paraId="54D5901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52,491</w:t>
            </w:r>
          </w:p>
        </w:tc>
        <w:tc>
          <w:tcPr>
            <w:tcW w:w="847" w:type="dxa"/>
            <w:tcBorders>
              <w:top w:val="nil"/>
              <w:left w:val="nil"/>
              <w:bottom w:val="nil"/>
              <w:right w:val="nil"/>
            </w:tcBorders>
            <w:shd w:val="clear" w:color="auto" w:fill="auto"/>
            <w:noWrap/>
            <w:vAlign w:val="center"/>
            <w:hideMark/>
          </w:tcPr>
          <w:p w14:paraId="2004F00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173,890</w:t>
            </w:r>
          </w:p>
        </w:tc>
        <w:tc>
          <w:tcPr>
            <w:tcW w:w="847" w:type="dxa"/>
            <w:tcBorders>
              <w:top w:val="nil"/>
              <w:left w:val="nil"/>
              <w:bottom w:val="nil"/>
              <w:right w:val="nil"/>
            </w:tcBorders>
            <w:shd w:val="clear" w:color="auto" w:fill="auto"/>
            <w:noWrap/>
            <w:vAlign w:val="center"/>
            <w:hideMark/>
          </w:tcPr>
          <w:p w14:paraId="7878650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201,455</w:t>
            </w:r>
          </w:p>
        </w:tc>
        <w:tc>
          <w:tcPr>
            <w:tcW w:w="880" w:type="dxa"/>
            <w:tcBorders>
              <w:top w:val="nil"/>
              <w:left w:val="nil"/>
              <w:bottom w:val="nil"/>
              <w:right w:val="nil"/>
            </w:tcBorders>
            <w:shd w:val="clear" w:color="auto" w:fill="auto"/>
            <w:noWrap/>
            <w:vAlign w:val="center"/>
            <w:hideMark/>
          </w:tcPr>
          <w:p w14:paraId="3DC891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134,044</w:t>
            </w:r>
          </w:p>
        </w:tc>
        <w:tc>
          <w:tcPr>
            <w:tcW w:w="768" w:type="dxa"/>
            <w:tcBorders>
              <w:top w:val="nil"/>
              <w:left w:val="nil"/>
              <w:bottom w:val="nil"/>
              <w:right w:val="nil"/>
            </w:tcBorders>
            <w:shd w:val="clear" w:color="auto" w:fill="auto"/>
            <w:noWrap/>
            <w:vAlign w:val="center"/>
            <w:hideMark/>
          </w:tcPr>
          <w:p w14:paraId="527E66B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158,597</w:t>
            </w:r>
          </w:p>
        </w:tc>
        <w:tc>
          <w:tcPr>
            <w:tcW w:w="847" w:type="dxa"/>
            <w:tcBorders>
              <w:top w:val="nil"/>
              <w:left w:val="nil"/>
              <w:bottom w:val="nil"/>
              <w:right w:val="nil"/>
            </w:tcBorders>
            <w:shd w:val="clear" w:color="auto" w:fill="auto"/>
            <w:noWrap/>
            <w:vAlign w:val="center"/>
            <w:hideMark/>
          </w:tcPr>
          <w:p w14:paraId="56368B7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134,730</w:t>
            </w:r>
          </w:p>
        </w:tc>
        <w:tc>
          <w:tcPr>
            <w:tcW w:w="847" w:type="dxa"/>
            <w:tcBorders>
              <w:top w:val="nil"/>
              <w:left w:val="nil"/>
              <w:bottom w:val="nil"/>
              <w:right w:val="nil"/>
            </w:tcBorders>
            <w:shd w:val="clear" w:color="auto" w:fill="auto"/>
            <w:noWrap/>
            <w:vAlign w:val="center"/>
            <w:hideMark/>
          </w:tcPr>
          <w:p w14:paraId="05901A3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228,114</w:t>
            </w:r>
          </w:p>
        </w:tc>
        <w:tc>
          <w:tcPr>
            <w:tcW w:w="847" w:type="dxa"/>
            <w:tcBorders>
              <w:top w:val="nil"/>
              <w:left w:val="nil"/>
              <w:bottom w:val="nil"/>
              <w:right w:val="nil"/>
            </w:tcBorders>
            <w:shd w:val="clear" w:color="auto" w:fill="auto"/>
            <w:noWrap/>
            <w:vAlign w:val="center"/>
            <w:hideMark/>
          </w:tcPr>
          <w:p w14:paraId="0449566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154,611</w:t>
            </w:r>
          </w:p>
        </w:tc>
        <w:tc>
          <w:tcPr>
            <w:tcW w:w="945" w:type="dxa"/>
            <w:tcBorders>
              <w:top w:val="nil"/>
              <w:left w:val="nil"/>
              <w:bottom w:val="nil"/>
            </w:tcBorders>
            <w:shd w:val="clear" w:color="auto" w:fill="auto"/>
            <w:noWrap/>
            <w:vAlign w:val="center"/>
            <w:hideMark/>
          </w:tcPr>
          <w:p w14:paraId="0C84019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1,348,188</w:t>
            </w:r>
          </w:p>
        </w:tc>
      </w:tr>
      <w:tr w:rsidR="0015649E" w:rsidRPr="0084045A" w14:paraId="728CCC3C" w14:textId="77777777" w:rsidTr="00C3352F">
        <w:trPr>
          <w:trHeight w:val="212"/>
          <w:jc w:val="center"/>
        </w:trPr>
        <w:tc>
          <w:tcPr>
            <w:tcW w:w="728" w:type="dxa"/>
            <w:vMerge/>
            <w:shd w:val="clear" w:color="auto" w:fill="auto"/>
            <w:noWrap/>
            <w:textDirection w:val="btLr"/>
            <w:vAlign w:val="center"/>
            <w:hideMark/>
          </w:tcPr>
          <w:p w14:paraId="3B4A8CC0"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6068628" w14:textId="61217038"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33556F4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39,235</w:t>
            </w:r>
          </w:p>
        </w:tc>
        <w:tc>
          <w:tcPr>
            <w:tcW w:w="768" w:type="dxa"/>
            <w:tcBorders>
              <w:top w:val="nil"/>
              <w:left w:val="nil"/>
              <w:bottom w:val="nil"/>
              <w:right w:val="nil"/>
            </w:tcBorders>
            <w:shd w:val="clear" w:color="auto" w:fill="auto"/>
            <w:noWrap/>
            <w:vAlign w:val="center"/>
            <w:hideMark/>
          </w:tcPr>
          <w:p w14:paraId="6F9B640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15,624</w:t>
            </w:r>
          </w:p>
        </w:tc>
        <w:tc>
          <w:tcPr>
            <w:tcW w:w="847" w:type="dxa"/>
            <w:tcBorders>
              <w:top w:val="nil"/>
              <w:left w:val="nil"/>
              <w:bottom w:val="nil"/>
              <w:right w:val="nil"/>
            </w:tcBorders>
            <w:shd w:val="clear" w:color="auto" w:fill="auto"/>
            <w:noWrap/>
            <w:vAlign w:val="center"/>
            <w:hideMark/>
          </w:tcPr>
          <w:p w14:paraId="3758CA2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65,011</w:t>
            </w:r>
          </w:p>
        </w:tc>
        <w:tc>
          <w:tcPr>
            <w:tcW w:w="847" w:type="dxa"/>
            <w:tcBorders>
              <w:top w:val="nil"/>
              <w:left w:val="nil"/>
              <w:bottom w:val="nil"/>
              <w:right w:val="nil"/>
            </w:tcBorders>
            <w:shd w:val="clear" w:color="auto" w:fill="auto"/>
            <w:noWrap/>
            <w:vAlign w:val="center"/>
            <w:hideMark/>
          </w:tcPr>
          <w:p w14:paraId="644F951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71,396</w:t>
            </w:r>
          </w:p>
        </w:tc>
        <w:tc>
          <w:tcPr>
            <w:tcW w:w="880" w:type="dxa"/>
            <w:tcBorders>
              <w:top w:val="nil"/>
              <w:left w:val="nil"/>
              <w:bottom w:val="nil"/>
              <w:right w:val="nil"/>
            </w:tcBorders>
            <w:shd w:val="clear" w:color="auto" w:fill="auto"/>
            <w:noWrap/>
            <w:vAlign w:val="center"/>
            <w:hideMark/>
          </w:tcPr>
          <w:p w14:paraId="5C16FD7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62,211</w:t>
            </w:r>
          </w:p>
        </w:tc>
        <w:tc>
          <w:tcPr>
            <w:tcW w:w="768" w:type="dxa"/>
            <w:tcBorders>
              <w:top w:val="nil"/>
              <w:left w:val="nil"/>
              <w:bottom w:val="nil"/>
              <w:right w:val="nil"/>
            </w:tcBorders>
            <w:shd w:val="clear" w:color="auto" w:fill="auto"/>
            <w:noWrap/>
            <w:vAlign w:val="center"/>
            <w:hideMark/>
          </w:tcPr>
          <w:p w14:paraId="790709A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61,515</w:t>
            </w:r>
          </w:p>
        </w:tc>
        <w:tc>
          <w:tcPr>
            <w:tcW w:w="847" w:type="dxa"/>
            <w:tcBorders>
              <w:top w:val="nil"/>
              <w:left w:val="nil"/>
              <w:bottom w:val="nil"/>
              <w:right w:val="nil"/>
            </w:tcBorders>
            <w:shd w:val="clear" w:color="auto" w:fill="auto"/>
            <w:noWrap/>
            <w:vAlign w:val="center"/>
            <w:hideMark/>
          </w:tcPr>
          <w:p w14:paraId="1E0A782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77,030</w:t>
            </w:r>
          </w:p>
        </w:tc>
        <w:tc>
          <w:tcPr>
            <w:tcW w:w="847" w:type="dxa"/>
            <w:tcBorders>
              <w:top w:val="nil"/>
              <w:left w:val="nil"/>
              <w:bottom w:val="nil"/>
              <w:right w:val="nil"/>
            </w:tcBorders>
            <w:shd w:val="clear" w:color="auto" w:fill="auto"/>
            <w:noWrap/>
            <w:vAlign w:val="center"/>
            <w:hideMark/>
          </w:tcPr>
          <w:p w14:paraId="12B04F6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142,294</w:t>
            </w:r>
          </w:p>
        </w:tc>
        <w:tc>
          <w:tcPr>
            <w:tcW w:w="847" w:type="dxa"/>
            <w:tcBorders>
              <w:top w:val="nil"/>
              <w:left w:val="nil"/>
              <w:bottom w:val="nil"/>
              <w:right w:val="nil"/>
            </w:tcBorders>
            <w:shd w:val="clear" w:color="auto" w:fill="auto"/>
            <w:noWrap/>
            <w:vAlign w:val="center"/>
            <w:hideMark/>
          </w:tcPr>
          <w:p w14:paraId="10E2F71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73,444</w:t>
            </w:r>
          </w:p>
        </w:tc>
        <w:tc>
          <w:tcPr>
            <w:tcW w:w="945" w:type="dxa"/>
            <w:tcBorders>
              <w:top w:val="nil"/>
              <w:left w:val="nil"/>
              <w:bottom w:val="nil"/>
            </w:tcBorders>
            <w:shd w:val="clear" w:color="auto" w:fill="auto"/>
            <w:noWrap/>
            <w:vAlign w:val="center"/>
            <w:hideMark/>
          </w:tcPr>
          <w:p w14:paraId="6E2DEA92"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607,760</w:t>
            </w:r>
          </w:p>
        </w:tc>
      </w:tr>
      <w:tr w:rsidR="0015649E" w:rsidRPr="0084045A" w14:paraId="086A2AE0" w14:textId="77777777" w:rsidTr="00C3352F">
        <w:trPr>
          <w:trHeight w:val="212"/>
          <w:jc w:val="center"/>
        </w:trPr>
        <w:tc>
          <w:tcPr>
            <w:tcW w:w="728" w:type="dxa"/>
            <w:vMerge/>
            <w:shd w:val="clear" w:color="auto" w:fill="auto"/>
            <w:noWrap/>
            <w:textDirection w:val="btLr"/>
            <w:vAlign w:val="center"/>
            <w:hideMark/>
          </w:tcPr>
          <w:p w14:paraId="1E841AE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4D08C232" w14:textId="5ADB0ACE"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640ECD6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14,128</w:t>
            </w:r>
          </w:p>
        </w:tc>
        <w:tc>
          <w:tcPr>
            <w:tcW w:w="768" w:type="dxa"/>
            <w:tcBorders>
              <w:top w:val="nil"/>
              <w:left w:val="nil"/>
              <w:bottom w:val="single" w:sz="4" w:space="0" w:color="auto"/>
              <w:right w:val="nil"/>
            </w:tcBorders>
            <w:shd w:val="clear" w:color="auto" w:fill="auto"/>
            <w:noWrap/>
            <w:vAlign w:val="center"/>
            <w:hideMark/>
          </w:tcPr>
          <w:p w14:paraId="26EBE9E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7,436</w:t>
            </w:r>
          </w:p>
        </w:tc>
        <w:tc>
          <w:tcPr>
            <w:tcW w:w="847" w:type="dxa"/>
            <w:tcBorders>
              <w:top w:val="nil"/>
              <w:left w:val="nil"/>
              <w:bottom w:val="single" w:sz="4" w:space="0" w:color="auto"/>
              <w:right w:val="nil"/>
            </w:tcBorders>
            <w:shd w:val="clear" w:color="auto" w:fill="auto"/>
            <w:noWrap/>
            <w:vAlign w:val="center"/>
            <w:hideMark/>
          </w:tcPr>
          <w:p w14:paraId="4379F15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31,558</w:t>
            </w:r>
          </w:p>
        </w:tc>
        <w:tc>
          <w:tcPr>
            <w:tcW w:w="847" w:type="dxa"/>
            <w:tcBorders>
              <w:top w:val="nil"/>
              <w:left w:val="nil"/>
              <w:bottom w:val="single" w:sz="4" w:space="0" w:color="auto"/>
              <w:right w:val="nil"/>
            </w:tcBorders>
            <w:shd w:val="clear" w:color="auto" w:fill="auto"/>
            <w:noWrap/>
            <w:vAlign w:val="center"/>
            <w:hideMark/>
          </w:tcPr>
          <w:p w14:paraId="382C014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12,656</w:t>
            </w:r>
          </w:p>
        </w:tc>
        <w:tc>
          <w:tcPr>
            <w:tcW w:w="880" w:type="dxa"/>
            <w:tcBorders>
              <w:top w:val="nil"/>
              <w:left w:val="nil"/>
              <w:bottom w:val="single" w:sz="4" w:space="0" w:color="auto"/>
              <w:right w:val="nil"/>
            </w:tcBorders>
            <w:shd w:val="clear" w:color="auto" w:fill="auto"/>
            <w:noWrap/>
            <w:vAlign w:val="center"/>
            <w:hideMark/>
          </w:tcPr>
          <w:p w14:paraId="0B38D70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34,179</w:t>
            </w:r>
          </w:p>
        </w:tc>
        <w:tc>
          <w:tcPr>
            <w:tcW w:w="768" w:type="dxa"/>
            <w:tcBorders>
              <w:top w:val="nil"/>
              <w:left w:val="nil"/>
              <w:bottom w:val="single" w:sz="4" w:space="0" w:color="auto"/>
              <w:right w:val="nil"/>
            </w:tcBorders>
            <w:shd w:val="clear" w:color="auto" w:fill="auto"/>
            <w:noWrap/>
            <w:vAlign w:val="center"/>
            <w:hideMark/>
          </w:tcPr>
          <w:p w14:paraId="1E9D2AA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11,891</w:t>
            </w:r>
          </w:p>
        </w:tc>
        <w:tc>
          <w:tcPr>
            <w:tcW w:w="847" w:type="dxa"/>
            <w:tcBorders>
              <w:top w:val="nil"/>
              <w:left w:val="nil"/>
              <w:bottom w:val="single" w:sz="4" w:space="0" w:color="auto"/>
              <w:right w:val="nil"/>
            </w:tcBorders>
            <w:shd w:val="clear" w:color="auto" w:fill="auto"/>
            <w:noWrap/>
            <w:vAlign w:val="center"/>
            <w:hideMark/>
          </w:tcPr>
          <w:p w14:paraId="0E7990E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31,685</w:t>
            </w:r>
          </w:p>
        </w:tc>
        <w:tc>
          <w:tcPr>
            <w:tcW w:w="847" w:type="dxa"/>
            <w:tcBorders>
              <w:top w:val="nil"/>
              <w:left w:val="nil"/>
              <w:bottom w:val="single" w:sz="4" w:space="0" w:color="auto"/>
              <w:right w:val="nil"/>
            </w:tcBorders>
            <w:shd w:val="clear" w:color="auto" w:fill="auto"/>
            <w:noWrap/>
            <w:vAlign w:val="center"/>
            <w:hideMark/>
          </w:tcPr>
          <w:p w14:paraId="68B9822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51,735</w:t>
            </w:r>
          </w:p>
        </w:tc>
        <w:tc>
          <w:tcPr>
            <w:tcW w:w="847" w:type="dxa"/>
            <w:tcBorders>
              <w:top w:val="nil"/>
              <w:left w:val="nil"/>
              <w:bottom w:val="single" w:sz="4" w:space="0" w:color="auto"/>
              <w:right w:val="nil"/>
            </w:tcBorders>
            <w:shd w:val="clear" w:color="auto" w:fill="auto"/>
            <w:noWrap/>
            <w:vAlign w:val="center"/>
            <w:hideMark/>
          </w:tcPr>
          <w:p w14:paraId="2FC3ED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26,461</w:t>
            </w:r>
          </w:p>
        </w:tc>
        <w:tc>
          <w:tcPr>
            <w:tcW w:w="945" w:type="dxa"/>
            <w:tcBorders>
              <w:top w:val="nil"/>
              <w:left w:val="nil"/>
              <w:bottom w:val="single" w:sz="4" w:space="0" w:color="auto"/>
            </w:tcBorders>
            <w:shd w:val="clear" w:color="auto" w:fill="auto"/>
            <w:noWrap/>
            <w:vAlign w:val="center"/>
            <w:hideMark/>
          </w:tcPr>
          <w:p w14:paraId="0A76BE2B"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221,730</w:t>
            </w:r>
          </w:p>
        </w:tc>
      </w:tr>
      <w:tr w:rsidR="0015649E" w:rsidRPr="0084045A" w14:paraId="786F2FEC" w14:textId="77777777" w:rsidTr="00C3352F">
        <w:trPr>
          <w:trHeight w:val="212"/>
          <w:jc w:val="center"/>
        </w:trPr>
        <w:tc>
          <w:tcPr>
            <w:tcW w:w="728" w:type="dxa"/>
            <w:vMerge w:val="restart"/>
            <w:shd w:val="clear" w:color="auto" w:fill="auto"/>
            <w:noWrap/>
            <w:textDirection w:val="btLr"/>
            <w:vAlign w:val="center"/>
            <w:hideMark/>
          </w:tcPr>
          <w:p w14:paraId="6BFB9024"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Morelos</w:t>
            </w:r>
          </w:p>
        </w:tc>
        <w:tc>
          <w:tcPr>
            <w:tcW w:w="753" w:type="dxa"/>
            <w:tcBorders>
              <w:bottom w:val="nil"/>
              <w:right w:val="nil"/>
            </w:tcBorders>
            <w:vAlign w:val="center"/>
          </w:tcPr>
          <w:p w14:paraId="2CD59AD5" w14:textId="203A6159"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19A1AAA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22,968</w:t>
            </w:r>
          </w:p>
        </w:tc>
        <w:tc>
          <w:tcPr>
            <w:tcW w:w="768" w:type="dxa"/>
            <w:tcBorders>
              <w:left w:val="nil"/>
              <w:bottom w:val="nil"/>
              <w:right w:val="nil"/>
            </w:tcBorders>
            <w:shd w:val="clear" w:color="auto" w:fill="auto"/>
            <w:noWrap/>
            <w:vAlign w:val="center"/>
            <w:hideMark/>
          </w:tcPr>
          <w:p w14:paraId="6A1BC6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7,858</w:t>
            </w:r>
          </w:p>
        </w:tc>
        <w:tc>
          <w:tcPr>
            <w:tcW w:w="847" w:type="dxa"/>
            <w:tcBorders>
              <w:left w:val="nil"/>
              <w:bottom w:val="nil"/>
              <w:right w:val="nil"/>
            </w:tcBorders>
            <w:shd w:val="clear" w:color="auto" w:fill="auto"/>
            <w:noWrap/>
            <w:vAlign w:val="center"/>
            <w:hideMark/>
          </w:tcPr>
          <w:p w14:paraId="46A442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29,811</w:t>
            </w:r>
          </w:p>
        </w:tc>
        <w:tc>
          <w:tcPr>
            <w:tcW w:w="847" w:type="dxa"/>
            <w:tcBorders>
              <w:left w:val="nil"/>
              <w:bottom w:val="nil"/>
              <w:right w:val="nil"/>
            </w:tcBorders>
            <w:shd w:val="clear" w:color="auto" w:fill="auto"/>
            <w:noWrap/>
            <w:vAlign w:val="center"/>
            <w:hideMark/>
          </w:tcPr>
          <w:p w14:paraId="268CEDA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21,272</w:t>
            </w:r>
          </w:p>
        </w:tc>
        <w:tc>
          <w:tcPr>
            <w:tcW w:w="880" w:type="dxa"/>
            <w:tcBorders>
              <w:left w:val="nil"/>
              <w:bottom w:val="nil"/>
              <w:right w:val="nil"/>
            </w:tcBorders>
            <w:shd w:val="clear" w:color="auto" w:fill="auto"/>
            <w:noWrap/>
            <w:vAlign w:val="center"/>
            <w:hideMark/>
          </w:tcPr>
          <w:p w14:paraId="0785156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27,001</w:t>
            </w:r>
          </w:p>
        </w:tc>
        <w:tc>
          <w:tcPr>
            <w:tcW w:w="768" w:type="dxa"/>
            <w:tcBorders>
              <w:left w:val="nil"/>
              <w:bottom w:val="nil"/>
              <w:right w:val="nil"/>
            </w:tcBorders>
            <w:shd w:val="clear" w:color="auto" w:fill="auto"/>
            <w:noWrap/>
            <w:vAlign w:val="center"/>
            <w:hideMark/>
          </w:tcPr>
          <w:p w14:paraId="1793CB9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19,231</w:t>
            </w:r>
          </w:p>
        </w:tc>
        <w:tc>
          <w:tcPr>
            <w:tcW w:w="847" w:type="dxa"/>
            <w:tcBorders>
              <w:left w:val="nil"/>
              <w:bottom w:val="nil"/>
              <w:right w:val="nil"/>
            </w:tcBorders>
            <w:shd w:val="clear" w:color="auto" w:fill="auto"/>
            <w:noWrap/>
            <w:vAlign w:val="center"/>
            <w:hideMark/>
          </w:tcPr>
          <w:p w14:paraId="1BF552C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19,310</w:t>
            </w:r>
          </w:p>
        </w:tc>
        <w:tc>
          <w:tcPr>
            <w:tcW w:w="847" w:type="dxa"/>
            <w:tcBorders>
              <w:left w:val="nil"/>
              <w:bottom w:val="nil"/>
              <w:right w:val="nil"/>
            </w:tcBorders>
            <w:shd w:val="clear" w:color="auto" w:fill="auto"/>
            <w:noWrap/>
            <w:vAlign w:val="center"/>
            <w:hideMark/>
          </w:tcPr>
          <w:p w14:paraId="2D7501E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33,745</w:t>
            </w:r>
          </w:p>
        </w:tc>
        <w:tc>
          <w:tcPr>
            <w:tcW w:w="847" w:type="dxa"/>
            <w:tcBorders>
              <w:left w:val="nil"/>
              <w:bottom w:val="nil"/>
              <w:right w:val="nil"/>
            </w:tcBorders>
            <w:shd w:val="clear" w:color="auto" w:fill="auto"/>
            <w:noWrap/>
            <w:vAlign w:val="center"/>
            <w:hideMark/>
          </w:tcPr>
          <w:p w14:paraId="7CD7709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22,871</w:t>
            </w:r>
          </w:p>
        </w:tc>
        <w:tc>
          <w:tcPr>
            <w:tcW w:w="945" w:type="dxa"/>
            <w:tcBorders>
              <w:left w:val="nil"/>
              <w:bottom w:val="nil"/>
            </w:tcBorders>
            <w:shd w:val="clear" w:color="auto" w:fill="auto"/>
            <w:noWrap/>
            <w:vAlign w:val="center"/>
            <w:hideMark/>
          </w:tcPr>
          <w:p w14:paraId="7007DB26"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204,066</w:t>
            </w:r>
          </w:p>
        </w:tc>
      </w:tr>
      <w:tr w:rsidR="0015649E" w:rsidRPr="0084045A" w14:paraId="2B978C55" w14:textId="77777777" w:rsidTr="00C3352F">
        <w:trPr>
          <w:trHeight w:val="212"/>
          <w:jc w:val="center"/>
        </w:trPr>
        <w:tc>
          <w:tcPr>
            <w:tcW w:w="728" w:type="dxa"/>
            <w:vMerge/>
            <w:shd w:val="clear" w:color="auto" w:fill="auto"/>
            <w:noWrap/>
            <w:textDirection w:val="btLr"/>
            <w:vAlign w:val="center"/>
            <w:hideMark/>
          </w:tcPr>
          <w:p w14:paraId="5C8E58F5"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BF7A251" w14:textId="7AB54502"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461AEC2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36,749</w:t>
            </w:r>
          </w:p>
        </w:tc>
        <w:tc>
          <w:tcPr>
            <w:tcW w:w="768" w:type="dxa"/>
            <w:tcBorders>
              <w:top w:val="nil"/>
              <w:left w:val="nil"/>
              <w:bottom w:val="nil"/>
              <w:right w:val="nil"/>
            </w:tcBorders>
            <w:shd w:val="clear" w:color="auto" w:fill="auto"/>
            <w:noWrap/>
            <w:vAlign w:val="center"/>
            <w:hideMark/>
          </w:tcPr>
          <w:p w14:paraId="11E3194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16,576</w:t>
            </w:r>
          </w:p>
        </w:tc>
        <w:tc>
          <w:tcPr>
            <w:tcW w:w="847" w:type="dxa"/>
            <w:tcBorders>
              <w:top w:val="nil"/>
              <w:left w:val="nil"/>
              <w:bottom w:val="nil"/>
              <w:right w:val="nil"/>
            </w:tcBorders>
            <w:shd w:val="clear" w:color="auto" w:fill="auto"/>
            <w:noWrap/>
            <w:vAlign w:val="center"/>
            <w:hideMark/>
          </w:tcPr>
          <w:p w14:paraId="504E2CC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55,332</w:t>
            </w:r>
          </w:p>
        </w:tc>
        <w:tc>
          <w:tcPr>
            <w:tcW w:w="847" w:type="dxa"/>
            <w:tcBorders>
              <w:top w:val="nil"/>
              <w:left w:val="nil"/>
              <w:bottom w:val="nil"/>
              <w:right w:val="nil"/>
            </w:tcBorders>
            <w:shd w:val="clear" w:color="auto" w:fill="auto"/>
            <w:noWrap/>
            <w:vAlign w:val="center"/>
            <w:hideMark/>
          </w:tcPr>
          <w:p w14:paraId="6217F88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32,968</w:t>
            </w:r>
          </w:p>
        </w:tc>
        <w:tc>
          <w:tcPr>
            <w:tcW w:w="880" w:type="dxa"/>
            <w:tcBorders>
              <w:top w:val="nil"/>
              <w:left w:val="nil"/>
              <w:bottom w:val="nil"/>
              <w:right w:val="nil"/>
            </w:tcBorders>
            <w:shd w:val="clear" w:color="auto" w:fill="auto"/>
            <w:noWrap/>
            <w:vAlign w:val="center"/>
            <w:hideMark/>
          </w:tcPr>
          <w:p w14:paraId="4CA5212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52,747</w:t>
            </w:r>
          </w:p>
        </w:tc>
        <w:tc>
          <w:tcPr>
            <w:tcW w:w="768" w:type="dxa"/>
            <w:tcBorders>
              <w:top w:val="nil"/>
              <w:left w:val="nil"/>
              <w:bottom w:val="nil"/>
              <w:right w:val="nil"/>
            </w:tcBorders>
            <w:shd w:val="clear" w:color="auto" w:fill="auto"/>
            <w:noWrap/>
            <w:vAlign w:val="center"/>
            <w:hideMark/>
          </w:tcPr>
          <w:p w14:paraId="75F619D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35,807</w:t>
            </w:r>
          </w:p>
        </w:tc>
        <w:tc>
          <w:tcPr>
            <w:tcW w:w="847" w:type="dxa"/>
            <w:tcBorders>
              <w:top w:val="nil"/>
              <w:left w:val="nil"/>
              <w:bottom w:val="nil"/>
              <w:right w:val="nil"/>
            </w:tcBorders>
            <w:shd w:val="clear" w:color="auto" w:fill="auto"/>
            <w:noWrap/>
            <w:vAlign w:val="center"/>
            <w:hideMark/>
          </w:tcPr>
          <w:p w14:paraId="7D4AB8F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48,959</w:t>
            </w:r>
          </w:p>
        </w:tc>
        <w:tc>
          <w:tcPr>
            <w:tcW w:w="847" w:type="dxa"/>
            <w:tcBorders>
              <w:top w:val="nil"/>
              <w:left w:val="nil"/>
              <w:bottom w:val="nil"/>
              <w:right w:val="nil"/>
            </w:tcBorders>
            <w:shd w:val="clear" w:color="auto" w:fill="auto"/>
            <w:noWrap/>
            <w:vAlign w:val="center"/>
            <w:hideMark/>
          </w:tcPr>
          <w:p w14:paraId="36A7478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61,716</w:t>
            </w:r>
          </w:p>
        </w:tc>
        <w:tc>
          <w:tcPr>
            <w:tcW w:w="847" w:type="dxa"/>
            <w:tcBorders>
              <w:top w:val="nil"/>
              <w:left w:val="nil"/>
              <w:bottom w:val="nil"/>
              <w:right w:val="nil"/>
            </w:tcBorders>
            <w:shd w:val="clear" w:color="auto" w:fill="auto"/>
            <w:noWrap/>
            <w:vAlign w:val="center"/>
            <w:hideMark/>
          </w:tcPr>
          <w:p w14:paraId="4A6FF7D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42,345</w:t>
            </w:r>
          </w:p>
        </w:tc>
        <w:tc>
          <w:tcPr>
            <w:tcW w:w="945" w:type="dxa"/>
            <w:tcBorders>
              <w:top w:val="nil"/>
              <w:left w:val="nil"/>
              <w:bottom w:val="nil"/>
            </w:tcBorders>
            <w:shd w:val="clear" w:color="auto" w:fill="auto"/>
            <w:noWrap/>
            <w:vAlign w:val="center"/>
            <w:hideMark/>
          </w:tcPr>
          <w:p w14:paraId="4484896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383,200</w:t>
            </w:r>
          </w:p>
        </w:tc>
      </w:tr>
      <w:tr w:rsidR="0015649E" w:rsidRPr="0084045A" w14:paraId="2C10136E" w14:textId="77777777" w:rsidTr="00C3352F">
        <w:trPr>
          <w:trHeight w:val="212"/>
          <w:jc w:val="center"/>
        </w:trPr>
        <w:tc>
          <w:tcPr>
            <w:tcW w:w="728" w:type="dxa"/>
            <w:vMerge/>
            <w:shd w:val="clear" w:color="auto" w:fill="auto"/>
            <w:noWrap/>
            <w:textDirection w:val="btLr"/>
            <w:vAlign w:val="center"/>
            <w:hideMark/>
          </w:tcPr>
          <w:p w14:paraId="6FEF6BE6"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F0B3A49" w14:textId="172547FA"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7CC7D35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46,771</w:t>
            </w:r>
          </w:p>
        </w:tc>
        <w:tc>
          <w:tcPr>
            <w:tcW w:w="768" w:type="dxa"/>
            <w:tcBorders>
              <w:top w:val="nil"/>
              <w:left w:val="nil"/>
              <w:bottom w:val="nil"/>
              <w:right w:val="nil"/>
            </w:tcBorders>
            <w:shd w:val="clear" w:color="auto" w:fill="auto"/>
            <w:noWrap/>
            <w:vAlign w:val="center"/>
            <w:hideMark/>
          </w:tcPr>
          <w:p w14:paraId="1904969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22,328</w:t>
            </w:r>
          </w:p>
        </w:tc>
        <w:tc>
          <w:tcPr>
            <w:tcW w:w="847" w:type="dxa"/>
            <w:tcBorders>
              <w:top w:val="nil"/>
              <w:left w:val="nil"/>
              <w:bottom w:val="nil"/>
              <w:right w:val="nil"/>
            </w:tcBorders>
            <w:shd w:val="clear" w:color="auto" w:fill="auto"/>
            <w:noWrap/>
            <w:vAlign w:val="center"/>
            <w:hideMark/>
          </w:tcPr>
          <w:p w14:paraId="6012DA6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74,175</w:t>
            </w:r>
          </w:p>
        </w:tc>
        <w:tc>
          <w:tcPr>
            <w:tcW w:w="847" w:type="dxa"/>
            <w:tcBorders>
              <w:top w:val="nil"/>
              <w:left w:val="nil"/>
              <w:bottom w:val="nil"/>
              <w:right w:val="nil"/>
            </w:tcBorders>
            <w:shd w:val="clear" w:color="auto" w:fill="auto"/>
            <w:noWrap/>
            <w:vAlign w:val="center"/>
            <w:hideMark/>
          </w:tcPr>
          <w:p w14:paraId="4E5090C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86,173</w:t>
            </w:r>
          </w:p>
        </w:tc>
        <w:tc>
          <w:tcPr>
            <w:tcW w:w="880" w:type="dxa"/>
            <w:tcBorders>
              <w:top w:val="nil"/>
              <w:left w:val="nil"/>
              <w:bottom w:val="nil"/>
              <w:right w:val="nil"/>
            </w:tcBorders>
            <w:shd w:val="clear" w:color="auto" w:fill="auto"/>
            <w:noWrap/>
            <w:vAlign w:val="center"/>
            <w:hideMark/>
          </w:tcPr>
          <w:p w14:paraId="03D0195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57,499</w:t>
            </w:r>
          </w:p>
        </w:tc>
        <w:tc>
          <w:tcPr>
            <w:tcW w:w="768" w:type="dxa"/>
            <w:tcBorders>
              <w:top w:val="nil"/>
              <w:left w:val="nil"/>
              <w:bottom w:val="nil"/>
              <w:right w:val="nil"/>
            </w:tcBorders>
            <w:shd w:val="clear" w:color="auto" w:fill="auto"/>
            <w:noWrap/>
            <w:vAlign w:val="center"/>
            <w:hideMark/>
          </w:tcPr>
          <w:p w14:paraId="6167C9C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68,220</w:t>
            </w:r>
          </w:p>
        </w:tc>
        <w:tc>
          <w:tcPr>
            <w:tcW w:w="847" w:type="dxa"/>
            <w:tcBorders>
              <w:top w:val="nil"/>
              <w:left w:val="nil"/>
              <w:bottom w:val="nil"/>
              <w:right w:val="nil"/>
            </w:tcBorders>
            <w:shd w:val="clear" w:color="auto" w:fill="auto"/>
            <w:noWrap/>
            <w:vAlign w:val="center"/>
            <w:hideMark/>
          </w:tcPr>
          <w:p w14:paraId="65B5E96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58,141</w:t>
            </w:r>
          </w:p>
        </w:tc>
        <w:tc>
          <w:tcPr>
            <w:tcW w:w="847" w:type="dxa"/>
            <w:tcBorders>
              <w:top w:val="nil"/>
              <w:left w:val="nil"/>
              <w:bottom w:val="nil"/>
              <w:right w:val="nil"/>
            </w:tcBorders>
            <w:shd w:val="clear" w:color="auto" w:fill="auto"/>
            <w:noWrap/>
            <w:vAlign w:val="center"/>
            <w:hideMark/>
          </w:tcPr>
          <w:p w14:paraId="0EC91BF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98,758</w:t>
            </w:r>
          </w:p>
        </w:tc>
        <w:tc>
          <w:tcPr>
            <w:tcW w:w="847" w:type="dxa"/>
            <w:tcBorders>
              <w:top w:val="nil"/>
              <w:left w:val="nil"/>
              <w:bottom w:val="nil"/>
              <w:right w:val="nil"/>
            </w:tcBorders>
            <w:shd w:val="clear" w:color="auto" w:fill="auto"/>
            <w:noWrap/>
            <w:vAlign w:val="center"/>
            <w:hideMark/>
          </w:tcPr>
          <w:p w14:paraId="5443C2D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67,145</w:t>
            </w:r>
          </w:p>
        </w:tc>
        <w:tc>
          <w:tcPr>
            <w:tcW w:w="945" w:type="dxa"/>
            <w:tcBorders>
              <w:top w:val="nil"/>
              <w:left w:val="nil"/>
              <w:bottom w:val="nil"/>
            </w:tcBorders>
            <w:shd w:val="clear" w:color="auto" w:fill="auto"/>
            <w:noWrap/>
            <w:vAlign w:val="center"/>
            <w:hideMark/>
          </w:tcPr>
          <w:p w14:paraId="46970E6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579,211</w:t>
            </w:r>
          </w:p>
        </w:tc>
      </w:tr>
      <w:tr w:rsidR="0015649E" w:rsidRPr="0084045A" w14:paraId="7B4143A2" w14:textId="77777777" w:rsidTr="00C3352F">
        <w:trPr>
          <w:trHeight w:val="212"/>
          <w:jc w:val="center"/>
        </w:trPr>
        <w:tc>
          <w:tcPr>
            <w:tcW w:w="728" w:type="dxa"/>
            <w:vMerge/>
            <w:shd w:val="clear" w:color="auto" w:fill="auto"/>
            <w:noWrap/>
            <w:textDirection w:val="btLr"/>
            <w:vAlign w:val="center"/>
            <w:hideMark/>
          </w:tcPr>
          <w:p w14:paraId="7FC63B86"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2E67857" w14:textId="0C470B07"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0EA39AC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17,653</w:t>
            </w:r>
          </w:p>
        </w:tc>
        <w:tc>
          <w:tcPr>
            <w:tcW w:w="768" w:type="dxa"/>
            <w:tcBorders>
              <w:top w:val="nil"/>
              <w:left w:val="nil"/>
              <w:bottom w:val="nil"/>
              <w:right w:val="nil"/>
            </w:tcBorders>
            <w:shd w:val="clear" w:color="auto" w:fill="auto"/>
            <w:noWrap/>
            <w:vAlign w:val="center"/>
            <w:hideMark/>
          </w:tcPr>
          <w:p w14:paraId="3575201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7,084</w:t>
            </w:r>
          </w:p>
        </w:tc>
        <w:tc>
          <w:tcPr>
            <w:tcW w:w="847" w:type="dxa"/>
            <w:tcBorders>
              <w:top w:val="nil"/>
              <w:left w:val="nil"/>
              <w:bottom w:val="nil"/>
              <w:right w:val="nil"/>
            </w:tcBorders>
            <w:shd w:val="clear" w:color="auto" w:fill="auto"/>
            <w:noWrap/>
            <w:vAlign w:val="center"/>
            <w:hideMark/>
          </w:tcPr>
          <w:p w14:paraId="695D698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29,704</w:t>
            </w:r>
          </w:p>
        </w:tc>
        <w:tc>
          <w:tcPr>
            <w:tcW w:w="847" w:type="dxa"/>
            <w:tcBorders>
              <w:top w:val="nil"/>
              <w:left w:val="nil"/>
              <w:bottom w:val="nil"/>
              <w:right w:val="nil"/>
            </w:tcBorders>
            <w:shd w:val="clear" w:color="auto" w:fill="auto"/>
            <w:noWrap/>
            <w:vAlign w:val="center"/>
            <w:hideMark/>
          </w:tcPr>
          <w:p w14:paraId="3FA7137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32,876</w:t>
            </w:r>
          </w:p>
        </w:tc>
        <w:tc>
          <w:tcPr>
            <w:tcW w:w="880" w:type="dxa"/>
            <w:tcBorders>
              <w:top w:val="nil"/>
              <w:left w:val="nil"/>
              <w:bottom w:val="nil"/>
              <w:right w:val="nil"/>
            </w:tcBorders>
            <w:shd w:val="clear" w:color="auto" w:fill="auto"/>
            <w:noWrap/>
            <w:vAlign w:val="center"/>
            <w:hideMark/>
          </w:tcPr>
          <w:p w14:paraId="07A2ED3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28,873</w:t>
            </w:r>
          </w:p>
        </w:tc>
        <w:tc>
          <w:tcPr>
            <w:tcW w:w="768" w:type="dxa"/>
            <w:tcBorders>
              <w:top w:val="nil"/>
              <w:left w:val="nil"/>
              <w:bottom w:val="nil"/>
              <w:right w:val="nil"/>
            </w:tcBorders>
            <w:shd w:val="clear" w:color="auto" w:fill="auto"/>
            <w:noWrap/>
            <w:vAlign w:val="center"/>
            <w:hideMark/>
          </w:tcPr>
          <w:p w14:paraId="10730BC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28,779</w:t>
            </w:r>
          </w:p>
        </w:tc>
        <w:tc>
          <w:tcPr>
            <w:tcW w:w="847" w:type="dxa"/>
            <w:tcBorders>
              <w:top w:val="nil"/>
              <w:left w:val="nil"/>
              <w:bottom w:val="nil"/>
              <w:right w:val="nil"/>
            </w:tcBorders>
            <w:shd w:val="clear" w:color="auto" w:fill="auto"/>
            <w:noWrap/>
            <w:vAlign w:val="center"/>
            <w:hideMark/>
          </w:tcPr>
          <w:p w14:paraId="2898B9D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36,183</w:t>
            </w:r>
          </w:p>
        </w:tc>
        <w:tc>
          <w:tcPr>
            <w:tcW w:w="847" w:type="dxa"/>
            <w:tcBorders>
              <w:top w:val="nil"/>
              <w:left w:val="nil"/>
              <w:bottom w:val="nil"/>
              <w:right w:val="nil"/>
            </w:tcBorders>
            <w:shd w:val="clear" w:color="auto" w:fill="auto"/>
            <w:noWrap/>
            <w:vAlign w:val="center"/>
            <w:hideMark/>
          </w:tcPr>
          <w:p w14:paraId="061E95C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67,085</w:t>
            </w:r>
          </w:p>
        </w:tc>
        <w:tc>
          <w:tcPr>
            <w:tcW w:w="847" w:type="dxa"/>
            <w:tcBorders>
              <w:top w:val="nil"/>
              <w:left w:val="nil"/>
              <w:bottom w:val="nil"/>
              <w:right w:val="nil"/>
            </w:tcBorders>
            <w:shd w:val="clear" w:color="auto" w:fill="auto"/>
            <w:noWrap/>
            <w:vAlign w:val="center"/>
            <w:hideMark/>
          </w:tcPr>
          <w:p w14:paraId="5E647B8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34,737</w:t>
            </w:r>
          </w:p>
        </w:tc>
        <w:tc>
          <w:tcPr>
            <w:tcW w:w="945" w:type="dxa"/>
            <w:tcBorders>
              <w:top w:val="nil"/>
              <w:left w:val="nil"/>
              <w:bottom w:val="nil"/>
            </w:tcBorders>
            <w:shd w:val="clear" w:color="auto" w:fill="auto"/>
            <w:noWrap/>
            <w:vAlign w:val="center"/>
            <w:hideMark/>
          </w:tcPr>
          <w:p w14:paraId="4FE40FDC"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282,974</w:t>
            </w:r>
          </w:p>
        </w:tc>
      </w:tr>
      <w:tr w:rsidR="0015649E" w:rsidRPr="0084045A" w14:paraId="56E29C02" w14:textId="77777777" w:rsidTr="00C3352F">
        <w:trPr>
          <w:trHeight w:val="77"/>
          <w:jc w:val="center"/>
        </w:trPr>
        <w:tc>
          <w:tcPr>
            <w:tcW w:w="728" w:type="dxa"/>
            <w:vMerge/>
            <w:shd w:val="clear" w:color="auto" w:fill="auto"/>
            <w:noWrap/>
            <w:textDirection w:val="btLr"/>
            <w:vAlign w:val="center"/>
            <w:hideMark/>
          </w:tcPr>
          <w:p w14:paraId="11CCA074"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72344CB1" w14:textId="1C7ED0C7"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5B6F183D" w14:textId="0F28F1A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5727</w:t>
            </w:r>
          </w:p>
        </w:tc>
        <w:tc>
          <w:tcPr>
            <w:tcW w:w="768" w:type="dxa"/>
            <w:tcBorders>
              <w:top w:val="nil"/>
              <w:left w:val="nil"/>
              <w:bottom w:val="single" w:sz="4" w:space="0" w:color="auto"/>
              <w:right w:val="nil"/>
            </w:tcBorders>
            <w:shd w:val="clear" w:color="auto" w:fill="auto"/>
            <w:noWrap/>
            <w:vAlign w:val="center"/>
            <w:hideMark/>
          </w:tcPr>
          <w:p w14:paraId="5001B267" w14:textId="30CB5C4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3072</w:t>
            </w:r>
          </w:p>
        </w:tc>
        <w:tc>
          <w:tcPr>
            <w:tcW w:w="847" w:type="dxa"/>
            <w:tcBorders>
              <w:top w:val="nil"/>
              <w:left w:val="nil"/>
              <w:bottom w:val="single" w:sz="4" w:space="0" w:color="auto"/>
              <w:right w:val="nil"/>
            </w:tcBorders>
            <w:shd w:val="clear" w:color="auto" w:fill="auto"/>
            <w:noWrap/>
            <w:vAlign w:val="center"/>
            <w:hideMark/>
          </w:tcPr>
          <w:p w14:paraId="6C25F5E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13,284</w:t>
            </w:r>
          </w:p>
        </w:tc>
        <w:tc>
          <w:tcPr>
            <w:tcW w:w="847" w:type="dxa"/>
            <w:tcBorders>
              <w:top w:val="nil"/>
              <w:left w:val="nil"/>
              <w:bottom w:val="single" w:sz="4" w:space="0" w:color="auto"/>
              <w:right w:val="nil"/>
            </w:tcBorders>
            <w:shd w:val="clear" w:color="auto" w:fill="auto"/>
            <w:noWrap/>
            <w:vAlign w:val="center"/>
            <w:hideMark/>
          </w:tcPr>
          <w:p w14:paraId="07569820" w14:textId="049FC3A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5430</w:t>
            </w:r>
          </w:p>
        </w:tc>
        <w:tc>
          <w:tcPr>
            <w:tcW w:w="880" w:type="dxa"/>
            <w:tcBorders>
              <w:top w:val="nil"/>
              <w:left w:val="nil"/>
              <w:bottom w:val="single" w:sz="4" w:space="0" w:color="auto"/>
              <w:right w:val="nil"/>
            </w:tcBorders>
            <w:shd w:val="clear" w:color="auto" w:fill="auto"/>
            <w:noWrap/>
            <w:vAlign w:val="center"/>
            <w:hideMark/>
          </w:tcPr>
          <w:p w14:paraId="2016BFF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14,950</w:t>
            </w:r>
          </w:p>
        </w:tc>
        <w:tc>
          <w:tcPr>
            <w:tcW w:w="768" w:type="dxa"/>
            <w:tcBorders>
              <w:top w:val="nil"/>
              <w:left w:val="nil"/>
              <w:bottom w:val="single" w:sz="4" w:space="0" w:color="auto"/>
              <w:right w:val="nil"/>
            </w:tcBorders>
            <w:shd w:val="clear" w:color="auto" w:fill="auto"/>
            <w:noWrap/>
            <w:vAlign w:val="center"/>
            <w:hideMark/>
          </w:tcPr>
          <w:p w14:paraId="23CE62DC" w14:textId="00215F1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5303</w:t>
            </w:r>
          </w:p>
        </w:tc>
        <w:tc>
          <w:tcPr>
            <w:tcW w:w="847" w:type="dxa"/>
            <w:tcBorders>
              <w:top w:val="nil"/>
              <w:left w:val="nil"/>
              <w:bottom w:val="single" w:sz="4" w:space="0" w:color="auto"/>
              <w:right w:val="nil"/>
            </w:tcBorders>
            <w:shd w:val="clear" w:color="auto" w:fill="auto"/>
            <w:noWrap/>
            <w:vAlign w:val="center"/>
            <w:hideMark/>
          </w:tcPr>
          <w:p w14:paraId="3FB351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14,239</w:t>
            </w:r>
          </w:p>
        </w:tc>
        <w:tc>
          <w:tcPr>
            <w:tcW w:w="847" w:type="dxa"/>
            <w:tcBorders>
              <w:top w:val="nil"/>
              <w:left w:val="nil"/>
              <w:bottom w:val="single" w:sz="4" w:space="0" w:color="auto"/>
              <w:right w:val="nil"/>
            </w:tcBorders>
            <w:shd w:val="clear" w:color="auto" w:fill="auto"/>
            <w:noWrap/>
            <w:vAlign w:val="center"/>
            <w:hideMark/>
          </w:tcPr>
          <w:p w14:paraId="5D46170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23,432</w:t>
            </w:r>
          </w:p>
        </w:tc>
        <w:tc>
          <w:tcPr>
            <w:tcW w:w="847" w:type="dxa"/>
            <w:tcBorders>
              <w:top w:val="nil"/>
              <w:left w:val="nil"/>
              <w:bottom w:val="single" w:sz="4" w:space="0" w:color="auto"/>
              <w:right w:val="nil"/>
            </w:tcBorders>
            <w:shd w:val="clear" w:color="auto" w:fill="auto"/>
            <w:noWrap/>
            <w:vAlign w:val="center"/>
            <w:hideMark/>
          </w:tcPr>
          <w:p w14:paraId="64EE867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12,078</w:t>
            </w:r>
          </w:p>
        </w:tc>
        <w:tc>
          <w:tcPr>
            <w:tcW w:w="945" w:type="dxa"/>
            <w:tcBorders>
              <w:top w:val="nil"/>
              <w:left w:val="nil"/>
              <w:bottom w:val="single" w:sz="4" w:space="0" w:color="auto"/>
            </w:tcBorders>
            <w:shd w:val="clear" w:color="auto" w:fill="auto"/>
            <w:noWrap/>
            <w:vAlign w:val="center"/>
            <w:hideMark/>
          </w:tcPr>
          <w:p w14:paraId="2DA9670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97,516</w:t>
            </w:r>
          </w:p>
        </w:tc>
      </w:tr>
      <w:tr w:rsidR="0015649E" w:rsidRPr="0084045A" w14:paraId="31D92B2A" w14:textId="77777777" w:rsidTr="00C3352F">
        <w:trPr>
          <w:trHeight w:val="212"/>
          <w:jc w:val="center"/>
        </w:trPr>
        <w:tc>
          <w:tcPr>
            <w:tcW w:w="728" w:type="dxa"/>
            <w:vMerge w:val="restart"/>
            <w:shd w:val="clear" w:color="auto" w:fill="auto"/>
            <w:noWrap/>
            <w:textDirection w:val="btLr"/>
            <w:vAlign w:val="center"/>
            <w:hideMark/>
          </w:tcPr>
          <w:p w14:paraId="4E87ED7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Nayarit</w:t>
            </w:r>
          </w:p>
        </w:tc>
        <w:tc>
          <w:tcPr>
            <w:tcW w:w="753" w:type="dxa"/>
            <w:tcBorders>
              <w:bottom w:val="nil"/>
              <w:right w:val="nil"/>
            </w:tcBorders>
            <w:vAlign w:val="center"/>
          </w:tcPr>
          <w:p w14:paraId="4FADC7EB" w14:textId="481C35D6"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58DB6C7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15,502</w:t>
            </w:r>
          </w:p>
        </w:tc>
        <w:tc>
          <w:tcPr>
            <w:tcW w:w="768" w:type="dxa"/>
            <w:tcBorders>
              <w:left w:val="nil"/>
              <w:bottom w:val="nil"/>
              <w:right w:val="nil"/>
            </w:tcBorders>
            <w:shd w:val="clear" w:color="auto" w:fill="auto"/>
            <w:noWrap/>
            <w:vAlign w:val="center"/>
            <w:hideMark/>
          </w:tcPr>
          <w:p w14:paraId="74DD1939" w14:textId="1B49E08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5365</w:t>
            </w:r>
          </w:p>
        </w:tc>
        <w:tc>
          <w:tcPr>
            <w:tcW w:w="847" w:type="dxa"/>
            <w:tcBorders>
              <w:left w:val="nil"/>
              <w:bottom w:val="nil"/>
              <w:right w:val="nil"/>
            </w:tcBorders>
            <w:shd w:val="clear" w:color="auto" w:fill="auto"/>
            <w:noWrap/>
            <w:vAlign w:val="center"/>
            <w:hideMark/>
          </w:tcPr>
          <w:p w14:paraId="611D938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20,584</w:t>
            </w:r>
          </w:p>
        </w:tc>
        <w:tc>
          <w:tcPr>
            <w:tcW w:w="847" w:type="dxa"/>
            <w:tcBorders>
              <w:left w:val="nil"/>
              <w:bottom w:val="nil"/>
              <w:right w:val="nil"/>
            </w:tcBorders>
            <w:shd w:val="clear" w:color="auto" w:fill="auto"/>
            <w:noWrap/>
            <w:vAlign w:val="center"/>
            <w:hideMark/>
          </w:tcPr>
          <w:p w14:paraId="46B234C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14,853</w:t>
            </w:r>
          </w:p>
        </w:tc>
        <w:tc>
          <w:tcPr>
            <w:tcW w:w="880" w:type="dxa"/>
            <w:tcBorders>
              <w:left w:val="nil"/>
              <w:bottom w:val="nil"/>
              <w:right w:val="nil"/>
            </w:tcBorders>
            <w:shd w:val="clear" w:color="auto" w:fill="auto"/>
            <w:noWrap/>
            <w:vAlign w:val="center"/>
            <w:hideMark/>
          </w:tcPr>
          <w:p w14:paraId="3DA09F9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19,060</w:t>
            </w:r>
          </w:p>
        </w:tc>
        <w:tc>
          <w:tcPr>
            <w:tcW w:w="768" w:type="dxa"/>
            <w:tcBorders>
              <w:left w:val="nil"/>
              <w:bottom w:val="nil"/>
              <w:right w:val="nil"/>
            </w:tcBorders>
            <w:shd w:val="clear" w:color="auto" w:fill="auto"/>
            <w:noWrap/>
            <w:vAlign w:val="center"/>
            <w:hideMark/>
          </w:tcPr>
          <w:p w14:paraId="5617857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13,722</w:t>
            </w:r>
          </w:p>
        </w:tc>
        <w:tc>
          <w:tcPr>
            <w:tcW w:w="847" w:type="dxa"/>
            <w:tcBorders>
              <w:left w:val="nil"/>
              <w:bottom w:val="nil"/>
              <w:right w:val="nil"/>
            </w:tcBorders>
            <w:shd w:val="clear" w:color="auto" w:fill="auto"/>
            <w:noWrap/>
            <w:vAlign w:val="center"/>
            <w:hideMark/>
          </w:tcPr>
          <w:p w14:paraId="5F686B7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13,670</w:t>
            </w:r>
          </w:p>
        </w:tc>
        <w:tc>
          <w:tcPr>
            <w:tcW w:w="847" w:type="dxa"/>
            <w:tcBorders>
              <w:left w:val="nil"/>
              <w:bottom w:val="nil"/>
              <w:right w:val="nil"/>
            </w:tcBorders>
            <w:shd w:val="clear" w:color="auto" w:fill="auto"/>
            <w:noWrap/>
            <w:vAlign w:val="center"/>
            <w:hideMark/>
          </w:tcPr>
          <w:p w14:paraId="43EEAAE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23,688</w:t>
            </w:r>
          </w:p>
        </w:tc>
        <w:tc>
          <w:tcPr>
            <w:tcW w:w="847" w:type="dxa"/>
            <w:tcBorders>
              <w:left w:val="nil"/>
              <w:bottom w:val="nil"/>
              <w:right w:val="nil"/>
            </w:tcBorders>
            <w:shd w:val="clear" w:color="auto" w:fill="auto"/>
            <w:noWrap/>
            <w:vAlign w:val="center"/>
            <w:hideMark/>
          </w:tcPr>
          <w:p w14:paraId="361EA25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15,875</w:t>
            </w:r>
          </w:p>
        </w:tc>
        <w:tc>
          <w:tcPr>
            <w:tcW w:w="945" w:type="dxa"/>
            <w:tcBorders>
              <w:left w:val="nil"/>
              <w:bottom w:val="nil"/>
            </w:tcBorders>
            <w:shd w:val="clear" w:color="auto" w:fill="auto"/>
            <w:noWrap/>
            <w:vAlign w:val="center"/>
            <w:hideMark/>
          </w:tcPr>
          <w:p w14:paraId="50463E8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142,318</w:t>
            </w:r>
          </w:p>
        </w:tc>
      </w:tr>
      <w:tr w:rsidR="0015649E" w:rsidRPr="0084045A" w14:paraId="7A3E1609" w14:textId="77777777" w:rsidTr="00C3352F">
        <w:trPr>
          <w:trHeight w:val="212"/>
          <w:jc w:val="center"/>
        </w:trPr>
        <w:tc>
          <w:tcPr>
            <w:tcW w:w="728" w:type="dxa"/>
            <w:vMerge/>
            <w:shd w:val="clear" w:color="auto" w:fill="auto"/>
            <w:noWrap/>
            <w:textDirection w:val="btLr"/>
            <w:vAlign w:val="center"/>
            <w:hideMark/>
          </w:tcPr>
          <w:p w14:paraId="7359C29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58B4757" w14:textId="7D4A40E2"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5B3CB3D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22,976</w:t>
            </w:r>
          </w:p>
        </w:tc>
        <w:tc>
          <w:tcPr>
            <w:tcW w:w="768" w:type="dxa"/>
            <w:tcBorders>
              <w:top w:val="nil"/>
              <w:left w:val="nil"/>
              <w:bottom w:val="nil"/>
              <w:right w:val="nil"/>
            </w:tcBorders>
            <w:shd w:val="clear" w:color="auto" w:fill="auto"/>
            <w:noWrap/>
            <w:vAlign w:val="center"/>
            <w:hideMark/>
          </w:tcPr>
          <w:p w14:paraId="42CC13C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10,490</w:t>
            </w:r>
          </w:p>
        </w:tc>
        <w:tc>
          <w:tcPr>
            <w:tcW w:w="847" w:type="dxa"/>
            <w:tcBorders>
              <w:top w:val="nil"/>
              <w:left w:val="nil"/>
              <w:bottom w:val="nil"/>
              <w:right w:val="nil"/>
            </w:tcBorders>
            <w:shd w:val="clear" w:color="auto" w:fill="auto"/>
            <w:noWrap/>
            <w:vAlign w:val="center"/>
            <w:hideMark/>
          </w:tcPr>
          <w:p w14:paraId="2A1F768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35,438</w:t>
            </w:r>
          </w:p>
        </w:tc>
        <w:tc>
          <w:tcPr>
            <w:tcW w:w="847" w:type="dxa"/>
            <w:tcBorders>
              <w:top w:val="nil"/>
              <w:left w:val="nil"/>
              <w:bottom w:val="nil"/>
              <w:right w:val="nil"/>
            </w:tcBorders>
            <w:shd w:val="clear" w:color="auto" w:fill="auto"/>
            <w:noWrap/>
            <w:vAlign w:val="center"/>
            <w:hideMark/>
          </w:tcPr>
          <w:p w14:paraId="1412426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21,367</w:t>
            </w:r>
          </w:p>
        </w:tc>
        <w:tc>
          <w:tcPr>
            <w:tcW w:w="880" w:type="dxa"/>
            <w:tcBorders>
              <w:top w:val="nil"/>
              <w:left w:val="nil"/>
              <w:bottom w:val="nil"/>
              <w:right w:val="nil"/>
            </w:tcBorders>
            <w:shd w:val="clear" w:color="auto" w:fill="auto"/>
            <w:noWrap/>
            <w:vAlign w:val="center"/>
            <w:hideMark/>
          </w:tcPr>
          <w:p w14:paraId="1B8B2A5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34,591</w:t>
            </w:r>
          </w:p>
        </w:tc>
        <w:tc>
          <w:tcPr>
            <w:tcW w:w="768" w:type="dxa"/>
            <w:tcBorders>
              <w:top w:val="nil"/>
              <w:left w:val="nil"/>
              <w:bottom w:val="nil"/>
              <w:right w:val="nil"/>
            </w:tcBorders>
            <w:shd w:val="clear" w:color="auto" w:fill="auto"/>
            <w:noWrap/>
            <w:vAlign w:val="center"/>
            <w:hideMark/>
          </w:tcPr>
          <w:p w14:paraId="44E3FDC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23,756</w:t>
            </w:r>
          </w:p>
        </w:tc>
        <w:tc>
          <w:tcPr>
            <w:tcW w:w="847" w:type="dxa"/>
            <w:tcBorders>
              <w:top w:val="nil"/>
              <w:left w:val="nil"/>
              <w:bottom w:val="nil"/>
              <w:right w:val="nil"/>
            </w:tcBorders>
            <w:shd w:val="clear" w:color="auto" w:fill="auto"/>
            <w:noWrap/>
            <w:vAlign w:val="center"/>
            <w:hideMark/>
          </w:tcPr>
          <w:p w14:paraId="798CBC7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32,836</w:t>
            </w:r>
          </w:p>
        </w:tc>
        <w:tc>
          <w:tcPr>
            <w:tcW w:w="847" w:type="dxa"/>
            <w:tcBorders>
              <w:top w:val="nil"/>
              <w:left w:val="nil"/>
              <w:bottom w:val="nil"/>
              <w:right w:val="nil"/>
            </w:tcBorders>
            <w:shd w:val="clear" w:color="auto" w:fill="auto"/>
            <w:noWrap/>
            <w:vAlign w:val="center"/>
            <w:hideMark/>
          </w:tcPr>
          <w:p w14:paraId="27284D3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41,839</w:t>
            </w:r>
          </w:p>
        </w:tc>
        <w:tc>
          <w:tcPr>
            <w:tcW w:w="847" w:type="dxa"/>
            <w:tcBorders>
              <w:top w:val="nil"/>
              <w:left w:val="nil"/>
              <w:bottom w:val="nil"/>
              <w:right w:val="nil"/>
            </w:tcBorders>
            <w:shd w:val="clear" w:color="auto" w:fill="auto"/>
            <w:noWrap/>
            <w:vAlign w:val="center"/>
            <w:hideMark/>
          </w:tcPr>
          <w:p w14:paraId="50274B9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29,007</w:t>
            </w:r>
          </w:p>
        </w:tc>
        <w:tc>
          <w:tcPr>
            <w:tcW w:w="945" w:type="dxa"/>
            <w:tcBorders>
              <w:top w:val="nil"/>
              <w:left w:val="nil"/>
              <w:bottom w:val="nil"/>
            </w:tcBorders>
            <w:shd w:val="clear" w:color="auto" w:fill="auto"/>
            <w:noWrap/>
            <w:vAlign w:val="center"/>
            <w:hideMark/>
          </w:tcPr>
          <w:p w14:paraId="0E8AB49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252,301</w:t>
            </w:r>
          </w:p>
        </w:tc>
      </w:tr>
      <w:tr w:rsidR="0015649E" w:rsidRPr="0084045A" w14:paraId="30EDDB5A" w14:textId="77777777" w:rsidTr="00C3352F">
        <w:trPr>
          <w:trHeight w:val="212"/>
          <w:jc w:val="center"/>
        </w:trPr>
        <w:tc>
          <w:tcPr>
            <w:tcW w:w="728" w:type="dxa"/>
            <w:vMerge/>
            <w:shd w:val="clear" w:color="auto" w:fill="auto"/>
            <w:noWrap/>
            <w:textDirection w:val="btLr"/>
            <w:vAlign w:val="center"/>
            <w:hideMark/>
          </w:tcPr>
          <w:p w14:paraId="3AE03EA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7D11970" w14:textId="24A81EC1"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3BC9A61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27,908</w:t>
            </w:r>
          </w:p>
        </w:tc>
        <w:tc>
          <w:tcPr>
            <w:tcW w:w="768" w:type="dxa"/>
            <w:tcBorders>
              <w:top w:val="nil"/>
              <w:left w:val="nil"/>
              <w:bottom w:val="nil"/>
              <w:right w:val="nil"/>
            </w:tcBorders>
            <w:shd w:val="clear" w:color="auto" w:fill="auto"/>
            <w:noWrap/>
            <w:vAlign w:val="center"/>
            <w:hideMark/>
          </w:tcPr>
          <w:p w14:paraId="41F4C5D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13,377</w:t>
            </w:r>
          </w:p>
        </w:tc>
        <w:tc>
          <w:tcPr>
            <w:tcW w:w="847" w:type="dxa"/>
            <w:tcBorders>
              <w:top w:val="nil"/>
              <w:left w:val="nil"/>
              <w:bottom w:val="nil"/>
              <w:right w:val="nil"/>
            </w:tcBorders>
            <w:shd w:val="clear" w:color="auto" w:fill="auto"/>
            <w:noWrap/>
            <w:vAlign w:val="center"/>
            <w:hideMark/>
          </w:tcPr>
          <w:p w14:paraId="6656F05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44,615</w:t>
            </w:r>
          </w:p>
        </w:tc>
        <w:tc>
          <w:tcPr>
            <w:tcW w:w="847" w:type="dxa"/>
            <w:tcBorders>
              <w:top w:val="nil"/>
              <w:left w:val="nil"/>
              <w:bottom w:val="nil"/>
              <w:right w:val="nil"/>
            </w:tcBorders>
            <w:shd w:val="clear" w:color="auto" w:fill="auto"/>
            <w:noWrap/>
            <w:vAlign w:val="center"/>
            <w:hideMark/>
          </w:tcPr>
          <w:p w14:paraId="304F49F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52,038</w:t>
            </w:r>
          </w:p>
        </w:tc>
        <w:tc>
          <w:tcPr>
            <w:tcW w:w="880" w:type="dxa"/>
            <w:tcBorders>
              <w:top w:val="nil"/>
              <w:left w:val="nil"/>
              <w:bottom w:val="nil"/>
              <w:right w:val="nil"/>
            </w:tcBorders>
            <w:shd w:val="clear" w:color="auto" w:fill="auto"/>
            <w:noWrap/>
            <w:vAlign w:val="center"/>
            <w:hideMark/>
          </w:tcPr>
          <w:p w14:paraId="6CD66FE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34,860</w:t>
            </w:r>
          </w:p>
        </w:tc>
        <w:tc>
          <w:tcPr>
            <w:tcW w:w="768" w:type="dxa"/>
            <w:tcBorders>
              <w:top w:val="nil"/>
              <w:left w:val="nil"/>
              <w:bottom w:val="nil"/>
              <w:right w:val="nil"/>
            </w:tcBorders>
            <w:shd w:val="clear" w:color="auto" w:fill="auto"/>
            <w:noWrap/>
            <w:vAlign w:val="center"/>
            <w:hideMark/>
          </w:tcPr>
          <w:p w14:paraId="79911BC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41,523</w:t>
            </w:r>
          </w:p>
        </w:tc>
        <w:tc>
          <w:tcPr>
            <w:tcW w:w="847" w:type="dxa"/>
            <w:tcBorders>
              <w:top w:val="nil"/>
              <w:left w:val="nil"/>
              <w:bottom w:val="nil"/>
              <w:right w:val="nil"/>
            </w:tcBorders>
            <w:shd w:val="clear" w:color="auto" w:fill="auto"/>
            <w:noWrap/>
            <w:vAlign w:val="center"/>
            <w:hideMark/>
          </w:tcPr>
          <w:p w14:paraId="4EE3C08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35,569</w:t>
            </w:r>
          </w:p>
        </w:tc>
        <w:tc>
          <w:tcPr>
            <w:tcW w:w="847" w:type="dxa"/>
            <w:tcBorders>
              <w:top w:val="nil"/>
              <w:left w:val="nil"/>
              <w:bottom w:val="nil"/>
              <w:right w:val="nil"/>
            </w:tcBorders>
            <w:shd w:val="clear" w:color="auto" w:fill="auto"/>
            <w:noWrap/>
            <w:vAlign w:val="center"/>
            <w:hideMark/>
          </w:tcPr>
          <w:p w14:paraId="125D615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60,726</w:t>
            </w:r>
          </w:p>
        </w:tc>
        <w:tc>
          <w:tcPr>
            <w:tcW w:w="847" w:type="dxa"/>
            <w:tcBorders>
              <w:top w:val="nil"/>
              <w:left w:val="nil"/>
              <w:bottom w:val="nil"/>
              <w:right w:val="nil"/>
            </w:tcBorders>
            <w:shd w:val="clear" w:color="auto" w:fill="auto"/>
            <w:noWrap/>
            <w:vAlign w:val="center"/>
            <w:hideMark/>
          </w:tcPr>
          <w:p w14:paraId="236C3B3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41,501</w:t>
            </w:r>
          </w:p>
        </w:tc>
        <w:tc>
          <w:tcPr>
            <w:tcW w:w="945" w:type="dxa"/>
            <w:tcBorders>
              <w:top w:val="nil"/>
              <w:left w:val="nil"/>
              <w:bottom w:val="nil"/>
            </w:tcBorders>
            <w:shd w:val="clear" w:color="auto" w:fill="auto"/>
            <w:noWrap/>
            <w:vAlign w:val="center"/>
            <w:hideMark/>
          </w:tcPr>
          <w:p w14:paraId="0A27B8EC"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352,116</w:t>
            </w:r>
          </w:p>
        </w:tc>
      </w:tr>
      <w:tr w:rsidR="0015649E" w:rsidRPr="0084045A" w14:paraId="75CB764D" w14:textId="77777777" w:rsidTr="00C3352F">
        <w:trPr>
          <w:trHeight w:val="212"/>
          <w:jc w:val="center"/>
        </w:trPr>
        <w:tc>
          <w:tcPr>
            <w:tcW w:w="728" w:type="dxa"/>
            <w:vMerge/>
            <w:shd w:val="clear" w:color="auto" w:fill="auto"/>
            <w:noWrap/>
            <w:textDirection w:val="btLr"/>
            <w:vAlign w:val="center"/>
            <w:hideMark/>
          </w:tcPr>
          <w:p w14:paraId="3004C63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2350080" w14:textId="60B0A74E"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0661042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10,241</w:t>
            </w:r>
          </w:p>
        </w:tc>
        <w:tc>
          <w:tcPr>
            <w:tcW w:w="768" w:type="dxa"/>
            <w:tcBorders>
              <w:top w:val="nil"/>
              <w:left w:val="nil"/>
              <w:bottom w:val="nil"/>
              <w:right w:val="nil"/>
            </w:tcBorders>
            <w:shd w:val="clear" w:color="auto" w:fill="auto"/>
            <w:noWrap/>
            <w:vAlign w:val="center"/>
            <w:hideMark/>
          </w:tcPr>
          <w:p w14:paraId="52E8CA85" w14:textId="7C3684F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4084</w:t>
            </w:r>
          </w:p>
        </w:tc>
        <w:tc>
          <w:tcPr>
            <w:tcW w:w="847" w:type="dxa"/>
            <w:tcBorders>
              <w:top w:val="nil"/>
              <w:left w:val="nil"/>
              <w:bottom w:val="nil"/>
              <w:right w:val="nil"/>
            </w:tcBorders>
            <w:shd w:val="clear" w:color="auto" w:fill="auto"/>
            <w:noWrap/>
            <w:vAlign w:val="center"/>
            <w:hideMark/>
          </w:tcPr>
          <w:p w14:paraId="47AE2A4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17,017</w:t>
            </w:r>
          </w:p>
        </w:tc>
        <w:tc>
          <w:tcPr>
            <w:tcW w:w="847" w:type="dxa"/>
            <w:tcBorders>
              <w:top w:val="nil"/>
              <w:left w:val="nil"/>
              <w:bottom w:val="nil"/>
              <w:right w:val="nil"/>
            </w:tcBorders>
            <w:shd w:val="clear" w:color="auto" w:fill="auto"/>
            <w:noWrap/>
            <w:vAlign w:val="center"/>
            <w:hideMark/>
          </w:tcPr>
          <w:p w14:paraId="7F99D1F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18,714</w:t>
            </w:r>
          </w:p>
        </w:tc>
        <w:tc>
          <w:tcPr>
            <w:tcW w:w="880" w:type="dxa"/>
            <w:tcBorders>
              <w:top w:val="nil"/>
              <w:left w:val="nil"/>
              <w:bottom w:val="nil"/>
              <w:right w:val="nil"/>
            </w:tcBorders>
            <w:shd w:val="clear" w:color="auto" w:fill="auto"/>
            <w:noWrap/>
            <w:vAlign w:val="center"/>
            <w:hideMark/>
          </w:tcPr>
          <w:p w14:paraId="4B18021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16,329</w:t>
            </w:r>
          </w:p>
        </w:tc>
        <w:tc>
          <w:tcPr>
            <w:tcW w:w="768" w:type="dxa"/>
            <w:tcBorders>
              <w:top w:val="nil"/>
              <w:left w:val="nil"/>
              <w:bottom w:val="nil"/>
              <w:right w:val="nil"/>
            </w:tcBorders>
            <w:shd w:val="clear" w:color="auto" w:fill="auto"/>
            <w:noWrap/>
            <w:vAlign w:val="center"/>
            <w:hideMark/>
          </w:tcPr>
          <w:p w14:paraId="7313EED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16,168</w:t>
            </w:r>
          </w:p>
        </w:tc>
        <w:tc>
          <w:tcPr>
            <w:tcW w:w="847" w:type="dxa"/>
            <w:tcBorders>
              <w:top w:val="nil"/>
              <w:left w:val="nil"/>
              <w:bottom w:val="nil"/>
              <w:right w:val="nil"/>
            </w:tcBorders>
            <w:shd w:val="clear" w:color="auto" w:fill="auto"/>
            <w:noWrap/>
            <w:vAlign w:val="center"/>
            <w:hideMark/>
          </w:tcPr>
          <w:p w14:paraId="5EBF5FF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20,392</w:t>
            </w:r>
          </w:p>
        </w:tc>
        <w:tc>
          <w:tcPr>
            <w:tcW w:w="847" w:type="dxa"/>
            <w:tcBorders>
              <w:top w:val="nil"/>
              <w:left w:val="nil"/>
              <w:bottom w:val="nil"/>
              <w:right w:val="nil"/>
            </w:tcBorders>
            <w:shd w:val="clear" w:color="auto" w:fill="auto"/>
            <w:noWrap/>
            <w:vAlign w:val="center"/>
            <w:hideMark/>
          </w:tcPr>
          <w:p w14:paraId="6ED14BE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37,956</w:t>
            </w:r>
          </w:p>
        </w:tc>
        <w:tc>
          <w:tcPr>
            <w:tcW w:w="847" w:type="dxa"/>
            <w:tcBorders>
              <w:top w:val="nil"/>
              <w:left w:val="nil"/>
              <w:bottom w:val="nil"/>
              <w:right w:val="nil"/>
            </w:tcBorders>
            <w:shd w:val="clear" w:color="auto" w:fill="auto"/>
            <w:noWrap/>
            <w:vAlign w:val="center"/>
            <w:hideMark/>
          </w:tcPr>
          <w:p w14:paraId="6E59366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19,746</w:t>
            </w:r>
          </w:p>
        </w:tc>
        <w:tc>
          <w:tcPr>
            <w:tcW w:w="945" w:type="dxa"/>
            <w:tcBorders>
              <w:top w:val="nil"/>
              <w:left w:val="nil"/>
              <w:bottom w:val="nil"/>
            </w:tcBorders>
            <w:shd w:val="clear" w:color="auto" w:fill="auto"/>
            <w:noWrap/>
            <w:vAlign w:val="center"/>
            <w:hideMark/>
          </w:tcPr>
          <w:p w14:paraId="6F88FFD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160,648</w:t>
            </w:r>
          </w:p>
        </w:tc>
      </w:tr>
      <w:tr w:rsidR="0015649E" w:rsidRPr="0084045A" w14:paraId="2087A521" w14:textId="77777777" w:rsidTr="00C3352F">
        <w:trPr>
          <w:trHeight w:val="121"/>
          <w:jc w:val="center"/>
        </w:trPr>
        <w:tc>
          <w:tcPr>
            <w:tcW w:w="728" w:type="dxa"/>
            <w:vMerge/>
            <w:shd w:val="clear" w:color="auto" w:fill="auto"/>
            <w:noWrap/>
            <w:textDirection w:val="btLr"/>
            <w:vAlign w:val="center"/>
            <w:hideMark/>
          </w:tcPr>
          <w:p w14:paraId="198665C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53FB5C3B" w14:textId="740F4954"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6D0E3493" w14:textId="5297C043"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3462</w:t>
            </w:r>
          </w:p>
        </w:tc>
        <w:tc>
          <w:tcPr>
            <w:tcW w:w="768" w:type="dxa"/>
            <w:tcBorders>
              <w:top w:val="nil"/>
              <w:left w:val="nil"/>
              <w:bottom w:val="single" w:sz="4" w:space="0" w:color="auto"/>
              <w:right w:val="nil"/>
            </w:tcBorders>
            <w:shd w:val="clear" w:color="auto" w:fill="auto"/>
            <w:noWrap/>
            <w:vAlign w:val="center"/>
            <w:hideMark/>
          </w:tcPr>
          <w:p w14:paraId="5503CFE1" w14:textId="22B79D9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1829</w:t>
            </w:r>
          </w:p>
        </w:tc>
        <w:tc>
          <w:tcPr>
            <w:tcW w:w="847" w:type="dxa"/>
            <w:tcBorders>
              <w:top w:val="nil"/>
              <w:left w:val="nil"/>
              <w:bottom w:val="single" w:sz="4" w:space="0" w:color="auto"/>
              <w:right w:val="nil"/>
            </w:tcBorders>
            <w:shd w:val="clear" w:color="auto" w:fill="auto"/>
            <w:noWrap/>
            <w:vAlign w:val="center"/>
            <w:hideMark/>
          </w:tcPr>
          <w:p w14:paraId="0E4ADAE9" w14:textId="792555C3"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7793</w:t>
            </w:r>
          </w:p>
        </w:tc>
        <w:tc>
          <w:tcPr>
            <w:tcW w:w="847" w:type="dxa"/>
            <w:tcBorders>
              <w:top w:val="nil"/>
              <w:left w:val="nil"/>
              <w:bottom w:val="single" w:sz="4" w:space="0" w:color="auto"/>
              <w:right w:val="nil"/>
            </w:tcBorders>
            <w:shd w:val="clear" w:color="auto" w:fill="auto"/>
            <w:noWrap/>
            <w:vAlign w:val="center"/>
            <w:hideMark/>
          </w:tcPr>
          <w:p w14:paraId="68BCCCE5" w14:textId="2858049D"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3138</w:t>
            </w:r>
          </w:p>
        </w:tc>
        <w:tc>
          <w:tcPr>
            <w:tcW w:w="880" w:type="dxa"/>
            <w:tcBorders>
              <w:top w:val="nil"/>
              <w:left w:val="nil"/>
              <w:bottom w:val="single" w:sz="4" w:space="0" w:color="auto"/>
              <w:right w:val="nil"/>
            </w:tcBorders>
            <w:shd w:val="clear" w:color="auto" w:fill="auto"/>
            <w:noWrap/>
            <w:vAlign w:val="center"/>
            <w:hideMark/>
          </w:tcPr>
          <w:p w14:paraId="2E0D6C7F" w14:textId="53B5CEB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8512</w:t>
            </w:r>
          </w:p>
        </w:tc>
        <w:tc>
          <w:tcPr>
            <w:tcW w:w="768" w:type="dxa"/>
            <w:tcBorders>
              <w:top w:val="nil"/>
              <w:left w:val="nil"/>
              <w:bottom w:val="single" w:sz="4" w:space="0" w:color="auto"/>
              <w:right w:val="nil"/>
            </w:tcBorders>
            <w:shd w:val="clear" w:color="auto" w:fill="auto"/>
            <w:noWrap/>
            <w:vAlign w:val="center"/>
            <w:hideMark/>
          </w:tcPr>
          <w:p w14:paraId="54080EEA" w14:textId="00C8B1A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2974</w:t>
            </w:r>
          </w:p>
        </w:tc>
        <w:tc>
          <w:tcPr>
            <w:tcW w:w="847" w:type="dxa"/>
            <w:tcBorders>
              <w:top w:val="nil"/>
              <w:left w:val="nil"/>
              <w:bottom w:val="single" w:sz="4" w:space="0" w:color="auto"/>
              <w:right w:val="nil"/>
            </w:tcBorders>
            <w:shd w:val="clear" w:color="auto" w:fill="auto"/>
            <w:noWrap/>
            <w:vAlign w:val="center"/>
            <w:hideMark/>
          </w:tcPr>
          <w:p w14:paraId="54310B7C" w14:textId="2E5425B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7968</w:t>
            </w:r>
          </w:p>
        </w:tc>
        <w:tc>
          <w:tcPr>
            <w:tcW w:w="847" w:type="dxa"/>
            <w:tcBorders>
              <w:top w:val="nil"/>
              <w:left w:val="nil"/>
              <w:bottom w:val="single" w:sz="4" w:space="0" w:color="auto"/>
              <w:right w:val="nil"/>
            </w:tcBorders>
            <w:shd w:val="clear" w:color="auto" w:fill="auto"/>
            <w:noWrap/>
            <w:vAlign w:val="center"/>
            <w:hideMark/>
          </w:tcPr>
          <w:p w14:paraId="7892842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13,082</w:t>
            </w:r>
          </w:p>
        </w:tc>
        <w:tc>
          <w:tcPr>
            <w:tcW w:w="847" w:type="dxa"/>
            <w:tcBorders>
              <w:top w:val="nil"/>
              <w:left w:val="nil"/>
              <w:bottom w:val="single" w:sz="4" w:space="0" w:color="auto"/>
              <w:right w:val="nil"/>
            </w:tcBorders>
            <w:shd w:val="clear" w:color="auto" w:fill="auto"/>
            <w:noWrap/>
            <w:vAlign w:val="center"/>
            <w:hideMark/>
          </w:tcPr>
          <w:p w14:paraId="27E428BB" w14:textId="6D37B35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6728</w:t>
            </w:r>
          </w:p>
        </w:tc>
        <w:tc>
          <w:tcPr>
            <w:tcW w:w="945" w:type="dxa"/>
            <w:tcBorders>
              <w:top w:val="nil"/>
              <w:left w:val="nil"/>
              <w:bottom w:val="single" w:sz="4" w:space="0" w:color="auto"/>
            </w:tcBorders>
            <w:shd w:val="clear" w:color="auto" w:fill="auto"/>
            <w:noWrap/>
            <w:vAlign w:val="center"/>
            <w:hideMark/>
          </w:tcPr>
          <w:p w14:paraId="76FB44B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55,486</w:t>
            </w:r>
          </w:p>
        </w:tc>
      </w:tr>
      <w:tr w:rsidR="0015649E" w:rsidRPr="0084045A" w14:paraId="60C6A0DE" w14:textId="77777777" w:rsidTr="00C3352F">
        <w:trPr>
          <w:trHeight w:val="212"/>
          <w:jc w:val="center"/>
        </w:trPr>
        <w:tc>
          <w:tcPr>
            <w:tcW w:w="728" w:type="dxa"/>
            <w:vMerge w:val="restart"/>
            <w:shd w:val="clear" w:color="auto" w:fill="auto"/>
            <w:noWrap/>
            <w:textDirection w:val="btLr"/>
            <w:vAlign w:val="center"/>
            <w:hideMark/>
          </w:tcPr>
          <w:p w14:paraId="0ED6A0A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Nuevo León</w:t>
            </w:r>
          </w:p>
        </w:tc>
        <w:tc>
          <w:tcPr>
            <w:tcW w:w="753" w:type="dxa"/>
            <w:tcBorders>
              <w:bottom w:val="nil"/>
              <w:right w:val="nil"/>
            </w:tcBorders>
            <w:vAlign w:val="center"/>
          </w:tcPr>
          <w:p w14:paraId="5ADE1350" w14:textId="097D0E3C"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1497CC7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60,475</w:t>
            </w:r>
          </w:p>
        </w:tc>
        <w:tc>
          <w:tcPr>
            <w:tcW w:w="768" w:type="dxa"/>
            <w:tcBorders>
              <w:left w:val="nil"/>
              <w:bottom w:val="nil"/>
              <w:right w:val="nil"/>
            </w:tcBorders>
            <w:shd w:val="clear" w:color="auto" w:fill="auto"/>
            <w:noWrap/>
            <w:vAlign w:val="center"/>
            <w:hideMark/>
          </w:tcPr>
          <w:p w14:paraId="1E8ABF8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20,839</w:t>
            </w:r>
          </w:p>
        </w:tc>
        <w:tc>
          <w:tcPr>
            <w:tcW w:w="847" w:type="dxa"/>
            <w:tcBorders>
              <w:left w:val="nil"/>
              <w:bottom w:val="nil"/>
              <w:right w:val="nil"/>
            </w:tcBorders>
            <w:shd w:val="clear" w:color="auto" w:fill="auto"/>
            <w:noWrap/>
            <w:vAlign w:val="center"/>
            <w:hideMark/>
          </w:tcPr>
          <w:p w14:paraId="4BE1710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79,621</w:t>
            </w:r>
          </w:p>
        </w:tc>
        <w:tc>
          <w:tcPr>
            <w:tcW w:w="847" w:type="dxa"/>
            <w:tcBorders>
              <w:left w:val="nil"/>
              <w:bottom w:val="nil"/>
              <w:right w:val="nil"/>
            </w:tcBorders>
            <w:shd w:val="clear" w:color="auto" w:fill="auto"/>
            <w:noWrap/>
            <w:vAlign w:val="center"/>
            <w:hideMark/>
          </w:tcPr>
          <w:p w14:paraId="22BA307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57,217</w:t>
            </w:r>
          </w:p>
        </w:tc>
        <w:tc>
          <w:tcPr>
            <w:tcW w:w="880" w:type="dxa"/>
            <w:tcBorders>
              <w:left w:val="nil"/>
              <w:bottom w:val="nil"/>
              <w:right w:val="nil"/>
            </w:tcBorders>
            <w:shd w:val="clear" w:color="auto" w:fill="auto"/>
            <w:noWrap/>
            <w:vAlign w:val="center"/>
            <w:hideMark/>
          </w:tcPr>
          <w:p w14:paraId="5BE17ED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73,129</w:t>
            </w:r>
          </w:p>
        </w:tc>
        <w:tc>
          <w:tcPr>
            <w:tcW w:w="768" w:type="dxa"/>
            <w:tcBorders>
              <w:left w:val="nil"/>
              <w:bottom w:val="nil"/>
              <w:right w:val="nil"/>
            </w:tcBorders>
            <w:shd w:val="clear" w:color="auto" w:fill="auto"/>
            <w:noWrap/>
            <w:vAlign w:val="center"/>
            <w:hideMark/>
          </w:tcPr>
          <w:p w14:paraId="74CD1BB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52,443</w:t>
            </w:r>
          </w:p>
        </w:tc>
        <w:tc>
          <w:tcPr>
            <w:tcW w:w="847" w:type="dxa"/>
            <w:tcBorders>
              <w:left w:val="nil"/>
              <w:bottom w:val="nil"/>
              <w:right w:val="nil"/>
            </w:tcBorders>
            <w:shd w:val="clear" w:color="auto" w:fill="auto"/>
            <w:noWrap/>
            <w:vAlign w:val="center"/>
            <w:hideMark/>
          </w:tcPr>
          <w:p w14:paraId="7BACE1C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52,394</w:t>
            </w:r>
          </w:p>
        </w:tc>
        <w:tc>
          <w:tcPr>
            <w:tcW w:w="847" w:type="dxa"/>
            <w:tcBorders>
              <w:left w:val="nil"/>
              <w:bottom w:val="nil"/>
              <w:right w:val="nil"/>
            </w:tcBorders>
            <w:shd w:val="clear" w:color="auto" w:fill="auto"/>
            <w:noWrap/>
            <w:vAlign w:val="center"/>
            <w:hideMark/>
          </w:tcPr>
          <w:p w14:paraId="325E158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91,184</w:t>
            </w:r>
          </w:p>
        </w:tc>
        <w:tc>
          <w:tcPr>
            <w:tcW w:w="847" w:type="dxa"/>
            <w:tcBorders>
              <w:left w:val="nil"/>
              <w:bottom w:val="nil"/>
              <w:right w:val="nil"/>
            </w:tcBorders>
            <w:shd w:val="clear" w:color="auto" w:fill="auto"/>
            <w:noWrap/>
            <w:vAlign w:val="center"/>
            <w:hideMark/>
          </w:tcPr>
          <w:p w14:paraId="5E6C1F6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61,565</w:t>
            </w:r>
          </w:p>
        </w:tc>
        <w:tc>
          <w:tcPr>
            <w:tcW w:w="945" w:type="dxa"/>
            <w:tcBorders>
              <w:left w:val="nil"/>
              <w:bottom w:val="nil"/>
            </w:tcBorders>
            <w:shd w:val="clear" w:color="auto" w:fill="auto"/>
            <w:noWrap/>
            <w:vAlign w:val="center"/>
            <w:hideMark/>
          </w:tcPr>
          <w:p w14:paraId="74FE747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548,865</w:t>
            </w:r>
          </w:p>
        </w:tc>
      </w:tr>
      <w:tr w:rsidR="0015649E" w:rsidRPr="0084045A" w14:paraId="70DA9D14" w14:textId="77777777" w:rsidTr="00C3352F">
        <w:trPr>
          <w:trHeight w:val="212"/>
          <w:jc w:val="center"/>
        </w:trPr>
        <w:tc>
          <w:tcPr>
            <w:tcW w:w="728" w:type="dxa"/>
            <w:vMerge/>
            <w:shd w:val="clear" w:color="auto" w:fill="auto"/>
            <w:noWrap/>
            <w:textDirection w:val="btLr"/>
            <w:vAlign w:val="center"/>
            <w:hideMark/>
          </w:tcPr>
          <w:p w14:paraId="3F1641E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3EC4D22" w14:textId="1D97CAD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2B57ECF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92,390</w:t>
            </w:r>
          </w:p>
        </w:tc>
        <w:tc>
          <w:tcPr>
            <w:tcW w:w="768" w:type="dxa"/>
            <w:tcBorders>
              <w:top w:val="nil"/>
              <w:left w:val="nil"/>
              <w:bottom w:val="nil"/>
              <w:right w:val="nil"/>
            </w:tcBorders>
            <w:shd w:val="clear" w:color="auto" w:fill="auto"/>
            <w:noWrap/>
            <w:vAlign w:val="center"/>
            <w:hideMark/>
          </w:tcPr>
          <w:p w14:paraId="672B855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42,279</w:t>
            </w:r>
          </w:p>
        </w:tc>
        <w:tc>
          <w:tcPr>
            <w:tcW w:w="847" w:type="dxa"/>
            <w:tcBorders>
              <w:top w:val="nil"/>
              <w:left w:val="nil"/>
              <w:bottom w:val="nil"/>
              <w:right w:val="nil"/>
            </w:tcBorders>
            <w:shd w:val="clear" w:color="auto" w:fill="auto"/>
            <w:noWrap/>
            <w:vAlign w:val="center"/>
            <w:hideMark/>
          </w:tcPr>
          <w:p w14:paraId="0BA850B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143,152</w:t>
            </w:r>
          </w:p>
        </w:tc>
        <w:tc>
          <w:tcPr>
            <w:tcW w:w="847" w:type="dxa"/>
            <w:tcBorders>
              <w:top w:val="nil"/>
              <w:left w:val="nil"/>
              <w:bottom w:val="nil"/>
              <w:right w:val="nil"/>
            </w:tcBorders>
            <w:shd w:val="clear" w:color="auto" w:fill="auto"/>
            <w:noWrap/>
            <w:vAlign w:val="center"/>
            <w:hideMark/>
          </w:tcPr>
          <w:p w14:paraId="532DA06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86,503</w:t>
            </w:r>
          </w:p>
        </w:tc>
        <w:tc>
          <w:tcPr>
            <w:tcW w:w="880" w:type="dxa"/>
            <w:tcBorders>
              <w:top w:val="nil"/>
              <w:left w:val="nil"/>
              <w:bottom w:val="nil"/>
              <w:right w:val="nil"/>
            </w:tcBorders>
            <w:shd w:val="clear" w:color="auto" w:fill="auto"/>
            <w:noWrap/>
            <w:vAlign w:val="center"/>
            <w:hideMark/>
          </w:tcPr>
          <w:p w14:paraId="1870398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140,342</w:t>
            </w:r>
          </w:p>
        </w:tc>
        <w:tc>
          <w:tcPr>
            <w:tcW w:w="768" w:type="dxa"/>
            <w:tcBorders>
              <w:top w:val="nil"/>
              <w:left w:val="nil"/>
              <w:bottom w:val="nil"/>
              <w:right w:val="nil"/>
            </w:tcBorders>
            <w:shd w:val="clear" w:color="auto" w:fill="auto"/>
            <w:noWrap/>
            <w:vAlign w:val="center"/>
            <w:hideMark/>
          </w:tcPr>
          <w:p w14:paraId="245CF32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96,590</w:t>
            </w:r>
          </w:p>
        </w:tc>
        <w:tc>
          <w:tcPr>
            <w:tcW w:w="847" w:type="dxa"/>
            <w:tcBorders>
              <w:top w:val="nil"/>
              <w:left w:val="nil"/>
              <w:bottom w:val="nil"/>
              <w:right w:val="nil"/>
            </w:tcBorders>
            <w:shd w:val="clear" w:color="auto" w:fill="auto"/>
            <w:noWrap/>
            <w:vAlign w:val="center"/>
            <w:hideMark/>
          </w:tcPr>
          <w:p w14:paraId="1CE7D3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132,664</w:t>
            </w:r>
          </w:p>
        </w:tc>
        <w:tc>
          <w:tcPr>
            <w:tcW w:w="847" w:type="dxa"/>
            <w:tcBorders>
              <w:top w:val="nil"/>
              <w:left w:val="nil"/>
              <w:bottom w:val="nil"/>
              <w:right w:val="nil"/>
            </w:tcBorders>
            <w:shd w:val="clear" w:color="auto" w:fill="auto"/>
            <w:noWrap/>
            <w:vAlign w:val="center"/>
            <w:hideMark/>
          </w:tcPr>
          <w:p w14:paraId="04B2CD9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167,859</w:t>
            </w:r>
          </w:p>
        </w:tc>
        <w:tc>
          <w:tcPr>
            <w:tcW w:w="847" w:type="dxa"/>
            <w:tcBorders>
              <w:top w:val="nil"/>
              <w:left w:val="nil"/>
              <w:bottom w:val="nil"/>
              <w:right w:val="nil"/>
            </w:tcBorders>
            <w:shd w:val="clear" w:color="auto" w:fill="auto"/>
            <w:noWrap/>
            <w:vAlign w:val="center"/>
            <w:hideMark/>
          </w:tcPr>
          <w:p w14:paraId="5A8591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115,513</w:t>
            </w:r>
          </w:p>
        </w:tc>
        <w:tc>
          <w:tcPr>
            <w:tcW w:w="945" w:type="dxa"/>
            <w:tcBorders>
              <w:top w:val="nil"/>
              <w:left w:val="nil"/>
              <w:bottom w:val="nil"/>
            </w:tcBorders>
            <w:shd w:val="clear" w:color="auto" w:fill="auto"/>
            <w:noWrap/>
            <w:vAlign w:val="center"/>
            <w:hideMark/>
          </w:tcPr>
          <w:p w14:paraId="51276F0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1,017,294</w:t>
            </w:r>
          </w:p>
        </w:tc>
      </w:tr>
      <w:tr w:rsidR="0015649E" w:rsidRPr="0084045A" w14:paraId="3906AD83" w14:textId="77777777" w:rsidTr="00C3352F">
        <w:trPr>
          <w:trHeight w:val="212"/>
          <w:jc w:val="center"/>
        </w:trPr>
        <w:tc>
          <w:tcPr>
            <w:tcW w:w="728" w:type="dxa"/>
            <w:vMerge/>
            <w:shd w:val="clear" w:color="auto" w:fill="auto"/>
            <w:noWrap/>
            <w:textDirection w:val="btLr"/>
            <w:vAlign w:val="center"/>
            <w:hideMark/>
          </w:tcPr>
          <w:p w14:paraId="0DC9040D"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3AD1CE5" w14:textId="634E93E4"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533A638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129,350</w:t>
            </w:r>
          </w:p>
        </w:tc>
        <w:tc>
          <w:tcPr>
            <w:tcW w:w="768" w:type="dxa"/>
            <w:tcBorders>
              <w:top w:val="nil"/>
              <w:left w:val="nil"/>
              <w:bottom w:val="nil"/>
              <w:right w:val="nil"/>
            </w:tcBorders>
            <w:shd w:val="clear" w:color="auto" w:fill="auto"/>
            <w:noWrap/>
            <w:vAlign w:val="center"/>
            <w:hideMark/>
          </w:tcPr>
          <w:p w14:paraId="0209AA2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61,972</w:t>
            </w:r>
          </w:p>
        </w:tc>
        <w:tc>
          <w:tcPr>
            <w:tcW w:w="847" w:type="dxa"/>
            <w:tcBorders>
              <w:top w:val="nil"/>
              <w:left w:val="nil"/>
              <w:bottom w:val="nil"/>
              <w:right w:val="nil"/>
            </w:tcBorders>
            <w:shd w:val="clear" w:color="auto" w:fill="auto"/>
            <w:noWrap/>
            <w:vAlign w:val="center"/>
            <w:hideMark/>
          </w:tcPr>
          <w:p w14:paraId="47D09DA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206,609</w:t>
            </w:r>
          </w:p>
        </w:tc>
        <w:tc>
          <w:tcPr>
            <w:tcW w:w="847" w:type="dxa"/>
            <w:tcBorders>
              <w:top w:val="nil"/>
              <w:left w:val="nil"/>
              <w:bottom w:val="nil"/>
              <w:right w:val="nil"/>
            </w:tcBorders>
            <w:shd w:val="clear" w:color="auto" w:fill="auto"/>
            <w:noWrap/>
            <w:vAlign w:val="center"/>
            <w:hideMark/>
          </w:tcPr>
          <w:p w14:paraId="293C546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240,899</w:t>
            </w:r>
          </w:p>
        </w:tc>
        <w:tc>
          <w:tcPr>
            <w:tcW w:w="880" w:type="dxa"/>
            <w:tcBorders>
              <w:top w:val="nil"/>
              <w:left w:val="nil"/>
              <w:bottom w:val="nil"/>
              <w:right w:val="nil"/>
            </w:tcBorders>
            <w:shd w:val="clear" w:color="auto" w:fill="auto"/>
            <w:noWrap/>
            <w:vAlign w:val="center"/>
            <w:hideMark/>
          </w:tcPr>
          <w:p w14:paraId="0A7ECA4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161,319</w:t>
            </w:r>
          </w:p>
        </w:tc>
        <w:tc>
          <w:tcPr>
            <w:tcW w:w="768" w:type="dxa"/>
            <w:tcBorders>
              <w:top w:val="nil"/>
              <w:left w:val="nil"/>
              <w:bottom w:val="nil"/>
              <w:right w:val="nil"/>
            </w:tcBorders>
            <w:shd w:val="clear" w:color="auto" w:fill="auto"/>
            <w:noWrap/>
            <w:vAlign w:val="center"/>
            <w:hideMark/>
          </w:tcPr>
          <w:p w14:paraId="3D2233D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192,088</w:t>
            </w:r>
          </w:p>
        </w:tc>
        <w:tc>
          <w:tcPr>
            <w:tcW w:w="847" w:type="dxa"/>
            <w:tcBorders>
              <w:top w:val="nil"/>
              <w:left w:val="nil"/>
              <w:bottom w:val="nil"/>
              <w:right w:val="nil"/>
            </w:tcBorders>
            <w:shd w:val="clear" w:color="auto" w:fill="auto"/>
            <w:noWrap/>
            <w:vAlign w:val="center"/>
            <w:hideMark/>
          </w:tcPr>
          <w:p w14:paraId="642AE41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164,157</w:t>
            </w:r>
          </w:p>
        </w:tc>
        <w:tc>
          <w:tcPr>
            <w:tcW w:w="847" w:type="dxa"/>
            <w:tcBorders>
              <w:top w:val="nil"/>
              <w:left w:val="nil"/>
              <w:bottom w:val="nil"/>
              <w:right w:val="nil"/>
            </w:tcBorders>
            <w:shd w:val="clear" w:color="auto" w:fill="auto"/>
            <w:noWrap/>
            <w:vAlign w:val="center"/>
            <w:hideMark/>
          </w:tcPr>
          <w:p w14:paraId="5C7C45C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279,641</w:t>
            </w:r>
          </w:p>
        </w:tc>
        <w:tc>
          <w:tcPr>
            <w:tcW w:w="847" w:type="dxa"/>
            <w:tcBorders>
              <w:top w:val="nil"/>
              <w:left w:val="nil"/>
              <w:bottom w:val="nil"/>
              <w:right w:val="nil"/>
            </w:tcBorders>
            <w:shd w:val="clear" w:color="auto" w:fill="auto"/>
            <w:noWrap/>
            <w:vAlign w:val="center"/>
            <w:hideMark/>
          </w:tcPr>
          <w:p w14:paraId="268DC8D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190,691</w:t>
            </w:r>
          </w:p>
        </w:tc>
        <w:tc>
          <w:tcPr>
            <w:tcW w:w="945" w:type="dxa"/>
            <w:tcBorders>
              <w:top w:val="nil"/>
              <w:left w:val="nil"/>
              <w:bottom w:val="nil"/>
            </w:tcBorders>
            <w:shd w:val="clear" w:color="auto" w:fill="auto"/>
            <w:noWrap/>
            <w:vAlign w:val="center"/>
            <w:hideMark/>
          </w:tcPr>
          <w:p w14:paraId="285DFEDA"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1,626,727</w:t>
            </w:r>
          </w:p>
        </w:tc>
      </w:tr>
      <w:tr w:rsidR="0015649E" w:rsidRPr="0084045A" w14:paraId="4AD81BD2" w14:textId="77777777" w:rsidTr="00C3352F">
        <w:trPr>
          <w:trHeight w:val="212"/>
          <w:jc w:val="center"/>
        </w:trPr>
        <w:tc>
          <w:tcPr>
            <w:tcW w:w="728" w:type="dxa"/>
            <w:vMerge/>
            <w:shd w:val="clear" w:color="auto" w:fill="auto"/>
            <w:noWrap/>
            <w:textDirection w:val="btLr"/>
            <w:vAlign w:val="center"/>
            <w:hideMark/>
          </w:tcPr>
          <w:p w14:paraId="503B5CE5"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067A306" w14:textId="588C8B96"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72E5CAE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44,660</w:t>
            </w:r>
          </w:p>
        </w:tc>
        <w:tc>
          <w:tcPr>
            <w:tcW w:w="768" w:type="dxa"/>
            <w:tcBorders>
              <w:top w:val="nil"/>
              <w:left w:val="nil"/>
              <w:bottom w:val="nil"/>
              <w:right w:val="nil"/>
            </w:tcBorders>
            <w:shd w:val="clear" w:color="auto" w:fill="auto"/>
            <w:noWrap/>
            <w:vAlign w:val="center"/>
            <w:hideMark/>
          </w:tcPr>
          <w:p w14:paraId="74A538A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18,017</w:t>
            </w:r>
          </w:p>
        </w:tc>
        <w:tc>
          <w:tcPr>
            <w:tcW w:w="847" w:type="dxa"/>
            <w:tcBorders>
              <w:top w:val="nil"/>
              <w:left w:val="nil"/>
              <w:bottom w:val="nil"/>
              <w:right w:val="nil"/>
            </w:tcBorders>
            <w:shd w:val="clear" w:color="auto" w:fill="auto"/>
            <w:noWrap/>
            <w:vAlign w:val="center"/>
            <w:hideMark/>
          </w:tcPr>
          <w:p w14:paraId="017B8F4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75,944</w:t>
            </w:r>
          </w:p>
        </w:tc>
        <w:tc>
          <w:tcPr>
            <w:tcW w:w="847" w:type="dxa"/>
            <w:tcBorders>
              <w:top w:val="nil"/>
              <w:left w:val="nil"/>
              <w:bottom w:val="nil"/>
              <w:right w:val="nil"/>
            </w:tcBorders>
            <w:shd w:val="clear" w:color="auto" w:fill="auto"/>
            <w:noWrap/>
            <w:vAlign w:val="center"/>
            <w:hideMark/>
          </w:tcPr>
          <w:p w14:paraId="7C344F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84,488</w:t>
            </w:r>
          </w:p>
        </w:tc>
        <w:tc>
          <w:tcPr>
            <w:tcW w:w="880" w:type="dxa"/>
            <w:tcBorders>
              <w:top w:val="nil"/>
              <w:left w:val="nil"/>
              <w:bottom w:val="nil"/>
              <w:right w:val="nil"/>
            </w:tcBorders>
            <w:shd w:val="clear" w:color="auto" w:fill="auto"/>
            <w:noWrap/>
            <w:vAlign w:val="center"/>
            <w:hideMark/>
          </w:tcPr>
          <w:p w14:paraId="7DCFC23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74,575</w:t>
            </w:r>
          </w:p>
        </w:tc>
        <w:tc>
          <w:tcPr>
            <w:tcW w:w="768" w:type="dxa"/>
            <w:tcBorders>
              <w:top w:val="nil"/>
              <w:left w:val="nil"/>
              <w:bottom w:val="nil"/>
              <w:right w:val="nil"/>
            </w:tcBorders>
            <w:shd w:val="clear" w:color="auto" w:fill="auto"/>
            <w:noWrap/>
            <w:vAlign w:val="center"/>
            <w:hideMark/>
          </w:tcPr>
          <w:p w14:paraId="265A266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74,697</w:t>
            </w:r>
          </w:p>
        </w:tc>
        <w:tc>
          <w:tcPr>
            <w:tcW w:w="847" w:type="dxa"/>
            <w:tcBorders>
              <w:top w:val="nil"/>
              <w:left w:val="nil"/>
              <w:bottom w:val="nil"/>
              <w:right w:val="nil"/>
            </w:tcBorders>
            <w:shd w:val="clear" w:color="auto" w:fill="auto"/>
            <w:noWrap/>
            <w:vAlign w:val="center"/>
            <w:hideMark/>
          </w:tcPr>
          <w:p w14:paraId="6B7EF07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94,755</w:t>
            </w:r>
          </w:p>
        </w:tc>
        <w:tc>
          <w:tcPr>
            <w:tcW w:w="847" w:type="dxa"/>
            <w:tcBorders>
              <w:top w:val="nil"/>
              <w:left w:val="nil"/>
              <w:bottom w:val="nil"/>
              <w:right w:val="nil"/>
            </w:tcBorders>
            <w:shd w:val="clear" w:color="auto" w:fill="auto"/>
            <w:noWrap/>
            <w:vAlign w:val="center"/>
            <w:hideMark/>
          </w:tcPr>
          <w:p w14:paraId="7FDCCD6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177,309</w:t>
            </w:r>
          </w:p>
        </w:tc>
        <w:tc>
          <w:tcPr>
            <w:tcW w:w="847" w:type="dxa"/>
            <w:tcBorders>
              <w:top w:val="nil"/>
              <w:left w:val="nil"/>
              <w:bottom w:val="nil"/>
              <w:right w:val="nil"/>
            </w:tcBorders>
            <w:shd w:val="clear" w:color="auto" w:fill="auto"/>
            <w:noWrap/>
            <w:vAlign w:val="center"/>
            <w:hideMark/>
          </w:tcPr>
          <w:p w14:paraId="54C14BD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92,679</w:t>
            </w:r>
          </w:p>
        </w:tc>
        <w:tc>
          <w:tcPr>
            <w:tcW w:w="945" w:type="dxa"/>
            <w:tcBorders>
              <w:top w:val="nil"/>
              <w:left w:val="nil"/>
              <w:bottom w:val="nil"/>
            </w:tcBorders>
            <w:shd w:val="clear" w:color="auto" w:fill="auto"/>
            <w:noWrap/>
            <w:vAlign w:val="center"/>
            <w:hideMark/>
          </w:tcPr>
          <w:p w14:paraId="1686C24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737,124</w:t>
            </w:r>
          </w:p>
        </w:tc>
      </w:tr>
      <w:tr w:rsidR="0015649E" w:rsidRPr="0084045A" w14:paraId="22B9E25E" w14:textId="77777777" w:rsidTr="00C3352F">
        <w:trPr>
          <w:trHeight w:val="151"/>
          <w:jc w:val="center"/>
        </w:trPr>
        <w:tc>
          <w:tcPr>
            <w:tcW w:w="728" w:type="dxa"/>
            <w:vMerge/>
            <w:shd w:val="clear" w:color="auto" w:fill="auto"/>
            <w:noWrap/>
            <w:textDirection w:val="btLr"/>
            <w:vAlign w:val="center"/>
            <w:hideMark/>
          </w:tcPr>
          <w:p w14:paraId="5FB0350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05F05E43" w14:textId="22D3D9B4"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715CF3B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12,818</w:t>
            </w:r>
          </w:p>
        </w:tc>
        <w:tc>
          <w:tcPr>
            <w:tcW w:w="768" w:type="dxa"/>
            <w:tcBorders>
              <w:top w:val="nil"/>
              <w:left w:val="nil"/>
              <w:bottom w:val="single" w:sz="4" w:space="0" w:color="auto"/>
              <w:right w:val="nil"/>
            </w:tcBorders>
            <w:shd w:val="clear" w:color="auto" w:fill="auto"/>
            <w:noWrap/>
            <w:vAlign w:val="center"/>
            <w:hideMark/>
          </w:tcPr>
          <w:p w14:paraId="15FDFF2F" w14:textId="0CE848D2"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6853</w:t>
            </w:r>
          </w:p>
        </w:tc>
        <w:tc>
          <w:tcPr>
            <w:tcW w:w="847" w:type="dxa"/>
            <w:tcBorders>
              <w:top w:val="nil"/>
              <w:left w:val="nil"/>
              <w:bottom w:val="single" w:sz="4" w:space="0" w:color="auto"/>
              <w:right w:val="nil"/>
            </w:tcBorders>
            <w:shd w:val="clear" w:color="auto" w:fill="auto"/>
            <w:noWrap/>
            <w:vAlign w:val="center"/>
            <w:hideMark/>
          </w:tcPr>
          <w:p w14:paraId="4C3369F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29,545</w:t>
            </w:r>
          </w:p>
        </w:tc>
        <w:tc>
          <w:tcPr>
            <w:tcW w:w="847" w:type="dxa"/>
            <w:tcBorders>
              <w:top w:val="nil"/>
              <w:left w:val="nil"/>
              <w:bottom w:val="single" w:sz="4" w:space="0" w:color="auto"/>
              <w:right w:val="nil"/>
            </w:tcBorders>
            <w:shd w:val="clear" w:color="auto" w:fill="auto"/>
            <w:noWrap/>
            <w:vAlign w:val="center"/>
            <w:hideMark/>
          </w:tcPr>
          <w:p w14:paraId="6B74216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12,041</w:t>
            </w:r>
          </w:p>
        </w:tc>
        <w:tc>
          <w:tcPr>
            <w:tcW w:w="880" w:type="dxa"/>
            <w:tcBorders>
              <w:top w:val="nil"/>
              <w:left w:val="nil"/>
              <w:bottom w:val="single" w:sz="4" w:space="0" w:color="auto"/>
              <w:right w:val="nil"/>
            </w:tcBorders>
            <w:shd w:val="clear" w:color="auto" w:fill="auto"/>
            <w:noWrap/>
            <w:vAlign w:val="center"/>
            <w:hideMark/>
          </w:tcPr>
          <w:p w14:paraId="6132915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33,053</w:t>
            </w:r>
          </w:p>
        </w:tc>
        <w:tc>
          <w:tcPr>
            <w:tcW w:w="768" w:type="dxa"/>
            <w:tcBorders>
              <w:top w:val="nil"/>
              <w:left w:val="nil"/>
              <w:bottom w:val="single" w:sz="4" w:space="0" w:color="auto"/>
              <w:right w:val="nil"/>
            </w:tcBorders>
            <w:shd w:val="clear" w:color="auto" w:fill="auto"/>
            <w:noWrap/>
            <w:vAlign w:val="center"/>
            <w:hideMark/>
          </w:tcPr>
          <w:p w14:paraId="6BFE622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11,692</w:t>
            </w:r>
          </w:p>
        </w:tc>
        <w:tc>
          <w:tcPr>
            <w:tcW w:w="847" w:type="dxa"/>
            <w:tcBorders>
              <w:top w:val="nil"/>
              <w:left w:val="nil"/>
              <w:bottom w:val="single" w:sz="4" w:space="0" w:color="auto"/>
              <w:right w:val="nil"/>
            </w:tcBorders>
            <w:shd w:val="clear" w:color="auto" w:fill="auto"/>
            <w:noWrap/>
            <w:vAlign w:val="center"/>
            <w:hideMark/>
          </w:tcPr>
          <w:p w14:paraId="1907C70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31,716</w:t>
            </w:r>
          </w:p>
        </w:tc>
        <w:tc>
          <w:tcPr>
            <w:tcW w:w="847" w:type="dxa"/>
            <w:tcBorders>
              <w:top w:val="nil"/>
              <w:left w:val="nil"/>
              <w:bottom w:val="single" w:sz="4" w:space="0" w:color="auto"/>
              <w:right w:val="nil"/>
            </w:tcBorders>
            <w:shd w:val="clear" w:color="auto" w:fill="auto"/>
            <w:noWrap/>
            <w:vAlign w:val="center"/>
            <w:hideMark/>
          </w:tcPr>
          <w:p w14:paraId="5A6A7FF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52,703</w:t>
            </w:r>
          </w:p>
        </w:tc>
        <w:tc>
          <w:tcPr>
            <w:tcW w:w="847" w:type="dxa"/>
            <w:tcBorders>
              <w:top w:val="nil"/>
              <w:left w:val="nil"/>
              <w:bottom w:val="single" w:sz="4" w:space="0" w:color="auto"/>
              <w:right w:val="nil"/>
            </w:tcBorders>
            <w:shd w:val="clear" w:color="auto" w:fill="auto"/>
            <w:noWrap/>
            <w:vAlign w:val="center"/>
            <w:hideMark/>
          </w:tcPr>
          <w:p w14:paraId="42BB808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27,421</w:t>
            </w:r>
          </w:p>
        </w:tc>
        <w:tc>
          <w:tcPr>
            <w:tcW w:w="945" w:type="dxa"/>
            <w:tcBorders>
              <w:top w:val="nil"/>
              <w:left w:val="nil"/>
              <w:bottom w:val="single" w:sz="4" w:space="0" w:color="auto"/>
            </w:tcBorders>
            <w:shd w:val="clear" w:color="auto" w:fill="auto"/>
            <w:noWrap/>
            <w:vAlign w:val="center"/>
            <w:hideMark/>
          </w:tcPr>
          <w:p w14:paraId="2E3E2FBB"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217,844</w:t>
            </w:r>
          </w:p>
        </w:tc>
      </w:tr>
      <w:tr w:rsidR="0015649E" w:rsidRPr="0084045A" w14:paraId="033D2DDC" w14:textId="77777777" w:rsidTr="00C3352F">
        <w:trPr>
          <w:trHeight w:val="212"/>
          <w:jc w:val="center"/>
        </w:trPr>
        <w:tc>
          <w:tcPr>
            <w:tcW w:w="728" w:type="dxa"/>
            <w:vMerge w:val="restart"/>
            <w:shd w:val="clear" w:color="auto" w:fill="auto"/>
            <w:noWrap/>
            <w:textDirection w:val="btLr"/>
            <w:vAlign w:val="center"/>
            <w:hideMark/>
          </w:tcPr>
          <w:p w14:paraId="502DE3E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Oaxaca</w:t>
            </w:r>
          </w:p>
        </w:tc>
        <w:tc>
          <w:tcPr>
            <w:tcW w:w="753" w:type="dxa"/>
            <w:tcBorders>
              <w:bottom w:val="nil"/>
              <w:right w:val="nil"/>
            </w:tcBorders>
            <w:vAlign w:val="center"/>
          </w:tcPr>
          <w:p w14:paraId="0B8DC248" w14:textId="34538A8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58630D0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54,418</w:t>
            </w:r>
          </w:p>
        </w:tc>
        <w:tc>
          <w:tcPr>
            <w:tcW w:w="768" w:type="dxa"/>
            <w:tcBorders>
              <w:left w:val="nil"/>
              <w:bottom w:val="nil"/>
              <w:right w:val="nil"/>
            </w:tcBorders>
            <w:shd w:val="clear" w:color="auto" w:fill="auto"/>
            <w:noWrap/>
            <w:vAlign w:val="center"/>
            <w:hideMark/>
          </w:tcPr>
          <w:p w14:paraId="6AF8EE8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18,535</w:t>
            </w:r>
          </w:p>
        </w:tc>
        <w:tc>
          <w:tcPr>
            <w:tcW w:w="847" w:type="dxa"/>
            <w:tcBorders>
              <w:left w:val="nil"/>
              <w:bottom w:val="nil"/>
              <w:right w:val="nil"/>
            </w:tcBorders>
            <w:shd w:val="clear" w:color="auto" w:fill="auto"/>
            <w:noWrap/>
            <w:vAlign w:val="center"/>
            <w:hideMark/>
          </w:tcPr>
          <w:p w14:paraId="6AE3E1C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70,006</w:t>
            </w:r>
          </w:p>
        </w:tc>
        <w:tc>
          <w:tcPr>
            <w:tcW w:w="847" w:type="dxa"/>
            <w:tcBorders>
              <w:left w:val="nil"/>
              <w:bottom w:val="nil"/>
              <w:right w:val="nil"/>
            </w:tcBorders>
            <w:shd w:val="clear" w:color="auto" w:fill="auto"/>
            <w:noWrap/>
            <w:vAlign w:val="center"/>
            <w:hideMark/>
          </w:tcPr>
          <w:p w14:paraId="435A3BD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49,734</w:t>
            </w:r>
          </w:p>
        </w:tc>
        <w:tc>
          <w:tcPr>
            <w:tcW w:w="880" w:type="dxa"/>
            <w:tcBorders>
              <w:left w:val="nil"/>
              <w:bottom w:val="nil"/>
              <w:right w:val="nil"/>
            </w:tcBorders>
            <w:shd w:val="clear" w:color="auto" w:fill="auto"/>
            <w:noWrap/>
            <w:vAlign w:val="center"/>
            <w:hideMark/>
          </w:tcPr>
          <w:p w14:paraId="77B6236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62,848</w:t>
            </w:r>
          </w:p>
        </w:tc>
        <w:tc>
          <w:tcPr>
            <w:tcW w:w="768" w:type="dxa"/>
            <w:tcBorders>
              <w:left w:val="nil"/>
              <w:bottom w:val="nil"/>
              <w:right w:val="nil"/>
            </w:tcBorders>
            <w:shd w:val="clear" w:color="auto" w:fill="auto"/>
            <w:noWrap/>
            <w:vAlign w:val="center"/>
            <w:hideMark/>
          </w:tcPr>
          <w:p w14:paraId="217A36F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44,565</w:t>
            </w:r>
          </w:p>
        </w:tc>
        <w:tc>
          <w:tcPr>
            <w:tcW w:w="847" w:type="dxa"/>
            <w:tcBorders>
              <w:left w:val="nil"/>
              <w:bottom w:val="nil"/>
              <w:right w:val="nil"/>
            </w:tcBorders>
            <w:shd w:val="clear" w:color="auto" w:fill="auto"/>
            <w:noWrap/>
            <w:vAlign w:val="center"/>
            <w:hideMark/>
          </w:tcPr>
          <w:p w14:paraId="689C3D7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43,912</w:t>
            </w:r>
          </w:p>
        </w:tc>
        <w:tc>
          <w:tcPr>
            <w:tcW w:w="847" w:type="dxa"/>
            <w:tcBorders>
              <w:left w:val="nil"/>
              <w:bottom w:val="nil"/>
              <w:right w:val="nil"/>
            </w:tcBorders>
            <w:shd w:val="clear" w:color="auto" w:fill="auto"/>
            <w:noWrap/>
            <w:vAlign w:val="center"/>
            <w:hideMark/>
          </w:tcPr>
          <w:p w14:paraId="4CEF930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75,465</w:t>
            </w:r>
          </w:p>
        </w:tc>
        <w:tc>
          <w:tcPr>
            <w:tcW w:w="847" w:type="dxa"/>
            <w:tcBorders>
              <w:left w:val="nil"/>
              <w:bottom w:val="nil"/>
              <w:right w:val="nil"/>
            </w:tcBorders>
            <w:shd w:val="clear" w:color="auto" w:fill="auto"/>
            <w:noWrap/>
            <w:vAlign w:val="center"/>
            <w:hideMark/>
          </w:tcPr>
          <w:p w14:paraId="1DE7D98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50,392</w:t>
            </w:r>
          </w:p>
        </w:tc>
        <w:tc>
          <w:tcPr>
            <w:tcW w:w="945" w:type="dxa"/>
            <w:tcBorders>
              <w:left w:val="nil"/>
              <w:bottom w:val="nil"/>
            </w:tcBorders>
            <w:shd w:val="clear" w:color="auto" w:fill="auto"/>
            <w:noWrap/>
            <w:vAlign w:val="center"/>
            <w:hideMark/>
          </w:tcPr>
          <w:p w14:paraId="62918236"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469,875</w:t>
            </w:r>
          </w:p>
        </w:tc>
      </w:tr>
      <w:tr w:rsidR="0015649E" w:rsidRPr="0084045A" w14:paraId="76897FC0" w14:textId="77777777" w:rsidTr="00C3352F">
        <w:trPr>
          <w:trHeight w:val="212"/>
          <w:jc w:val="center"/>
        </w:trPr>
        <w:tc>
          <w:tcPr>
            <w:tcW w:w="728" w:type="dxa"/>
            <w:vMerge/>
            <w:shd w:val="clear" w:color="auto" w:fill="auto"/>
            <w:noWrap/>
            <w:textDirection w:val="btLr"/>
            <w:vAlign w:val="center"/>
            <w:hideMark/>
          </w:tcPr>
          <w:p w14:paraId="5D14F509"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0809493F" w14:textId="03F7645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674B9A6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86,536</w:t>
            </w:r>
          </w:p>
        </w:tc>
        <w:tc>
          <w:tcPr>
            <w:tcW w:w="768" w:type="dxa"/>
            <w:tcBorders>
              <w:top w:val="nil"/>
              <w:left w:val="nil"/>
              <w:bottom w:val="nil"/>
              <w:right w:val="nil"/>
            </w:tcBorders>
            <w:shd w:val="clear" w:color="auto" w:fill="auto"/>
            <w:noWrap/>
            <w:vAlign w:val="center"/>
            <w:hideMark/>
          </w:tcPr>
          <w:p w14:paraId="5A6E405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38,857</w:t>
            </w:r>
          </w:p>
        </w:tc>
        <w:tc>
          <w:tcPr>
            <w:tcW w:w="847" w:type="dxa"/>
            <w:tcBorders>
              <w:top w:val="nil"/>
              <w:left w:val="nil"/>
              <w:bottom w:val="nil"/>
              <w:right w:val="nil"/>
            </w:tcBorders>
            <w:shd w:val="clear" w:color="auto" w:fill="auto"/>
            <w:noWrap/>
            <w:vAlign w:val="center"/>
            <w:hideMark/>
          </w:tcPr>
          <w:p w14:paraId="52A675C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129,120</w:t>
            </w:r>
          </w:p>
        </w:tc>
        <w:tc>
          <w:tcPr>
            <w:tcW w:w="847" w:type="dxa"/>
            <w:tcBorders>
              <w:top w:val="nil"/>
              <w:left w:val="nil"/>
              <w:bottom w:val="nil"/>
              <w:right w:val="nil"/>
            </w:tcBorders>
            <w:shd w:val="clear" w:color="auto" w:fill="auto"/>
            <w:noWrap/>
            <w:vAlign w:val="center"/>
            <w:hideMark/>
          </w:tcPr>
          <w:p w14:paraId="570089D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76,581</w:t>
            </w:r>
          </w:p>
        </w:tc>
        <w:tc>
          <w:tcPr>
            <w:tcW w:w="880" w:type="dxa"/>
            <w:tcBorders>
              <w:top w:val="nil"/>
              <w:left w:val="nil"/>
              <w:bottom w:val="nil"/>
              <w:right w:val="nil"/>
            </w:tcBorders>
            <w:shd w:val="clear" w:color="auto" w:fill="auto"/>
            <w:noWrap/>
            <w:vAlign w:val="center"/>
            <w:hideMark/>
          </w:tcPr>
          <w:p w14:paraId="4AB5BCD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121,963</w:t>
            </w:r>
          </w:p>
        </w:tc>
        <w:tc>
          <w:tcPr>
            <w:tcW w:w="768" w:type="dxa"/>
            <w:tcBorders>
              <w:top w:val="nil"/>
              <w:left w:val="nil"/>
              <w:bottom w:val="nil"/>
              <w:right w:val="nil"/>
            </w:tcBorders>
            <w:shd w:val="clear" w:color="auto" w:fill="auto"/>
            <w:noWrap/>
            <w:vAlign w:val="center"/>
            <w:hideMark/>
          </w:tcPr>
          <w:p w14:paraId="3919C6D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82,405</w:t>
            </w:r>
          </w:p>
        </w:tc>
        <w:tc>
          <w:tcPr>
            <w:tcW w:w="847" w:type="dxa"/>
            <w:tcBorders>
              <w:top w:val="nil"/>
              <w:left w:val="nil"/>
              <w:bottom w:val="nil"/>
              <w:right w:val="nil"/>
            </w:tcBorders>
            <w:shd w:val="clear" w:color="auto" w:fill="auto"/>
            <w:noWrap/>
            <w:vAlign w:val="center"/>
            <w:hideMark/>
          </w:tcPr>
          <w:p w14:paraId="2CED037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112,612</w:t>
            </w:r>
          </w:p>
        </w:tc>
        <w:tc>
          <w:tcPr>
            <w:tcW w:w="847" w:type="dxa"/>
            <w:tcBorders>
              <w:top w:val="nil"/>
              <w:left w:val="nil"/>
              <w:bottom w:val="nil"/>
              <w:right w:val="nil"/>
            </w:tcBorders>
            <w:shd w:val="clear" w:color="auto" w:fill="auto"/>
            <w:noWrap/>
            <w:vAlign w:val="center"/>
            <w:hideMark/>
          </w:tcPr>
          <w:p w14:paraId="1BA9AC6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141,753</w:t>
            </w:r>
          </w:p>
        </w:tc>
        <w:tc>
          <w:tcPr>
            <w:tcW w:w="847" w:type="dxa"/>
            <w:tcBorders>
              <w:top w:val="nil"/>
              <w:left w:val="nil"/>
              <w:bottom w:val="nil"/>
              <w:right w:val="nil"/>
            </w:tcBorders>
            <w:shd w:val="clear" w:color="auto" w:fill="auto"/>
            <w:noWrap/>
            <w:vAlign w:val="center"/>
            <w:hideMark/>
          </w:tcPr>
          <w:p w14:paraId="5748385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97,021</w:t>
            </w:r>
          </w:p>
        </w:tc>
        <w:tc>
          <w:tcPr>
            <w:tcW w:w="945" w:type="dxa"/>
            <w:tcBorders>
              <w:top w:val="nil"/>
              <w:left w:val="nil"/>
              <w:bottom w:val="nil"/>
            </w:tcBorders>
            <w:shd w:val="clear" w:color="auto" w:fill="auto"/>
            <w:noWrap/>
            <w:vAlign w:val="center"/>
            <w:hideMark/>
          </w:tcPr>
          <w:p w14:paraId="08A68002"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886,848</w:t>
            </w:r>
          </w:p>
        </w:tc>
      </w:tr>
      <w:tr w:rsidR="0015649E" w:rsidRPr="0084045A" w14:paraId="51800839" w14:textId="77777777" w:rsidTr="00C3352F">
        <w:trPr>
          <w:trHeight w:val="212"/>
          <w:jc w:val="center"/>
        </w:trPr>
        <w:tc>
          <w:tcPr>
            <w:tcW w:w="728" w:type="dxa"/>
            <w:vMerge/>
            <w:shd w:val="clear" w:color="auto" w:fill="auto"/>
            <w:noWrap/>
            <w:textDirection w:val="btLr"/>
            <w:vAlign w:val="center"/>
            <w:hideMark/>
          </w:tcPr>
          <w:p w14:paraId="13F6DD5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00961E5D" w14:textId="44D0657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1A177B6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93,365</w:t>
            </w:r>
          </w:p>
        </w:tc>
        <w:tc>
          <w:tcPr>
            <w:tcW w:w="768" w:type="dxa"/>
            <w:tcBorders>
              <w:top w:val="nil"/>
              <w:left w:val="nil"/>
              <w:bottom w:val="nil"/>
              <w:right w:val="nil"/>
            </w:tcBorders>
            <w:shd w:val="clear" w:color="auto" w:fill="auto"/>
            <w:noWrap/>
            <w:vAlign w:val="center"/>
            <w:hideMark/>
          </w:tcPr>
          <w:p w14:paraId="11E5D8F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44,458</w:t>
            </w:r>
          </w:p>
        </w:tc>
        <w:tc>
          <w:tcPr>
            <w:tcW w:w="847" w:type="dxa"/>
            <w:tcBorders>
              <w:top w:val="nil"/>
              <w:left w:val="nil"/>
              <w:bottom w:val="nil"/>
              <w:right w:val="nil"/>
            </w:tcBorders>
            <w:shd w:val="clear" w:color="auto" w:fill="auto"/>
            <w:noWrap/>
            <w:vAlign w:val="center"/>
            <w:hideMark/>
          </w:tcPr>
          <w:p w14:paraId="39C04F3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147,312</w:t>
            </w:r>
          </w:p>
        </w:tc>
        <w:tc>
          <w:tcPr>
            <w:tcW w:w="847" w:type="dxa"/>
            <w:tcBorders>
              <w:top w:val="nil"/>
              <w:left w:val="nil"/>
              <w:bottom w:val="nil"/>
              <w:right w:val="nil"/>
            </w:tcBorders>
            <w:shd w:val="clear" w:color="auto" w:fill="auto"/>
            <w:noWrap/>
            <w:vAlign w:val="center"/>
            <w:hideMark/>
          </w:tcPr>
          <w:p w14:paraId="21AB888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170,699</w:t>
            </w:r>
          </w:p>
        </w:tc>
        <w:tc>
          <w:tcPr>
            <w:tcW w:w="880" w:type="dxa"/>
            <w:tcBorders>
              <w:top w:val="nil"/>
              <w:left w:val="nil"/>
              <w:bottom w:val="nil"/>
              <w:right w:val="nil"/>
            </w:tcBorders>
            <w:shd w:val="clear" w:color="auto" w:fill="auto"/>
            <w:noWrap/>
            <w:vAlign w:val="center"/>
            <w:hideMark/>
          </w:tcPr>
          <w:p w14:paraId="4CA22E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113,602</w:t>
            </w:r>
          </w:p>
        </w:tc>
        <w:tc>
          <w:tcPr>
            <w:tcW w:w="768" w:type="dxa"/>
            <w:tcBorders>
              <w:top w:val="nil"/>
              <w:left w:val="nil"/>
              <w:bottom w:val="nil"/>
              <w:right w:val="nil"/>
            </w:tcBorders>
            <w:shd w:val="clear" w:color="auto" w:fill="auto"/>
            <w:noWrap/>
            <w:vAlign w:val="center"/>
            <w:hideMark/>
          </w:tcPr>
          <w:p w14:paraId="04DA696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134,438</w:t>
            </w:r>
          </w:p>
        </w:tc>
        <w:tc>
          <w:tcPr>
            <w:tcW w:w="847" w:type="dxa"/>
            <w:tcBorders>
              <w:top w:val="nil"/>
              <w:left w:val="nil"/>
              <w:bottom w:val="nil"/>
              <w:right w:val="nil"/>
            </w:tcBorders>
            <w:shd w:val="clear" w:color="auto" w:fill="auto"/>
            <w:noWrap/>
            <w:vAlign w:val="center"/>
            <w:hideMark/>
          </w:tcPr>
          <w:p w14:paraId="4A0A5B4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114,260</w:t>
            </w:r>
          </w:p>
        </w:tc>
        <w:tc>
          <w:tcPr>
            <w:tcW w:w="847" w:type="dxa"/>
            <w:tcBorders>
              <w:top w:val="nil"/>
              <w:left w:val="nil"/>
              <w:bottom w:val="nil"/>
              <w:right w:val="nil"/>
            </w:tcBorders>
            <w:shd w:val="clear" w:color="auto" w:fill="auto"/>
            <w:noWrap/>
            <w:vAlign w:val="center"/>
            <w:hideMark/>
          </w:tcPr>
          <w:p w14:paraId="0A5D6C5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193,590</w:t>
            </w:r>
          </w:p>
        </w:tc>
        <w:tc>
          <w:tcPr>
            <w:tcW w:w="847" w:type="dxa"/>
            <w:tcBorders>
              <w:top w:val="nil"/>
              <w:left w:val="nil"/>
              <w:bottom w:val="nil"/>
              <w:right w:val="nil"/>
            </w:tcBorders>
            <w:shd w:val="clear" w:color="auto" w:fill="auto"/>
            <w:noWrap/>
            <w:vAlign w:val="center"/>
            <w:hideMark/>
          </w:tcPr>
          <w:p w14:paraId="3D13325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131,320</w:t>
            </w:r>
          </w:p>
        </w:tc>
        <w:tc>
          <w:tcPr>
            <w:tcW w:w="945" w:type="dxa"/>
            <w:tcBorders>
              <w:top w:val="nil"/>
              <w:left w:val="nil"/>
              <w:bottom w:val="nil"/>
            </w:tcBorders>
            <w:shd w:val="clear" w:color="auto" w:fill="auto"/>
            <w:noWrap/>
            <w:vAlign w:val="center"/>
            <w:hideMark/>
          </w:tcPr>
          <w:p w14:paraId="247FAF9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1,143,046</w:t>
            </w:r>
          </w:p>
        </w:tc>
      </w:tr>
      <w:tr w:rsidR="0015649E" w:rsidRPr="0084045A" w14:paraId="4852F9D7" w14:textId="77777777" w:rsidTr="00C3352F">
        <w:trPr>
          <w:trHeight w:val="212"/>
          <w:jc w:val="center"/>
        </w:trPr>
        <w:tc>
          <w:tcPr>
            <w:tcW w:w="728" w:type="dxa"/>
            <w:vMerge/>
            <w:shd w:val="clear" w:color="auto" w:fill="auto"/>
            <w:noWrap/>
            <w:textDirection w:val="btLr"/>
            <w:vAlign w:val="center"/>
            <w:hideMark/>
          </w:tcPr>
          <w:p w14:paraId="37C860C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D35859E" w14:textId="09D28C76"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2953B14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34,845</w:t>
            </w:r>
          </w:p>
        </w:tc>
        <w:tc>
          <w:tcPr>
            <w:tcW w:w="768" w:type="dxa"/>
            <w:tcBorders>
              <w:top w:val="nil"/>
              <w:left w:val="nil"/>
              <w:bottom w:val="nil"/>
              <w:right w:val="nil"/>
            </w:tcBorders>
            <w:shd w:val="clear" w:color="auto" w:fill="auto"/>
            <w:noWrap/>
            <w:vAlign w:val="center"/>
            <w:hideMark/>
          </w:tcPr>
          <w:p w14:paraId="0AC4B11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13,861</w:t>
            </w:r>
          </w:p>
        </w:tc>
        <w:tc>
          <w:tcPr>
            <w:tcW w:w="847" w:type="dxa"/>
            <w:tcBorders>
              <w:top w:val="nil"/>
              <w:left w:val="nil"/>
              <w:bottom w:val="nil"/>
              <w:right w:val="nil"/>
            </w:tcBorders>
            <w:shd w:val="clear" w:color="auto" w:fill="auto"/>
            <w:noWrap/>
            <w:vAlign w:val="center"/>
            <w:hideMark/>
          </w:tcPr>
          <w:p w14:paraId="36CA46A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57,612</w:t>
            </w:r>
          </w:p>
        </w:tc>
        <w:tc>
          <w:tcPr>
            <w:tcW w:w="847" w:type="dxa"/>
            <w:tcBorders>
              <w:top w:val="nil"/>
              <w:left w:val="nil"/>
              <w:bottom w:val="nil"/>
              <w:right w:val="nil"/>
            </w:tcBorders>
            <w:shd w:val="clear" w:color="auto" w:fill="auto"/>
            <w:noWrap/>
            <w:vAlign w:val="center"/>
            <w:hideMark/>
          </w:tcPr>
          <w:p w14:paraId="0904335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63,200</w:t>
            </w:r>
          </w:p>
        </w:tc>
        <w:tc>
          <w:tcPr>
            <w:tcW w:w="880" w:type="dxa"/>
            <w:tcBorders>
              <w:top w:val="nil"/>
              <w:left w:val="nil"/>
              <w:bottom w:val="nil"/>
              <w:right w:val="nil"/>
            </w:tcBorders>
            <w:shd w:val="clear" w:color="auto" w:fill="auto"/>
            <w:noWrap/>
            <w:vAlign w:val="center"/>
            <w:hideMark/>
          </w:tcPr>
          <w:p w14:paraId="0132EBA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55,008</w:t>
            </w:r>
          </w:p>
        </w:tc>
        <w:tc>
          <w:tcPr>
            <w:tcW w:w="768" w:type="dxa"/>
            <w:tcBorders>
              <w:top w:val="nil"/>
              <w:left w:val="nil"/>
              <w:bottom w:val="nil"/>
              <w:right w:val="nil"/>
            </w:tcBorders>
            <w:shd w:val="clear" w:color="auto" w:fill="auto"/>
            <w:noWrap/>
            <w:vAlign w:val="center"/>
            <w:hideMark/>
          </w:tcPr>
          <w:p w14:paraId="19860A2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54,331</w:t>
            </w:r>
          </w:p>
        </w:tc>
        <w:tc>
          <w:tcPr>
            <w:tcW w:w="847" w:type="dxa"/>
            <w:tcBorders>
              <w:top w:val="nil"/>
              <w:left w:val="nil"/>
              <w:bottom w:val="nil"/>
              <w:right w:val="nil"/>
            </w:tcBorders>
            <w:shd w:val="clear" w:color="auto" w:fill="auto"/>
            <w:noWrap/>
            <w:vAlign w:val="center"/>
            <w:hideMark/>
          </w:tcPr>
          <w:p w14:paraId="463F65E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67,869</w:t>
            </w:r>
          </w:p>
        </w:tc>
        <w:tc>
          <w:tcPr>
            <w:tcW w:w="847" w:type="dxa"/>
            <w:tcBorders>
              <w:top w:val="nil"/>
              <w:left w:val="nil"/>
              <w:bottom w:val="nil"/>
              <w:right w:val="nil"/>
            </w:tcBorders>
            <w:shd w:val="clear" w:color="auto" w:fill="auto"/>
            <w:noWrap/>
            <w:vAlign w:val="center"/>
            <w:hideMark/>
          </w:tcPr>
          <w:p w14:paraId="093488E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125,087</w:t>
            </w:r>
          </w:p>
        </w:tc>
        <w:tc>
          <w:tcPr>
            <w:tcW w:w="847" w:type="dxa"/>
            <w:tcBorders>
              <w:top w:val="nil"/>
              <w:left w:val="nil"/>
              <w:bottom w:val="nil"/>
              <w:right w:val="nil"/>
            </w:tcBorders>
            <w:shd w:val="clear" w:color="auto" w:fill="auto"/>
            <w:noWrap/>
            <w:vAlign w:val="center"/>
            <w:hideMark/>
          </w:tcPr>
          <w:p w14:paraId="3F74B00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64,423</w:t>
            </w:r>
          </w:p>
        </w:tc>
        <w:tc>
          <w:tcPr>
            <w:tcW w:w="945" w:type="dxa"/>
            <w:tcBorders>
              <w:top w:val="nil"/>
              <w:left w:val="nil"/>
              <w:bottom w:val="nil"/>
            </w:tcBorders>
            <w:shd w:val="clear" w:color="auto" w:fill="auto"/>
            <w:noWrap/>
            <w:vAlign w:val="center"/>
            <w:hideMark/>
          </w:tcPr>
          <w:p w14:paraId="7A91D98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536,236</w:t>
            </w:r>
          </w:p>
        </w:tc>
      </w:tr>
      <w:tr w:rsidR="0015649E" w:rsidRPr="0084045A" w14:paraId="06BE0753" w14:textId="77777777" w:rsidTr="00C3352F">
        <w:trPr>
          <w:trHeight w:val="77"/>
          <w:jc w:val="center"/>
        </w:trPr>
        <w:tc>
          <w:tcPr>
            <w:tcW w:w="728" w:type="dxa"/>
            <w:vMerge/>
            <w:shd w:val="clear" w:color="auto" w:fill="auto"/>
            <w:noWrap/>
            <w:textDirection w:val="btLr"/>
            <w:vAlign w:val="center"/>
            <w:hideMark/>
          </w:tcPr>
          <w:p w14:paraId="3247993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7FCE2407" w14:textId="6D633DBE"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2249183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13,108</w:t>
            </w:r>
          </w:p>
        </w:tc>
        <w:tc>
          <w:tcPr>
            <w:tcW w:w="768" w:type="dxa"/>
            <w:tcBorders>
              <w:top w:val="nil"/>
              <w:left w:val="nil"/>
              <w:bottom w:val="single" w:sz="4" w:space="0" w:color="auto"/>
              <w:right w:val="nil"/>
            </w:tcBorders>
            <w:shd w:val="clear" w:color="auto" w:fill="auto"/>
            <w:noWrap/>
            <w:vAlign w:val="center"/>
            <w:hideMark/>
          </w:tcPr>
          <w:p w14:paraId="69325FE0" w14:textId="463E562A"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6919</w:t>
            </w:r>
          </w:p>
        </w:tc>
        <w:tc>
          <w:tcPr>
            <w:tcW w:w="847" w:type="dxa"/>
            <w:tcBorders>
              <w:top w:val="nil"/>
              <w:left w:val="nil"/>
              <w:bottom w:val="single" w:sz="4" w:space="0" w:color="auto"/>
              <w:right w:val="nil"/>
            </w:tcBorders>
            <w:shd w:val="clear" w:color="auto" w:fill="auto"/>
            <w:noWrap/>
            <w:vAlign w:val="center"/>
            <w:hideMark/>
          </w:tcPr>
          <w:p w14:paraId="4C94FE2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29,443</w:t>
            </w:r>
          </w:p>
        </w:tc>
        <w:tc>
          <w:tcPr>
            <w:tcW w:w="847" w:type="dxa"/>
            <w:tcBorders>
              <w:top w:val="nil"/>
              <w:left w:val="nil"/>
              <w:bottom w:val="single" w:sz="4" w:space="0" w:color="auto"/>
              <w:right w:val="nil"/>
            </w:tcBorders>
            <w:shd w:val="clear" w:color="auto" w:fill="auto"/>
            <w:noWrap/>
            <w:vAlign w:val="center"/>
            <w:hideMark/>
          </w:tcPr>
          <w:p w14:paraId="0AE7CA1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11,843</w:t>
            </w:r>
          </w:p>
        </w:tc>
        <w:tc>
          <w:tcPr>
            <w:tcW w:w="880" w:type="dxa"/>
            <w:tcBorders>
              <w:top w:val="nil"/>
              <w:left w:val="nil"/>
              <w:bottom w:val="single" w:sz="4" w:space="0" w:color="auto"/>
              <w:right w:val="nil"/>
            </w:tcBorders>
            <w:shd w:val="clear" w:color="auto" w:fill="auto"/>
            <w:noWrap/>
            <w:vAlign w:val="center"/>
            <w:hideMark/>
          </w:tcPr>
          <w:p w14:paraId="79414BC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32,075</w:t>
            </w:r>
          </w:p>
        </w:tc>
        <w:tc>
          <w:tcPr>
            <w:tcW w:w="768" w:type="dxa"/>
            <w:tcBorders>
              <w:top w:val="nil"/>
              <w:left w:val="nil"/>
              <w:bottom w:val="single" w:sz="4" w:space="0" w:color="auto"/>
              <w:right w:val="nil"/>
            </w:tcBorders>
            <w:shd w:val="clear" w:color="auto" w:fill="auto"/>
            <w:noWrap/>
            <w:vAlign w:val="center"/>
            <w:hideMark/>
          </w:tcPr>
          <w:p w14:paraId="590495D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11,193</w:t>
            </w:r>
          </w:p>
        </w:tc>
        <w:tc>
          <w:tcPr>
            <w:tcW w:w="847" w:type="dxa"/>
            <w:tcBorders>
              <w:top w:val="nil"/>
              <w:left w:val="nil"/>
              <w:bottom w:val="single" w:sz="4" w:space="0" w:color="auto"/>
              <w:right w:val="nil"/>
            </w:tcBorders>
            <w:shd w:val="clear" w:color="auto" w:fill="auto"/>
            <w:noWrap/>
            <w:vAlign w:val="center"/>
            <w:hideMark/>
          </w:tcPr>
          <w:p w14:paraId="1FF61C4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29,692</w:t>
            </w:r>
          </w:p>
        </w:tc>
        <w:tc>
          <w:tcPr>
            <w:tcW w:w="847" w:type="dxa"/>
            <w:tcBorders>
              <w:top w:val="nil"/>
              <w:left w:val="nil"/>
              <w:bottom w:val="single" w:sz="4" w:space="0" w:color="auto"/>
              <w:right w:val="nil"/>
            </w:tcBorders>
            <w:shd w:val="clear" w:color="auto" w:fill="auto"/>
            <w:noWrap/>
            <w:vAlign w:val="center"/>
            <w:hideMark/>
          </w:tcPr>
          <w:p w14:paraId="3FA76CD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48,267</w:t>
            </w:r>
          </w:p>
        </w:tc>
        <w:tc>
          <w:tcPr>
            <w:tcW w:w="847" w:type="dxa"/>
            <w:tcBorders>
              <w:top w:val="nil"/>
              <w:left w:val="nil"/>
              <w:bottom w:val="single" w:sz="4" w:space="0" w:color="auto"/>
              <w:right w:val="nil"/>
            </w:tcBorders>
            <w:shd w:val="clear" w:color="auto" w:fill="auto"/>
            <w:noWrap/>
            <w:vAlign w:val="center"/>
            <w:hideMark/>
          </w:tcPr>
          <w:p w14:paraId="1508466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24,577</w:t>
            </w:r>
          </w:p>
        </w:tc>
        <w:tc>
          <w:tcPr>
            <w:tcW w:w="945" w:type="dxa"/>
            <w:tcBorders>
              <w:top w:val="nil"/>
              <w:left w:val="nil"/>
              <w:bottom w:val="single" w:sz="4" w:space="0" w:color="auto"/>
            </w:tcBorders>
            <w:shd w:val="clear" w:color="auto" w:fill="auto"/>
            <w:noWrap/>
            <w:vAlign w:val="center"/>
            <w:hideMark/>
          </w:tcPr>
          <w:p w14:paraId="7981E1BD"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207,118</w:t>
            </w:r>
          </w:p>
        </w:tc>
      </w:tr>
      <w:tr w:rsidR="0015649E" w:rsidRPr="0084045A" w14:paraId="168E9429" w14:textId="77777777" w:rsidTr="00C3352F">
        <w:trPr>
          <w:trHeight w:val="212"/>
          <w:jc w:val="center"/>
        </w:trPr>
        <w:tc>
          <w:tcPr>
            <w:tcW w:w="728" w:type="dxa"/>
            <w:vMerge w:val="restart"/>
            <w:shd w:val="clear" w:color="auto" w:fill="auto"/>
            <w:noWrap/>
            <w:textDirection w:val="btLr"/>
            <w:vAlign w:val="center"/>
            <w:hideMark/>
          </w:tcPr>
          <w:p w14:paraId="432BB1C6"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Puebla</w:t>
            </w:r>
          </w:p>
        </w:tc>
        <w:tc>
          <w:tcPr>
            <w:tcW w:w="753" w:type="dxa"/>
            <w:tcBorders>
              <w:bottom w:val="nil"/>
              <w:right w:val="nil"/>
            </w:tcBorders>
            <w:vAlign w:val="center"/>
          </w:tcPr>
          <w:p w14:paraId="7E4FE2BA" w14:textId="134488AE"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59B9E5B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85,324</w:t>
            </w:r>
          </w:p>
        </w:tc>
        <w:tc>
          <w:tcPr>
            <w:tcW w:w="768" w:type="dxa"/>
            <w:tcBorders>
              <w:left w:val="nil"/>
              <w:bottom w:val="nil"/>
              <w:right w:val="nil"/>
            </w:tcBorders>
            <w:shd w:val="clear" w:color="auto" w:fill="auto"/>
            <w:noWrap/>
            <w:vAlign w:val="center"/>
            <w:hideMark/>
          </w:tcPr>
          <w:p w14:paraId="4BAD955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29,125</w:t>
            </w:r>
          </w:p>
        </w:tc>
        <w:tc>
          <w:tcPr>
            <w:tcW w:w="847" w:type="dxa"/>
            <w:tcBorders>
              <w:left w:val="nil"/>
              <w:bottom w:val="nil"/>
              <w:right w:val="nil"/>
            </w:tcBorders>
            <w:shd w:val="clear" w:color="auto" w:fill="auto"/>
            <w:noWrap/>
            <w:vAlign w:val="center"/>
            <w:hideMark/>
          </w:tcPr>
          <w:p w14:paraId="5D46DC8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110,246</w:t>
            </w:r>
          </w:p>
        </w:tc>
        <w:tc>
          <w:tcPr>
            <w:tcW w:w="847" w:type="dxa"/>
            <w:tcBorders>
              <w:left w:val="nil"/>
              <w:bottom w:val="nil"/>
              <w:right w:val="nil"/>
            </w:tcBorders>
            <w:shd w:val="clear" w:color="auto" w:fill="auto"/>
            <w:noWrap/>
            <w:vAlign w:val="center"/>
            <w:hideMark/>
          </w:tcPr>
          <w:p w14:paraId="0286400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78,494</w:t>
            </w:r>
          </w:p>
        </w:tc>
        <w:tc>
          <w:tcPr>
            <w:tcW w:w="880" w:type="dxa"/>
            <w:tcBorders>
              <w:left w:val="nil"/>
              <w:bottom w:val="nil"/>
              <w:right w:val="nil"/>
            </w:tcBorders>
            <w:shd w:val="clear" w:color="auto" w:fill="auto"/>
            <w:noWrap/>
            <w:vAlign w:val="center"/>
            <w:hideMark/>
          </w:tcPr>
          <w:p w14:paraId="7352BCA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99,408</w:t>
            </w:r>
          </w:p>
        </w:tc>
        <w:tc>
          <w:tcPr>
            <w:tcW w:w="768" w:type="dxa"/>
            <w:tcBorders>
              <w:left w:val="nil"/>
              <w:bottom w:val="nil"/>
              <w:right w:val="nil"/>
            </w:tcBorders>
            <w:shd w:val="clear" w:color="auto" w:fill="auto"/>
            <w:noWrap/>
            <w:vAlign w:val="center"/>
            <w:hideMark/>
          </w:tcPr>
          <w:p w14:paraId="481C65C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70,643</w:t>
            </w:r>
          </w:p>
        </w:tc>
        <w:tc>
          <w:tcPr>
            <w:tcW w:w="847" w:type="dxa"/>
            <w:tcBorders>
              <w:left w:val="nil"/>
              <w:bottom w:val="nil"/>
              <w:right w:val="nil"/>
            </w:tcBorders>
            <w:shd w:val="clear" w:color="auto" w:fill="auto"/>
            <w:noWrap/>
            <w:vAlign w:val="center"/>
            <w:hideMark/>
          </w:tcPr>
          <w:p w14:paraId="04787D1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70,109</w:t>
            </w:r>
          </w:p>
        </w:tc>
        <w:tc>
          <w:tcPr>
            <w:tcW w:w="847" w:type="dxa"/>
            <w:tcBorders>
              <w:left w:val="nil"/>
              <w:bottom w:val="nil"/>
              <w:right w:val="nil"/>
            </w:tcBorders>
            <w:shd w:val="clear" w:color="auto" w:fill="auto"/>
            <w:noWrap/>
            <w:vAlign w:val="center"/>
            <w:hideMark/>
          </w:tcPr>
          <w:p w14:paraId="1D63F5B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121,269</w:t>
            </w:r>
          </w:p>
        </w:tc>
        <w:tc>
          <w:tcPr>
            <w:tcW w:w="847" w:type="dxa"/>
            <w:tcBorders>
              <w:left w:val="nil"/>
              <w:bottom w:val="nil"/>
              <w:right w:val="nil"/>
            </w:tcBorders>
            <w:shd w:val="clear" w:color="auto" w:fill="auto"/>
            <w:noWrap/>
            <w:vAlign w:val="center"/>
            <w:hideMark/>
          </w:tcPr>
          <w:p w14:paraId="1ED6017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81,378</w:t>
            </w:r>
          </w:p>
        </w:tc>
        <w:tc>
          <w:tcPr>
            <w:tcW w:w="945" w:type="dxa"/>
            <w:tcBorders>
              <w:left w:val="nil"/>
              <w:bottom w:val="nil"/>
            </w:tcBorders>
            <w:shd w:val="clear" w:color="auto" w:fill="auto"/>
            <w:noWrap/>
            <w:vAlign w:val="center"/>
            <w:hideMark/>
          </w:tcPr>
          <w:p w14:paraId="1303DEF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745,997</w:t>
            </w:r>
          </w:p>
        </w:tc>
      </w:tr>
      <w:tr w:rsidR="0015649E" w:rsidRPr="0084045A" w14:paraId="179C7629" w14:textId="77777777" w:rsidTr="00C3352F">
        <w:trPr>
          <w:trHeight w:val="212"/>
          <w:jc w:val="center"/>
        </w:trPr>
        <w:tc>
          <w:tcPr>
            <w:tcW w:w="728" w:type="dxa"/>
            <w:vMerge/>
            <w:shd w:val="clear" w:color="auto" w:fill="auto"/>
            <w:noWrap/>
            <w:textDirection w:val="btLr"/>
            <w:vAlign w:val="center"/>
            <w:hideMark/>
          </w:tcPr>
          <w:p w14:paraId="76D6B33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5A672BE" w14:textId="473C28D8"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7D8C9F3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131,568</w:t>
            </w:r>
          </w:p>
        </w:tc>
        <w:tc>
          <w:tcPr>
            <w:tcW w:w="768" w:type="dxa"/>
            <w:tcBorders>
              <w:top w:val="nil"/>
              <w:left w:val="nil"/>
              <w:bottom w:val="nil"/>
              <w:right w:val="nil"/>
            </w:tcBorders>
            <w:shd w:val="clear" w:color="auto" w:fill="auto"/>
            <w:noWrap/>
            <w:vAlign w:val="center"/>
            <w:hideMark/>
          </w:tcPr>
          <w:p w14:paraId="16C3EF2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59,461</w:t>
            </w:r>
          </w:p>
        </w:tc>
        <w:tc>
          <w:tcPr>
            <w:tcW w:w="847" w:type="dxa"/>
            <w:tcBorders>
              <w:top w:val="nil"/>
              <w:left w:val="nil"/>
              <w:bottom w:val="nil"/>
              <w:right w:val="nil"/>
            </w:tcBorders>
            <w:shd w:val="clear" w:color="auto" w:fill="auto"/>
            <w:noWrap/>
            <w:vAlign w:val="center"/>
            <w:hideMark/>
          </w:tcPr>
          <w:p w14:paraId="75BB32D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198,870</w:t>
            </w:r>
          </w:p>
        </w:tc>
        <w:tc>
          <w:tcPr>
            <w:tcW w:w="847" w:type="dxa"/>
            <w:tcBorders>
              <w:top w:val="nil"/>
              <w:left w:val="nil"/>
              <w:bottom w:val="nil"/>
              <w:right w:val="nil"/>
            </w:tcBorders>
            <w:shd w:val="clear" w:color="auto" w:fill="auto"/>
            <w:noWrap/>
            <w:vAlign w:val="center"/>
            <w:hideMark/>
          </w:tcPr>
          <w:p w14:paraId="299A435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118,721</w:t>
            </w:r>
          </w:p>
        </w:tc>
        <w:tc>
          <w:tcPr>
            <w:tcW w:w="880" w:type="dxa"/>
            <w:tcBorders>
              <w:top w:val="nil"/>
              <w:left w:val="nil"/>
              <w:bottom w:val="nil"/>
              <w:right w:val="nil"/>
            </w:tcBorders>
            <w:shd w:val="clear" w:color="auto" w:fill="auto"/>
            <w:noWrap/>
            <w:vAlign w:val="center"/>
            <w:hideMark/>
          </w:tcPr>
          <w:p w14:paraId="1E1717E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190,319</w:t>
            </w:r>
          </w:p>
        </w:tc>
        <w:tc>
          <w:tcPr>
            <w:tcW w:w="768" w:type="dxa"/>
            <w:tcBorders>
              <w:top w:val="nil"/>
              <w:left w:val="nil"/>
              <w:bottom w:val="nil"/>
              <w:right w:val="nil"/>
            </w:tcBorders>
            <w:shd w:val="clear" w:color="auto" w:fill="auto"/>
            <w:noWrap/>
            <w:vAlign w:val="center"/>
            <w:hideMark/>
          </w:tcPr>
          <w:p w14:paraId="76FDFAC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129,445</w:t>
            </w:r>
          </w:p>
        </w:tc>
        <w:tc>
          <w:tcPr>
            <w:tcW w:w="847" w:type="dxa"/>
            <w:tcBorders>
              <w:top w:val="nil"/>
              <w:left w:val="nil"/>
              <w:bottom w:val="nil"/>
              <w:right w:val="nil"/>
            </w:tcBorders>
            <w:shd w:val="clear" w:color="auto" w:fill="auto"/>
            <w:noWrap/>
            <w:vAlign w:val="center"/>
            <w:hideMark/>
          </w:tcPr>
          <w:p w14:paraId="088B4F3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177,086</w:t>
            </w:r>
          </w:p>
        </w:tc>
        <w:tc>
          <w:tcPr>
            <w:tcW w:w="847" w:type="dxa"/>
            <w:tcBorders>
              <w:top w:val="nil"/>
              <w:left w:val="nil"/>
              <w:bottom w:val="nil"/>
              <w:right w:val="nil"/>
            </w:tcBorders>
            <w:shd w:val="clear" w:color="auto" w:fill="auto"/>
            <w:noWrap/>
            <w:vAlign w:val="center"/>
            <w:hideMark/>
          </w:tcPr>
          <w:p w14:paraId="6369874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223,187</w:t>
            </w:r>
          </w:p>
        </w:tc>
        <w:tc>
          <w:tcPr>
            <w:tcW w:w="847" w:type="dxa"/>
            <w:tcBorders>
              <w:top w:val="nil"/>
              <w:left w:val="nil"/>
              <w:bottom w:val="nil"/>
              <w:right w:val="nil"/>
            </w:tcBorders>
            <w:shd w:val="clear" w:color="auto" w:fill="auto"/>
            <w:noWrap/>
            <w:vAlign w:val="center"/>
            <w:hideMark/>
          </w:tcPr>
          <w:p w14:paraId="62779A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152,993</w:t>
            </w:r>
          </w:p>
        </w:tc>
        <w:tc>
          <w:tcPr>
            <w:tcW w:w="945" w:type="dxa"/>
            <w:tcBorders>
              <w:top w:val="nil"/>
              <w:left w:val="nil"/>
              <w:bottom w:val="nil"/>
            </w:tcBorders>
            <w:shd w:val="clear" w:color="auto" w:fill="auto"/>
            <w:noWrap/>
            <w:vAlign w:val="center"/>
            <w:hideMark/>
          </w:tcPr>
          <w:p w14:paraId="216AC1E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1,381,650</w:t>
            </w:r>
          </w:p>
        </w:tc>
      </w:tr>
      <w:tr w:rsidR="0015649E" w:rsidRPr="0084045A" w14:paraId="54ED550E" w14:textId="77777777" w:rsidTr="00C3352F">
        <w:trPr>
          <w:trHeight w:val="212"/>
          <w:jc w:val="center"/>
        </w:trPr>
        <w:tc>
          <w:tcPr>
            <w:tcW w:w="728" w:type="dxa"/>
            <w:vMerge/>
            <w:shd w:val="clear" w:color="auto" w:fill="auto"/>
            <w:noWrap/>
            <w:textDirection w:val="btLr"/>
            <w:vAlign w:val="center"/>
            <w:hideMark/>
          </w:tcPr>
          <w:p w14:paraId="686DB6D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40B6B68" w14:textId="69F7B1B2"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55245BC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148,573</w:t>
            </w:r>
          </w:p>
        </w:tc>
        <w:tc>
          <w:tcPr>
            <w:tcW w:w="768" w:type="dxa"/>
            <w:tcBorders>
              <w:top w:val="nil"/>
              <w:left w:val="nil"/>
              <w:bottom w:val="nil"/>
              <w:right w:val="nil"/>
            </w:tcBorders>
            <w:shd w:val="clear" w:color="auto" w:fill="auto"/>
            <w:noWrap/>
            <w:vAlign w:val="center"/>
            <w:hideMark/>
          </w:tcPr>
          <w:p w14:paraId="6EE2E4A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71,051</w:t>
            </w:r>
          </w:p>
        </w:tc>
        <w:tc>
          <w:tcPr>
            <w:tcW w:w="847" w:type="dxa"/>
            <w:tcBorders>
              <w:top w:val="nil"/>
              <w:left w:val="nil"/>
              <w:bottom w:val="nil"/>
              <w:right w:val="nil"/>
            </w:tcBorders>
            <w:shd w:val="clear" w:color="auto" w:fill="auto"/>
            <w:noWrap/>
            <w:vAlign w:val="center"/>
            <w:hideMark/>
          </w:tcPr>
          <w:p w14:paraId="116B777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236,436</w:t>
            </w:r>
          </w:p>
        </w:tc>
        <w:tc>
          <w:tcPr>
            <w:tcW w:w="847" w:type="dxa"/>
            <w:tcBorders>
              <w:top w:val="nil"/>
              <w:left w:val="nil"/>
              <w:bottom w:val="nil"/>
              <w:right w:val="nil"/>
            </w:tcBorders>
            <w:shd w:val="clear" w:color="auto" w:fill="auto"/>
            <w:noWrap/>
            <w:vAlign w:val="center"/>
            <w:hideMark/>
          </w:tcPr>
          <w:p w14:paraId="62D3207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275,149</w:t>
            </w:r>
          </w:p>
        </w:tc>
        <w:tc>
          <w:tcPr>
            <w:tcW w:w="880" w:type="dxa"/>
            <w:tcBorders>
              <w:top w:val="nil"/>
              <w:left w:val="nil"/>
              <w:bottom w:val="nil"/>
              <w:right w:val="nil"/>
            </w:tcBorders>
            <w:shd w:val="clear" w:color="auto" w:fill="auto"/>
            <w:noWrap/>
            <w:vAlign w:val="center"/>
            <w:hideMark/>
          </w:tcPr>
          <w:p w14:paraId="5891685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183,897</w:t>
            </w:r>
          </w:p>
        </w:tc>
        <w:tc>
          <w:tcPr>
            <w:tcW w:w="768" w:type="dxa"/>
            <w:tcBorders>
              <w:top w:val="nil"/>
              <w:left w:val="nil"/>
              <w:bottom w:val="nil"/>
              <w:right w:val="nil"/>
            </w:tcBorders>
            <w:shd w:val="clear" w:color="auto" w:fill="auto"/>
            <w:noWrap/>
            <w:vAlign w:val="center"/>
            <w:hideMark/>
          </w:tcPr>
          <w:p w14:paraId="5D5BEBA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218,551</w:t>
            </w:r>
          </w:p>
        </w:tc>
        <w:tc>
          <w:tcPr>
            <w:tcW w:w="847" w:type="dxa"/>
            <w:tcBorders>
              <w:top w:val="nil"/>
              <w:left w:val="nil"/>
              <w:bottom w:val="nil"/>
              <w:right w:val="nil"/>
            </w:tcBorders>
            <w:shd w:val="clear" w:color="auto" w:fill="auto"/>
            <w:noWrap/>
            <w:vAlign w:val="center"/>
            <w:hideMark/>
          </w:tcPr>
          <w:p w14:paraId="2A6B512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186,570</w:t>
            </w:r>
          </w:p>
        </w:tc>
        <w:tc>
          <w:tcPr>
            <w:tcW w:w="847" w:type="dxa"/>
            <w:tcBorders>
              <w:top w:val="nil"/>
              <w:left w:val="nil"/>
              <w:bottom w:val="nil"/>
              <w:right w:val="nil"/>
            </w:tcBorders>
            <w:shd w:val="clear" w:color="auto" w:fill="auto"/>
            <w:noWrap/>
            <w:vAlign w:val="center"/>
            <w:hideMark/>
          </w:tcPr>
          <w:p w14:paraId="72156B4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317,463</w:t>
            </w:r>
          </w:p>
        </w:tc>
        <w:tc>
          <w:tcPr>
            <w:tcW w:w="847" w:type="dxa"/>
            <w:tcBorders>
              <w:top w:val="nil"/>
              <w:left w:val="nil"/>
              <w:bottom w:val="nil"/>
              <w:right w:val="nil"/>
            </w:tcBorders>
            <w:shd w:val="clear" w:color="auto" w:fill="auto"/>
            <w:noWrap/>
            <w:vAlign w:val="center"/>
            <w:hideMark/>
          </w:tcPr>
          <w:p w14:paraId="3AC19DB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216,238</w:t>
            </w:r>
          </w:p>
        </w:tc>
        <w:tc>
          <w:tcPr>
            <w:tcW w:w="945" w:type="dxa"/>
            <w:tcBorders>
              <w:top w:val="nil"/>
              <w:left w:val="nil"/>
              <w:bottom w:val="nil"/>
            </w:tcBorders>
            <w:shd w:val="clear" w:color="auto" w:fill="auto"/>
            <w:noWrap/>
            <w:vAlign w:val="center"/>
            <w:hideMark/>
          </w:tcPr>
          <w:p w14:paraId="30CD742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1,853,929</w:t>
            </w:r>
          </w:p>
        </w:tc>
      </w:tr>
      <w:tr w:rsidR="0015649E" w:rsidRPr="0084045A" w14:paraId="4CF0C236" w14:textId="77777777" w:rsidTr="00C3352F">
        <w:trPr>
          <w:trHeight w:val="212"/>
          <w:jc w:val="center"/>
        </w:trPr>
        <w:tc>
          <w:tcPr>
            <w:tcW w:w="728" w:type="dxa"/>
            <w:vMerge/>
            <w:shd w:val="clear" w:color="auto" w:fill="auto"/>
            <w:noWrap/>
            <w:textDirection w:val="btLr"/>
            <w:vAlign w:val="center"/>
            <w:hideMark/>
          </w:tcPr>
          <w:p w14:paraId="2FE4DAF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9B1309C" w14:textId="5E68E197"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1DA2CCA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49,887</w:t>
            </w:r>
          </w:p>
        </w:tc>
        <w:tc>
          <w:tcPr>
            <w:tcW w:w="768" w:type="dxa"/>
            <w:tcBorders>
              <w:top w:val="nil"/>
              <w:left w:val="nil"/>
              <w:bottom w:val="nil"/>
              <w:right w:val="nil"/>
            </w:tcBorders>
            <w:shd w:val="clear" w:color="auto" w:fill="auto"/>
            <w:noWrap/>
            <w:vAlign w:val="center"/>
            <w:hideMark/>
          </w:tcPr>
          <w:p w14:paraId="0992FA5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19,985</w:t>
            </w:r>
          </w:p>
        </w:tc>
        <w:tc>
          <w:tcPr>
            <w:tcW w:w="847" w:type="dxa"/>
            <w:tcBorders>
              <w:top w:val="nil"/>
              <w:left w:val="nil"/>
              <w:bottom w:val="nil"/>
              <w:right w:val="nil"/>
            </w:tcBorders>
            <w:shd w:val="clear" w:color="auto" w:fill="auto"/>
            <w:noWrap/>
            <w:vAlign w:val="center"/>
            <w:hideMark/>
          </w:tcPr>
          <w:p w14:paraId="669BA2B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83,658</w:t>
            </w:r>
          </w:p>
        </w:tc>
        <w:tc>
          <w:tcPr>
            <w:tcW w:w="847" w:type="dxa"/>
            <w:tcBorders>
              <w:top w:val="nil"/>
              <w:left w:val="nil"/>
              <w:bottom w:val="nil"/>
              <w:right w:val="nil"/>
            </w:tcBorders>
            <w:shd w:val="clear" w:color="auto" w:fill="auto"/>
            <w:noWrap/>
            <w:vAlign w:val="center"/>
            <w:hideMark/>
          </w:tcPr>
          <w:p w14:paraId="7BBF2E8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92,430</w:t>
            </w:r>
          </w:p>
        </w:tc>
        <w:tc>
          <w:tcPr>
            <w:tcW w:w="880" w:type="dxa"/>
            <w:tcBorders>
              <w:top w:val="nil"/>
              <w:left w:val="nil"/>
              <w:bottom w:val="nil"/>
              <w:right w:val="nil"/>
            </w:tcBorders>
            <w:shd w:val="clear" w:color="auto" w:fill="auto"/>
            <w:noWrap/>
            <w:vAlign w:val="center"/>
            <w:hideMark/>
          </w:tcPr>
          <w:p w14:paraId="7068291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81,032</w:t>
            </w:r>
          </w:p>
        </w:tc>
        <w:tc>
          <w:tcPr>
            <w:tcW w:w="768" w:type="dxa"/>
            <w:tcBorders>
              <w:top w:val="nil"/>
              <w:left w:val="nil"/>
              <w:bottom w:val="nil"/>
              <w:right w:val="nil"/>
            </w:tcBorders>
            <w:shd w:val="clear" w:color="auto" w:fill="auto"/>
            <w:noWrap/>
            <w:vAlign w:val="center"/>
            <w:hideMark/>
          </w:tcPr>
          <w:p w14:paraId="66FE08F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80,619</w:t>
            </w:r>
          </w:p>
        </w:tc>
        <w:tc>
          <w:tcPr>
            <w:tcW w:w="847" w:type="dxa"/>
            <w:tcBorders>
              <w:top w:val="nil"/>
              <w:left w:val="nil"/>
              <w:bottom w:val="nil"/>
              <w:right w:val="nil"/>
            </w:tcBorders>
            <w:shd w:val="clear" w:color="auto" w:fill="auto"/>
            <w:noWrap/>
            <w:vAlign w:val="center"/>
            <w:hideMark/>
          </w:tcPr>
          <w:p w14:paraId="3AABA87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101,462</w:t>
            </w:r>
          </w:p>
        </w:tc>
        <w:tc>
          <w:tcPr>
            <w:tcW w:w="847" w:type="dxa"/>
            <w:tcBorders>
              <w:top w:val="nil"/>
              <w:left w:val="nil"/>
              <w:bottom w:val="nil"/>
              <w:right w:val="nil"/>
            </w:tcBorders>
            <w:shd w:val="clear" w:color="auto" w:fill="auto"/>
            <w:noWrap/>
            <w:vAlign w:val="center"/>
            <w:hideMark/>
          </w:tcPr>
          <w:p w14:paraId="666A3C1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188,395</w:t>
            </w:r>
          </w:p>
        </w:tc>
        <w:tc>
          <w:tcPr>
            <w:tcW w:w="847" w:type="dxa"/>
            <w:tcBorders>
              <w:top w:val="nil"/>
              <w:left w:val="nil"/>
              <w:bottom w:val="nil"/>
              <w:right w:val="nil"/>
            </w:tcBorders>
            <w:shd w:val="clear" w:color="auto" w:fill="auto"/>
            <w:noWrap/>
            <w:vAlign w:val="center"/>
            <w:hideMark/>
          </w:tcPr>
          <w:p w14:paraId="1490F37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97,745</w:t>
            </w:r>
          </w:p>
        </w:tc>
        <w:tc>
          <w:tcPr>
            <w:tcW w:w="945" w:type="dxa"/>
            <w:tcBorders>
              <w:top w:val="nil"/>
              <w:left w:val="nil"/>
              <w:bottom w:val="nil"/>
            </w:tcBorders>
            <w:shd w:val="clear" w:color="auto" w:fill="auto"/>
            <w:noWrap/>
            <w:vAlign w:val="center"/>
            <w:hideMark/>
          </w:tcPr>
          <w:p w14:paraId="17D7CD6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795,213</w:t>
            </w:r>
          </w:p>
        </w:tc>
      </w:tr>
      <w:tr w:rsidR="0015649E" w:rsidRPr="0084045A" w14:paraId="7B8662EE" w14:textId="77777777" w:rsidTr="00C3352F">
        <w:trPr>
          <w:trHeight w:val="77"/>
          <w:jc w:val="center"/>
        </w:trPr>
        <w:tc>
          <w:tcPr>
            <w:tcW w:w="728" w:type="dxa"/>
            <w:vMerge/>
            <w:shd w:val="clear" w:color="auto" w:fill="auto"/>
            <w:noWrap/>
            <w:textDirection w:val="btLr"/>
            <w:vAlign w:val="center"/>
            <w:hideMark/>
          </w:tcPr>
          <w:p w14:paraId="4B5775D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7551C732" w14:textId="78A33538"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5D53CB8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16,538</w:t>
            </w:r>
          </w:p>
        </w:tc>
        <w:tc>
          <w:tcPr>
            <w:tcW w:w="768" w:type="dxa"/>
            <w:tcBorders>
              <w:top w:val="nil"/>
              <w:left w:val="nil"/>
              <w:bottom w:val="single" w:sz="4" w:space="0" w:color="auto"/>
              <w:right w:val="nil"/>
            </w:tcBorders>
            <w:shd w:val="clear" w:color="auto" w:fill="auto"/>
            <w:noWrap/>
            <w:vAlign w:val="center"/>
            <w:hideMark/>
          </w:tcPr>
          <w:p w14:paraId="72B44911" w14:textId="607C53BC"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8782</w:t>
            </w:r>
          </w:p>
        </w:tc>
        <w:tc>
          <w:tcPr>
            <w:tcW w:w="847" w:type="dxa"/>
            <w:tcBorders>
              <w:top w:val="nil"/>
              <w:left w:val="nil"/>
              <w:bottom w:val="single" w:sz="4" w:space="0" w:color="auto"/>
              <w:right w:val="nil"/>
            </w:tcBorders>
            <w:shd w:val="clear" w:color="auto" w:fill="auto"/>
            <w:noWrap/>
            <w:vAlign w:val="center"/>
            <w:hideMark/>
          </w:tcPr>
          <w:p w14:paraId="09640C8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37,606</w:t>
            </w:r>
          </w:p>
        </w:tc>
        <w:tc>
          <w:tcPr>
            <w:tcW w:w="847" w:type="dxa"/>
            <w:tcBorders>
              <w:top w:val="nil"/>
              <w:left w:val="nil"/>
              <w:bottom w:val="single" w:sz="4" w:space="0" w:color="auto"/>
              <w:right w:val="nil"/>
            </w:tcBorders>
            <w:shd w:val="clear" w:color="auto" w:fill="auto"/>
            <w:noWrap/>
            <w:vAlign w:val="center"/>
            <w:hideMark/>
          </w:tcPr>
          <w:p w14:paraId="5E40B07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15,221</w:t>
            </w:r>
          </w:p>
        </w:tc>
        <w:tc>
          <w:tcPr>
            <w:tcW w:w="880" w:type="dxa"/>
            <w:tcBorders>
              <w:top w:val="nil"/>
              <w:left w:val="nil"/>
              <w:bottom w:val="single" w:sz="4" w:space="0" w:color="auto"/>
              <w:right w:val="nil"/>
            </w:tcBorders>
            <w:shd w:val="clear" w:color="auto" w:fill="auto"/>
            <w:noWrap/>
            <w:vAlign w:val="center"/>
            <w:hideMark/>
          </w:tcPr>
          <w:p w14:paraId="72BEABE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41,492</w:t>
            </w:r>
          </w:p>
        </w:tc>
        <w:tc>
          <w:tcPr>
            <w:tcW w:w="768" w:type="dxa"/>
            <w:tcBorders>
              <w:top w:val="nil"/>
              <w:left w:val="nil"/>
              <w:bottom w:val="single" w:sz="4" w:space="0" w:color="auto"/>
              <w:right w:val="nil"/>
            </w:tcBorders>
            <w:shd w:val="clear" w:color="auto" w:fill="auto"/>
            <w:noWrap/>
            <w:vAlign w:val="center"/>
            <w:hideMark/>
          </w:tcPr>
          <w:p w14:paraId="17D4D11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14,574</w:t>
            </w:r>
          </w:p>
        </w:tc>
        <w:tc>
          <w:tcPr>
            <w:tcW w:w="847" w:type="dxa"/>
            <w:tcBorders>
              <w:top w:val="nil"/>
              <w:left w:val="nil"/>
              <w:bottom w:val="single" w:sz="4" w:space="0" w:color="auto"/>
              <w:right w:val="nil"/>
            </w:tcBorders>
            <w:shd w:val="clear" w:color="auto" w:fill="auto"/>
            <w:noWrap/>
            <w:vAlign w:val="center"/>
            <w:hideMark/>
          </w:tcPr>
          <w:p w14:paraId="5A66776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39,014</w:t>
            </w:r>
          </w:p>
        </w:tc>
        <w:tc>
          <w:tcPr>
            <w:tcW w:w="847" w:type="dxa"/>
            <w:tcBorders>
              <w:top w:val="nil"/>
              <w:left w:val="nil"/>
              <w:bottom w:val="single" w:sz="4" w:space="0" w:color="auto"/>
              <w:right w:val="nil"/>
            </w:tcBorders>
            <w:shd w:val="clear" w:color="auto" w:fill="auto"/>
            <w:noWrap/>
            <w:vAlign w:val="center"/>
            <w:hideMark/>
          </w:tcPr>
          <w:p w14:paraId="27FED97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64,013</w:t>
            </w:r>
          </w:p>
        </w:tc>
        <w:tc>
          <w:tcPr>
            <w:tcW w:w="847" w:type="dxa"/>
            <w:tcBorders>
              <w:top w:val="nil"/>
              <w:left w:val="nil"/>
              <w:bottom w:val="single" w:sz="4" w:space="0" w:color="auto"/>
              <w:right w:val="nil"/>
            </w:tcBorders>
            <w:shd w:val="clear" w:color="auto" w:fill="auto"/>
            <w:noWrap/>
            <w:vAlign w:val="center"/>
            <w:hideMark/>
          </w:tcPr>
          <w:p w14:paraId="76EAB06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32,904</w:t>
            </w:r>
          </w:p>
        </w:tc>
        <w:tc>
          <w:tcPr>
            <w:tcW w:w="945" w:type="dxa"/>
            <w:tcBorders>
              <w:top w:val="nil"/>
              <w:left w:val="nil"/>
              <w:bottom w:val="single" w:sz="4" w:space="0" w:color="auto"/>
            </w:tcBorders>
            <w:shd w:val="clear" w:color="auto" w:fill="auto"/>
            <w:noWrap/>
            <w:vAlign w:val="center"/>
            <w:hideMark/>
          </w:tcPr>
          <w:p w14:paraId="247D71E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270,146</w:t>
            </w:r>
          </w:p>
        </w:tc>
      </w:tr>
      <w:tr w:rsidR="0015649E" w:rsidRPr="0084045A" w14:paraId="1D2D9778" w14:textId="77777777" w:rsidTr="00C3352F">
        <w:trPr>
          <w:trHeight w:val="212"/>
          <w:jc w:val="center"/>
        </w:trPr>
        <w:tc>
          <w:tcPr>
            <w:tcW w:w="728" w:type="dxa"/>
            <w:vMerge w:val="restart"/>
            <w:shd w:val="clear" w:color="auto" w:fill="auto"/>
            <w:noWrap/>
            <w:textDirection w:val="btLr"/>
            <w:vAlign w:val="center"/>
            <w:hideMark/>
          </w:tcPr>
          <w:p w14:paraId="6D8E4C6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Querétaro</w:t>
            </w:r>
          </w:p>
        </w:tc>
        <w:tc>
          <w:tcPr>
            <w:tcW w:w="753" w:type="dxa"/>
            <w:tcBorders>
              <w:bottom w:val="nil"/>
              <w:right w:val="nil"/>
            </w:tcBorders>
            <w:vAlign w:val="center"/>
          </w:tcPr>
          <w:p w14:paraId="07151243" w14:textId="283D9D9B"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4E6A52E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25,556</w:t>
            </w:r>
          </w:p>
        </w:tc>
        <w:tc>
          <w:tcPr>
            <w:tcW w:w="768" w:type="dxa"/>
            <w:tcBorders>
              <w:left w:val="nil"/>
              <w:bottom w:val="nil"/>
              <w:right w:val="nil"/>
            </w:tcBorders>
            <w:shd w:val="clear" w:color="auto" w:fill="auto"/>
            <w:noWrap/>
            <w:vAlign w:val="center"/>
            <w:hideMark/>
          </w:tcPr>
          <w:p w14:paraId="5FFB5B7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8,822</w:t>
            </w:r>
          </w:p>
        </w:tc>
        <w:tc>
          <w:tcPr>
            <w:tcW w:w="847" w:type="dxa"/>
            <w:tcBorders>
              <w:left w:val="nil"/>
              <w:bottom w:val="nil"/>
              <w:right w:val="nil"/>
            </w:tcBorders>
            <w:shd w:val="clear" w:color="auto" w:fill="auto"/>
            <w:noWrap/>
            <w:vAlign w:val="center"/>
            <w:hideMark/>
          </w:tcPr>
          <w:p w14:paraId="48F074C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33,763</w:t>
            </w:r>
          </w:p>
        </w:tc>
        <w:tc>
          <w:tcPr>
            <w:tcW w:w="847" w:type="dxa"/>
            <w:tcBorders>
              <w:left w:val="nil"/>
              <w:bottom w:val="nil"/>
              <w:right w:val="nil"/>
            </w:tcBorders>
            <w:shd w:val="clear" w:color="auto" w:fill="auto"/>
            <w:noWrap/>
            <w:vAlign w:val="center"/>
            <w:hideMark/>
          </w:tcPr>
          <w:p w14:paraId="4BBD48B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24,302</w:t>
            </w:r>
          </w:p>
        </w:tc>
        <w:tc>
          <w:tcPr>
            <w:tcW w:w="880" w:type="dxa"/>
            <w:tcBorders>
              <w:left w:val="nil"/>
              <w:bottom w:val="nil"/>
              <w:right w:val="nil"/>
            </w:tcBorders>
            <w:shd w:val="clear" w:color="auto" w:fill="auto"/>
            <w:noWrap/>
            <w:vAlign w:val="center"/>
            <w:hideMark/>
          </w:tcPr>
          <w:p w14:paraId="379A89F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31,112</w:t>
            </w:r>
          </w:p>
        </w:tc>
        <w:tc>
          <w:tcPr>
            <w:tcW w:w="768" w:type="dxa"/>
            <w:tcBorders>
              <w:left w:val="nil"/>
              <w:bottom w:val="nil"/>
              <w:right w:val="nil"/>
            </w:tcBorders>
            <w:shd w:val="clear" w:color="auto" w:fill="auto"/>
            <w:noWrap/>
            <w:vAlign w:val="center"/>
            <w:hideMark/>
          </w:tcPr>
          <w:p w14:paraId="3EAA9BA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22,347</w:t>
            </w:r>
          </w:p>
        </w:tc>
        <w:tc>
          <w:tcPr>
            <w:tcW w:w="847" w:type="dxa"/>
            <w:tcBorders>
              <w:left w:val="nil"/>
              <w:bottom w:val="nil"/>
              <w:right w:val="nil"/>
            </w:tcBorders>
            <w:shd w:val="clear" w:color="auto" w:fill="auto"/>
            <w:noWrap/>
            <w:vAlign w:val="center"/>
            <w:hideMark/>
          </w:tcPr>
          <w:p w14:paraId="3221F28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22,441</w:t>
            </w:r>
          </w:p>
        </w:tc>
        <w:tc>
          <w:tcPr>
            <w:tcW w:w="847" w:type="dxa"/>
            <w:tcBorders>
              <w:left w:val="nil"/>
              <w:bottom w:val="nil"/>
              <w:right w:val="nil"/>
            </w:tcBorders>
            <w:shd w:val="clear" w:color="auto" w:fill="auto"/>
            <w:noWrap/>
            <w:vAlign w:val="center"/>
            <w:hideMark/>
          </w:tcPr>
          <w:p w14:paraId="5B61892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39,228</w:t>
            </w:r>
          </w:p>
        </w:tc>
        <w:tc>
          <w:tcPr>
            <w:tcW w:w="847" w:type="dxa"/>
            <w:tcBorders>
              <w:left w:val="nil"/>
              <w:bottom w:val="nil"/>
              <w:right w:val="nil"/>
            </w:tcBorders>
            <w:shd w:val="clear" w:color="auto" w:fill="auto"/>
            <w:noWrap/>
            <w:vAlign w:val="center"/>
            <w:hideMark/>
          </w:tcPr>
          <w:p w14:paraId="47D820F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26,587</w:t>
            </w:r>
          </w:p>
        </w:tc>
        <w:tc>
          <w:tcPr>
            <w:tcW w:w="945" w:type="dxa"/>
            <w:tcBorders>
              <w:left w:val="nil"/>
              <w:bottom w:val="nil"/>
            </w:tcBorders>
            <w:shd w:val="clear" w:color="auto" w:fill="auto"/>
            <w:noWrap/>
            <w:vAlign w:val="center"/>
            <w:hideMark/>
          </w:tcPr>
          <w:p w14:paraId="4974B416"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234,158</w:t>
            </w:r>
          </w:p>
        </w:tc>
      </w:tr>
      <w:tr w:rsidR="0015649E" w:rsidRPr="0084045A" w14:paraId="7FA47E52" w14:textId="77777777" w:rsidTr="00C3352F">
        <w:trPr>
          <w:trHeight w:val="212"/>
          <w:jc w:val="center"/>
        </w:trPr>
        <w:tc>
          <w:tcPr>
            <w:tcW w:w="728" w:type="dxa"/>
            <w:vMerge/>
            <w:shd w:val="clear" w:color="auto" w:fill="auto"/>
            <w:noWrap/>
            <w:textDirection w:val="btLr"/>
            <w:vAlign w:val="center"/>
            <w:hideMark/>
          </w:tcPr>
          <w:p w14:paraId="7918AA8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2524E37" w14:textId="5ED40B50"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6A8F59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39,886</w:t>
            </w:r>
          </w:p>
        </w:tc>
        <w:tc>
          <w:tcPr>
            <w:tcW w:w="768" w:type="dxa"/>
            <w:tcBorders>
              <w:top w:val="nil"/>
              <w:left w:val="nil"/>
              <w:bottom w:val="nil"/>
              <w:right w:val="nil"/>
            </w:tcBorders>
            <w:shd w:val="clear" w:color="auto" w:fill="auto"/>
            <w:noWrap/>
            <w:vAlign w:val="center"/>
            <w:hideMark/>
          </w:tcPr>
          <w:p w14:paraId="187285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18,183</w:t>
            </w:r>
          </w:p>
        </w:tc>
        <w:tc>
          <w:tcPr>
            <w:tcW w:w="847" w:type="dxa"/>
            <w:tcBorders>
              <w:top w:val="nil"/>
              <w:left w:val="nil"/>
              <w:bottom w:val="nil"/>
              <w:right w:val="nil"/>
            </w:tcBorders>
            <w:shd w:val="clear" w:color="auto" w:fill="auto"/>
            <w:noWrap/>
            <w:vAlign w:val="center"/>
            <w:hideMark/>
          </w:tcPr>
          <w:p w14:paraId="7C7CF6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61,334</w:t>
            </w:r>
          </w:p>
        </w:tc>
        <w:tc>
          <w:tcPr>
            <w:tcW w:w="847" w:type="dxa"/>
            <w:tcBorders>
              <w:top w:val="nil"/>
              <w:left w:val="nil"/>
              <w:bottom w:val="nil"/>
              <w:right w:val="nil"/>
            </w:tcBorders>
            <w:shd w:val="clear" w:color="auto" w:fill="auto"/>
            <w:noWrap/>
            <w:vAlign w:val="center"/>
            <w:hideMark/>
          </w:tcPr>
          <w:p w14:paraId="60F87A5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36,926</w:t>
            </w:r>
          </w:p>
        </w:tc>
        <w:tc>
          <w:tcPr>
            <w:tcW w:w="880" w:type="dxa"/>
            <w:tcBorders>
              <w:top w:val="nil"/>
              <w:left w:val="nil"/>
              <w:bottom w:val="nil"/>
              <w:right w:val="nil"/>
            </w:tcBorders>
            <w:shd w:val="clear" w:color="auto" w:fill="auto"/>
            <w:noWrap/>
            <w:vAlign w:val="center"/>
            <w:hideMark/>
          </w:tcPr>
          <w:p w14:paraId="377AFE4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59,694</w:t>
            </w:r>
          </w:p>
        </w:tc>
        <w:tc>
          <w:tcPr>
            <w:tcW w:w="768" w:type="dxa"/>
            <w:tcBorders>
              <w:top w:val="nil"/>
              <w:left w:val="nil"/>
              <w:bottom w:val="nil"/>
              <w:right w:val="nil"/>
            </w:tcBorders>
            <w:shd w:val="clear" w:color="auto" w:fill="auto"/>
            <w:noWrap/>
            <w:vAlign w:val="center"/>
            <w:hideMark/>
          </w:tcPr>
          <w:p w14:paraId="0478CD7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40,940</w:t>
            </w:r>
          </w:p>
        </w:tc>
        <w:tc>
          <w:tcPr>
            <w:tcW w:w="847" w:type="dxa"/>
            <w:tcBorders>
              <w:top w:val="nil"/>
              <w:left w:val="nil"/>
              <w:bottom w:val="nil"/>
              <w:right w:val="nil"/>
            </w:tcBorders>
            <w:shd w:val="clear" w:color="auto" w:fill="auto"/>
            <w:noWrap/>
            <w:vAlign w:val="center"/>
            <w:hideMark/>
          </w:tcPr>
          <w:p w14:paraId="2970385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56,325</w:t>
            </w:r>
          </w:p>
        </w:tc>
        <w:tc>
          <w:tcPr>
            <w:tcW w:w="847" w:type="dxa"/>
            <w:tcBorders>
              <w:top w:val="nil"/>
              <w:left w:val="nil"/>
              <w:bottom w:val="nil"/>
              <w:right w:val="nil"/>
            </w:tcBorders>
            <w:shd w:val="clear" w:color="auto" w:fill="auto"/>
            <w:noWrap/>
            <w:vAlign w:val="center"/>
            <w:hideMark/>
          </w:tcPr>
          <w:p w14:paraId="512EF63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71,424</w:t>
            </w:r>
          </w:p>
        </w:tc>
        <w:tc>
          <w:tcPr>
            <w:tcW w:w="847" w:type="dxa"/>
            <w:tcBorders>
              <w:top w:val="nil"/>
              <w:left w:val="nil"/>
              <w:bottom w:val="nil"/>
              <w:right w:val="nil"/>
            </w:tcBorders>
            <w:shd w:val="clear" w:color="auto" w:fill="auto"/>
            <w:noWrap/>
            <w:vAlign w:val="center"/>
            <w:hideMark/>
          </w:tcPr>
          <w:p w14:paraId="11A973A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49,282</w:t>
            </w:r>
          </w:p>
        </w:tc>
        <w:tc>
          <w:tcPr>
            <w:tcW w:w="945" w:type="dxa"/>
            <w:tcBorders>
              <w:top w:val="nil"/>
              <w:left w:val="nil"/>
              <w:bottom w:val="nil"/>
            </w:tcBorders>
            <w:shd w:val="clear" w:color="auto" w:fill="auto"/>
            <w:noWrap/>
            <w:vAlign w:val="center"/>
            <w:hideMark/>
          </w:tcPr>
          <w:p w14:paraId="2CC794C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433,993</w:t>
            </w:r>
          </w:p>
        </w:tc>
      </w:tr>
      <w:tr w:rsidR="0015649E" w:rsidRPr="0084045A" w14:paraId="29740BFA" w14:textId="77777777" w:rsidTr="00C3352F">
        <w:trPr>
          <w:trHeight w:val="212"/>
          <w:jc w:val="center"/>
        </w:trPr>
        <w:tc>
          <w:tcPr>
            <w:tcW w:w="728" w:type="dxa"/>
            <w:vMerge/>
            <w:shd w:val="clear" w:color="auto" w:fill="auto"/>
            <w:noWrap/>
            <w:textDirection w:val="btLr"/>
            <w:vAlign w:val="center"/>
            <w:hideMark/>
          </w:tcPr>
          <w:p w14:paraId="648F07A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E26434D" w14:textId="07C2EB4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7CF0B77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49,714</w:t>
            </w:r>
          </w:p>
        </w:tc>
        <w:tc>
          <w:tcPr>
            <w:tcW w:w="768" w:type="dxa"/>
            <w:tcBorders>
              <w:top w:val="nil"/>
              <w:left w:val="nil"/>
              <w:bottom w:val="nil"/>
              <w:right w:val="nil"/>
            </w:tcBorders>
            <w:shd w:val="clear" w:color="auto" w:fill="auto"/>
            <w:noWrap/>
            <w:vAlign w:val="center"/>
            <w:hideMark/>
          </w:tcPr>
          <w:p w14:paraId="39BA35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24,026</w:t>
            </w:r>
          </w:p>
        </w:tc>
        <w:tc>
          <w:tcPr>
            <w:tcW w:w="847" w:type="dxa"/>
            <w:tcBorders>
              <w:top w:val="nil"/>
              <w:left w:val="nil"/>
              <w:bottom w:val="nil"/>
              <w:right w:val="nil"/>
            </w:tcBorders>
            <w:shd w:val="clear" w:color="auto" w:fill="auto"/>
            <w:noWrap/>
            <w:vAlign w:val="center"/>
            <w:hideMark/>
          </w:tcPr>
          <w:p w14:paraId="37922D2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80,785</w:t>
            </w:r>
          </w:p>
        </w:tc>
        <w:tc>
          <w:tcPr>
            <w:tcW w:w="847" w:type="dxa"/>
            <w:tcBorders>
              <w:top w:val="nil"/>
              <w:left w:val="nil"/>
              <w:bottom w:val="nil"/>
              <w:right w:val="nil"/>
            </w:tcBorders>
            <w:shd w:val="clear" w:color="auto" w:fill="auto"/>
            <w:noWrap/>
            <w:vAlign w:val="center"/>
            <w:hideMark/>
          </w:tcPr>
          <w:p w14:paraId="7DDC286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94,980</w:t>
            </w:r>
          </w:p>
        </w:tc>
        <w:tc>
          <w:tcPr>
            <w:tcW w:w="880" w:type="dxa"/>
            <w:tcBorders>
              <w:top w:val="nil"/>
              <w:left w:val="nil"/>
              <w:bottom w:val="nil"/>
              <w:right w:val="nil"/>
            </w:tcBorders>
            <w:shd w:val="clear" w:color="auto" w:fill="auto"/>
            <w:noWrap/>
            <w:vAlign w:val="center"/>
            <w:hideMark/>
          </w:tcPr>
          <w:p w14:paraId="020710C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64,126</w:t>
            </w:r>
          </w:p>
        </w:tc>
        <w:tc>
          <w:tcPr>
            <w:tcW w:w="768" w:type="dxa"/>
            <w:tcBorders>
              <w:top w:val="nil"/>
              <w:left w:val="nil"/>
              <w:bottom w:val="nil"/>
              <w:right w:val="nil"/>
            </w:tcBorders>
            <w:shd w:val="clear" w:color="auto" w:fill="auto"/>
            <w:noWrap/>
            <w:vAlign w:val="center"/>
            <w:hideMark/>
          </w:tcPr>
          <w:p w14:paraId="641C35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76,975</w:t>
            </w:r>
          </w:p>
        </w:tc>
        <w:tc>
          <w:tcPr>
            <w:tcW w:w="847" w:type="dxa"/>
            <w:tcBorders>
              <w:top w:val="nil"/>
              <w:left w:val="nil"/>
              <w:bottom w:val="nil"/>
              <w:right w:val="nil"/>
            </w:tcBorders>
            <w:shd w:val="clear" w:color="auto" w:fill="auto"/>
            <w:noWrap/>
            <w:vAlign w:val="center"/>
            <w:hideMark/>
          </w:tcPr>
          <w:p w14:paraId="292C36D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66,276</w:t>
            </w:r>
          </w:p>
        </w:tc>
        <w:tc>
          <w:tcPr>
            <w:tcW w:w="847" w:type="dxa"/>
            <w:tcBorders>
              <w:top w:val="nil"/>
              <w:left w:val="nil"/>
              <w:bottom w:val="nil"/>
              <w:right w:val="nil"/>
            </w:tcBorders>
            <w:shd w:val="clear" w:color="auto" w:fill="auto"/>
            <w:noWrap/>
            <w:vAlign w:val="center"/>
            <w:hideMark/>
          </w:tcPr>
          <w:p w14:paraId="20410EB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113,681</w:t>
            </w:r>
          </w:p>
        </w:tc>
        <w:tc>
          <w:tcPr>
            <w:tcW w:w="847" w:type="dxa"/>
            <w:tcBorders>
              <w:top w:val="nil"/>
              <w:left w:val="nil"/>
              <w:bottom w:val="nil"/>
              <w:right w:val="nil"/>
            </w:tcBorders>
            <w:shd w:val="clear" w:color="auto" w:fill="auto"/>
            <w:noWrap/>
            <w:vAlign w:val="center"/>
            <w:hideMark/>
          </w:tcPr>
          <w:p w14:paraId="7ADEE4F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78,018</w:t>
            </w:r>
          </w:p>
        </w:tc>
        <w:tc>
          <w:tcPr>
            <w:tcW w:w="945" w:type="dxa"/>
            <w:tcBorders>
              <w:top w:val="nil"/>
              <w:left w:val="nil"/>
              <w:bottom w:val="nil"/>
            </w:tcBorders>
            <w:shd w:val="clear" w:color="auto" w:fill="auto"/>
            <w:noWrap/>
            <w:vAlign w:val="center"/>
            <w:hideMark/>
          </w:tcPr>
          <w:p w14:paraId="54039B92"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648,580</w:t>
            </w:r>
          </w:p>
        </w:tc>
      </w:tr>
      <w:tr w:rsidR="0015649E" w:rsidRPr="0084045A" w14:paraId="563F09E9" w14:textId="77777777" w:rsidTr="00C3352F">
        <w:trPr>
          <w:trHeight w:val="212"/>
          <w:jc w:val="center"/>
        </w:trPr>
        <w:tc>
          <w:tcPr>
            <w:tcW w:w="728" w:type="dxa"/>
            <w:vMerge/>
            <w:shd w:val="clear" w:color="auto" w:fill="auto"/>
            <w:noWrap/>
            <w:textDirection w:val="btLr"/>
            <w:vAlign w:val="center"/>
            <w:hideMark/>
          </w:tcPr>
          <w:p w14:paraId="63FC4ACA"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60CE0079" w14:textId="5BC80BBB"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59F4FAA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15,235</w:t>
            </w:r>
          </w:p>
        </w:tc>
        <w:tc>
          <w:tcPr>
            <w:tcW w:w="768" w:type="dxa"/>
            <w:tcBorders>
              <w:top w:val="nil"/>
              <w:left w:val="nil"/>
              <w:bottom w:val="nil"/>
              <w:right w:val="nil"/>
            </w:tcBorders>
            <w:shd w:val="clear" w:color="auto" w:fill="auto"/>
            <w:noWrap/>
            <w:vAlign w:val="center"/>
            <w:hideMark/>
          </w:tcPr>
          <w:p w14:paraId="264174B9" w14:textId="1CA5424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6190</w:t>
            </w:r>
          </w:p>
        </w:tc>
        <w:tc>
          <w:tcPr>
            <w:tcW w:w="847" w:type="dxa"/>
            <w:tcBorders>
              <w:top w:val="nil"/>
              <w:left w:val="nil"/>
              <w:bottom w:val="nil"/>
              <w:right w:val="nil"/>
            </w:tcBorders>
            <w:shd w:val="clear" w:color="auto" w:fill="auto"/>
            <w:noWrap/>
            <w:vAlign w:val="center"/>
            <w:hideMark/>
          </w:tcPr>
          <w:p w14:paraId="3827A7B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26,279</w:t>
            </w:r>
          </w:p>
        </w:tc>
        <w:tc>
          <w:tcPr>
            <w:tcW w:w="847" w:type="dxa"/>
            <w:tcBorders>
              <w:top w:val="nil"/>
              <w:left w:val="nil"/>
              <w:bottom w:val="nil"/>
              <w:right w:val="nil"/>
            </w:tcBorders>
            <w:shd w:val="clear" w:color="auto" w:fill="auto"/>
            <w:noWrap/>
            <w:vAlign w:val="center"/>
            <w:hideMark/>
          </w:tcPr>
          <w:p w14:paraId="6458D38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29,439</w:t>
            </w:r>
          </w:p>
        </w:tc>
        <w:tc>
          <w:tcPr>
            <w:tcW w:w="880" w:type="dxa"/>
            <w:tcBorders>
              <w:top w:val="nil"/>
              <w:left w:val="nil"/>
              <w:bottom w:val="nil"/>
              <w:right w:val="nil"/>
            </w:tcBorders>
            <w:shd w:val="clear" w:color="auto" w:fill="auto"/>
            <w:noWrap/>
            <w:vAlign w:val="center"/>
            <w:hideMark/>
          </w:tcPr>
          <w:p w14:paraId="3EB855B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26,165</w:t>
            </w:r>
          </w:p>
        </w:tc>
        <w:tc>
          <w:tcPr>
            <w:tcW w:w="768" w:type="dxa"/>
            <w:tcBorders>
              <w:top w:val="nil"/>
              <w:left w:val="nil"/>
              <w:bottom w:val="nil"/>
              <w:right w:val="nil"/>
            </w:tcBorders>
            <w:shd w:val="clear" w:color="auto" w:fill="auto"/>
            <w:noWrap/>
            <w:vAlign w:val="center"/>
            <w:hideMark/>
          </w:tcPr>
          <w:p w14:paraId="40BCF54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26,386</w:t>
            </w:r>
          </w:p>
        </w:tc>
        <w:tc>
          <w:tcPr>
            <w:tcW w:w="847" w:type="dxa"/>
            <w:tcBorders>
              <w:top w:val="nil"/>
              <w:left w:val="nil"/>
              <w:bottom w:val="nil"/>
              <w:right w:val="nil"/>
            </w:tcBorders>
            <w:shd w:val="clear" w:color="auto" w:fill="auto"/>
            <w:noWrap/>
            <w:vAlign w:val="center"/>
            <w:hideMark/>
          </w:tcPr>
          <w:p w14:paraId="2C1A1CD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33,676</w:t>
            </w:r>
          </w:p>
        </w:tc>
        <w:tc>
          <w:tcPr>
            <w:tcW w:w="847" w:type="dxa"/>
            <w:tcBorders>
              <w:top w:val="nil"/>
              <w:left w:val="nil"/>
              <w:bottom w:val="nil"/>
              <w:right w:val="nil"/>
            </w:tcBorders>
            <w:shd w:val="clear" w:color="auto" w:fill="auto"/>
            <w:noWrap/>
            <w:vAlign w:val="center"/>
            <w:hideMark/>
          </w:tcPr>
          <w:p w14:paraId="00D1A74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63,385</w:t>
            </w:r>
          </w:p>
        </w:tc>
        <w:tc>
          <w:tcPr>
            <w:tcW w:w="847" w:type="dxa"/>
            <w:tcBorders>
              <w:top w:val="nil"/>
              <w:left w:val="nil"/>
              <w:bottom w:val="nil"/>
              <w:right w:val="nil"/>
            </w:tcBorders>
            <w:shd w:val="clear" w:color="auto" w:fill="auto"/>
            <w:noWrap/>
            <w:vAlign w:val="center"/>
            <w:hideMark/>
          </w:tcPr>
          <w:p w14:paraId="060BC8C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33,324</w:t>
            </w:r>
          </w:p>
        </w:tc>
        <w:tc>
          <w:tcPr>
            <w:tcW w:w="945" w:type="dxa"/>
            <w:tcBorders>
              <w:top w:val="nil"/>
              <w:left w:val="nil"/>
              <w:bottom w:val="nil"/>
            </w:tcBorders>
            <w:shd w:val="clear" w:color="auto" w:fill="auto"/>
            <w:noWrap/>
            <w:vAlign w:val="center"/>
            <w:hideMark/>
          </w:tcPr>
          <w:p w14:paraId="0D216C2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260,079</w:t>
            </w:r>
          </w:p>
        </w:tc>
      </w:tr>
      <w:tr w:rsidR="0015649E" w:rsidRPr="0084045A" w14:paraId="3CF8E749" w14:textId="77777777" w:rsidTr="00C3352F">
        <w:trPr>
          <w:trHeight w:val="212"/>
          <w:jc w:val="center"/>
        </w:trPr>
        <w:tc>
          <w:tcPr>
            <w:tcW w:w="728" w:type="dxa"/>
            <w:vMerge/>
            <w:shd w:val="clear" w:color="auto" w:fill="auto"/>
            <w:noWrap/>
            <w:textDirection w:val="btLr"/>
            <w:vAlign w:val="center"/>
            <w:hideMark/>
          </w:tcPr>
          <w:p w14:paraId="4B6C263D"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0F03C21D" w14:textId="2476ED16"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1E3A7EBF" w14:textId="0AEC04EC"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4286</w:t>
            </w:r>
          </w:p>
        </w:tc>
        <w:tc>
          <w:tcPr>
            <w:tcW w:w="768" w:type="dxa"/>
            <w:tcBorders>
              <w:top w:val="nil"/>
              <w:left w:val="nil"/>
              <w:bottom w:val="single" w:sz="4" w:space="0" w:color="auto"/>
              <w:right w:val="nil"/>
            </w:tcBorders>
            <w:shd w:val="clear" w:color="auto" w:fill="auto"/>
            <w:noWrap/>
            <w:vAlign w:val="center"/>
            <w:hideMark/>
          </w:tcPr>
          <w:p w14:paraId="451D1F4E" w14:textId="1B85798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2300</w:t>
            </w:r>
          </w:p>
        </w:tc>
        <w:tc>
          <w:tcPr>
            <w:tcW w:w="847" w:type="dxa"/>
            <w:tcBorders>
              <w:top w:val="nil"/>
              <w:left w:val="nil"/>
              <w:bottom w:val="single" w:sz="4" w:space="0" w:color="auto"/>
              <w:right w:val="nil"/>
            </w:tcBorders>
            <w:shd w:val="clear" w:color="auto" w:fill="auto"/>
            <w:noWrap/>
            <w:vAlign w:val="center"/>
            <w:hideMark/>
          </w:tcPr>
          <w:p w14:paraId="0946DCD7" w14:textId="6A93CE7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9953</w:t>
            </w:r>
          </w:p>
        </w:tc>
        <w:tc>
          <w:tcPr>
            <w:tcW w:w="847" w:type="dxa"/>
            <w:tcBorders>
              <w:top w:val="nil"/>
              <w:left w:val="nil"/>
              <w:bottom w:val="single" w:sz="4" w:space="0" w:color="auto"/>
              <w:right w:val="nil"/>
            </w:tcBorders>
            <w:shd w:val="clear" w:color="auto" w:fill="auto"/>
            <w:noWrap/>
            <w:vAlign w:val="center"/>
            <w:hideMark/>
          </w:tcPr>
          <w:p w14:paraId="7E92CDFD" w14:textId="43647B5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4071</w:t>
            </w:r>
          </w:p>
        </w:tc>
        <w:tc>
          <w:tcPr>
            <w:tcW w:w="880" w:type="dxa"/>
            <w:tcBorders>
              <w:top w:val="nil"/>
              <w:left w:val="nil"/>
              <w:bottom w:val="single" w:sz="4" w:space="0" w:color="auto"/>
              <w:right w:val="nil"/>
            </w:tcBorders>
            <w:shd w:val="clear" w:color="auto" w:fill="auto"/>
            <w:noWrap/>
            <w:vAlign w:val="center"/>
            <w:hideMark/>
          </w:tcPr>
          <w:p w14:paraId="60F5515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11,215</w:t>
            </w:r>
          </w:p>
        </w:tc>
        <w:tc>
          <w:tcPr>
            <w:tcW w:w="768" w:type="dxa"/>
            <w:tcBorders>
              <w:top w:val="nil"/>
              <w:left w:val="nil"/>
              <w:bottom w:val="single" w:sz="4" w:space="0" w:color="auto"/>
              <w:right w:val="nil"/>
            </w:tcBorders>
            <w:shd w:val="clear" w:color="auto" w:fill="auto"/>
            <w:noWrap/>
            <w:vAlign w:val="center"/>
            <w:hideMark/>
          </w:tcPr>
          <w:p w14:paraId="3E3EE002" w14:textId="00DC260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3981</w:t>
            </w:r>
          </w:p>
        </w:tc>
        <w:tc>
          <w:tcPr>
            <w:tcW w:w="847" w:type="dxa"/>
            <w:tcBorders>
              <w:top w:val="nil"/>
              <w:left w:val="nil"/>
              <w:bottom w:val="single" w:sz="4" w:space="0" w:color="auto"/>
              <w:right w:val="nil"/>
            </w:tcBorders>
            <w:shd w:val="clear" w:color="auto" w:fill="auto"/>
            <w:noWrap/>
            <w:vAlign w:val="center"/>
            <w:hideMark/>
          </w:tcPr>
          <w:p w14:paraId="0D247F4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10,870</w:t>
            </w:r>
          </w:p>
        </w:tc>
        <w:tc>
          <w:tcPr>
            <w:tcW w:w="847" w:type="dxa"/>
            <w:tcBorders>
              <w:top w:val="nil"/>
              <w:left w:val="nil"/>
              <w:bottom w:val="single" w:sz="4" w:space="0" w:color="auto"/>
              <w:right w:val="nil"/>
            </w:tcBorders>
            <w:shd w:val="clear" w:color="auto" w:fill="auto"/>
            <w:noWrap/>
            <w:vAlign w:val="center"/>
            <w:hideMark/>
          </w:tcPr>
          <w:p w14:paraId="4C3466E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18,185</w:t>
            </w:r>
          </w:p>
        </w:tc>
        <w:tc>
          <w:tcPr>
            <w:tcW w:w="847" w:type="dxa"/>
            <w:tcBorders>
              <w:top w:val="nil"/>
              <w:left w:val="nil"/>
              <w:bottom w:val="single" w:sz="4" w:space="0" w:color="auto"/>
              <w:right w:val="nil"/>
            </w:tcBorders>
            <w:shd w:val="clear" w:color="auto" w:fill="auto"/>
            <w:noWrap/>
            <w:vAlign w:val="center"/>
            <w:hideMark/>
          </w:tcPr>
          <w:p w14:paraId="115C2255" w14:textId="18AB8C3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9529</w:t>
            </w:r>
          </w:p>
        </w:tc>
        <w:tc>
          <w:tcPr>
            <w:tcW w:w="945" w:type="dxa"/>
            <w:tcBorders>
              <w:top w:val="nil"/>
              <w:left w:val="nil"/>
              <w:bottom w:val="single" w:sz="4" w:space="0" w:color="auto"/>
            </w:tcBorders>
            <w:shd w:val="clear" w:color="auto" w:fill="auto"/>
            <w:noWrap/>
            <w:vAlign w:val="center"/>
            <w:hideMark/>
          </w:tcPr>
          <w:p w14:paraId="169DC0C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74,390</w:t>
            </w:r>
          </w:p>
        </w:tc>
      </w:tr>
      <w:tr w:rsidR="0015649E" w:rsidRPr="0084045A" w14:paraId="5D0556AD" w14:textId="77777777" w:rsidTr="00C3352F">
        <w:trPr>
          <w:trHeight w:val="212"/>
          <w:jc w:val="center"/>
        </w:trPr>
        <w:tc>
          <w:tcPr>
            <w:tcW w:w="728" w:type="dxa"/>
            <w:vMerge w:val="restart"/>
            <w:shd w:val="clear" w:color="auto" w:fill="auto"/>
            <w:noWrap/>
            <w:textDirection w:val="btLr"/>
            <w:vAlign w:val="center"/>
            <w:hideMark/>
          </w:tcPr>
          <w:p w14:paraId="33CDAB52"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lastRenderedPageBreak/>
              <w:t>Quintana Roo</w:t>
            </w:r>
          </w:p>
        </w:tc>
        <w:tc>
          <w:tcPr>
            <w:tcW w:w="753" w:type="dxa"/>
            <w:tcBorders>
              <w:bottom w:val="nil"/>
              <w:right w:val="nil"/>
            </w:tcBorders>
            <w:vAlign w:val="center"/>
          </w:tcPr>
          <w:p w14:paraId="74322D6C" w14:textId="01722AE8"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440570C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19,159</w:t>
            </w:r>
          </w:p>
        </w:tc>
        <w:tc>
          <w:tcPr>
            <w:tcW w:w="768" w:type="dxa"/>
            <w:tcBorders>
              <w:left w:val="nil"/>
              <w:bottom w:val="nil"/>
              <w:right w:val="nil"/>
            </w:tcBorders>
            <w:shd w:val="clear" w:color="auto" w:fill="auto"/>
            <w:noWrap/>
            <w:vAlign w:val="center"/>
            <w:hideMark/>
          </w:tcPr>
          <w:p w14:paraId="1FC3AB4E" w14:textId="082F2A9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6612</w:t>
            </w:r>
          </w:p>
        </w:tc>
        <w:tc>
          <w:tcPr>
            <w:tcW w:w="847" w:type="dxa"/>
            <w:tcBorders>
              <w:left w:val="nil"/>
              <w:bottom w:val="nil"/>
              <w:right w:val="nil"/>
            </w:tcBorders>
            <w:shd w:val="clear" w:color="auto" w:fill="auto"/>
            <w:noWrap/>
            <w:vAlign w:val="center"/>
            <w:hideMark/>
          </w:tcPr>
          <w:p w14:paraId="308F873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25,299</w:t>
            </w:r>
          </w:p>
        </w:tc>
        <w:tc>
          <w:tcPr>
            <w:tcW w:w="847" w:type="dxa"/>
            <w:tcBorders>
              <w:left w:val="nil"/>
              <w:bottom w:val="nil"/>
              <w:right w:val="nil"/>
            </w:tcBorders>
            <w:shd w:val="clear" w:color="auto" w:fill="auto"/>
            <w:noWrap/>
            <w:vAlign w:val="center"/>
            <w:hideMark/>
          </w:tcPr>
          <w:p w14:paraId="0D43CF9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18,206</w:t>
            </w:r>
          </w:p>
        </w:tc>
        <w:tc>
          <w:tcPr>
            <w:tcW w:w="880" w:type="dxa"/>
            <w:tcBorders>
              <w:left w:val="nil"/>
              <w:bottom w:val="nil"/>
              <w:right w:val="nil"/>
            </w:tcBorders>
            <w:shd w:val="clear" w:color="auto" w:fill="auto"/>
            <w:noWrap/>
            <w:vAlign w:val="center"/>
            <w:hideMark/>
          </w:tcPr>
          <w:p w14:paraId="7D8039B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23,302</w:t>
            </w:r>
          </w:p>
        </w:tc>
        <w:tc>
          <w:tcPr>
            <w:tcW w:w="768" w:type="dxa"/>
            <w:tcBorders>
              <w:left w:val="nil"/>
              <w:bottom w:val="nil"/>
              <w:right w:val="nil"/>
            </w:tcBorders>
            <w:shd w:val="clear" w:color="auto" w:fill="auto"/>
            <w:noWrap/>
            <w:vAlign w:val="center"/>
            <w:hideMark/>
          </w:tcPr>
          <w:p w14:paraId="3B33C5A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16,733</w:t>
            </w:r>
          </w:p>
        </w:tc>
        <w:tc>
          <w:tcPr>
            <w:tcW w:w="847" w:type="dxa"/>
            <w:tcBorders>
              <w:left w:val="nil"/>
              <w:bottom w:val="nil"/>
              <w:right w:val="nil"/>
            </w:tcBorders>
            <w:shd w:val="clear" w:color="auto" w:fill="auto"/>
            <w:noWrap/>
            <w:vAlign w:val="center"/>
            <w:hideMark/>
          </w:tcPr>
          <w:p w14:paraId="4C316D5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16,977</w:t>
            </w:r>
          </w:p>
        </w:tc>
        <w:tc>
          <w:tcPr>
            <w:tcW w:w="847" w:type="dxa"/>
            <w:tcBorders>
              <w:left w:val="nil"/>
              <w:bottom w:val="nil"/>
              <w:right w:val="nil"/>
            </w:tcBorders>
            <w:shd w:val="clear" w:color="auto" w:fill="auto"/>
            <w:noWrap/>
            <w:vAlign w:val="center"/>
            <w:hideMark/>
          </w:tcPr>
          <w:p w14:paraId="1F3D1AE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29,939</w:t>
            </w:r>
          </w:p>
        </w:tc>
        <w:tc>
          <w:tcPr>
            <w:tcW w:w="847" w:type="dxa"/>
            <w:tcBorders>
              <w:left w:val="nil"/>
              <w:bottom w:val="nil"/>
              <w:right w:val="nil"/>
            </w:tcBorders>
            <w:shd w:val="clear" w:color="auto" w:fill="auto"/>
            <w:noWrap/>
            <w:vAlign w:val="center"/>
            <w:hideMark/>
          </w:tcPr>
          <w:p w14:paraId="063E819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20,419</w:t>
            </w:r>
          </w:p>
        </w:tc>
        <w:tc>
          <w:tcPr>
            <w:tcW w:w="945" w:type="dxa"/>
            <w:tcBorders>
              <w:left w:val="nil"/>
              <w:bottom w:val="nil"/>
            </w:tcBorders>
            <w:shd w:val="clear" w:color="auto" w:fill="auto"/>
            <w:noWrap/>
            <w:vAlign w:val="center"/>
            <w:hideMark/>
          </w:tcPr>
          <w:p w14:paraId="26FD432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176,645</w:t>
            </w:r>
          </w:p>
        </w:tc>
      </w:tr>
      <w:tr w:rsidR="0015649E" w:rsidRPr="0084045A" w14:paraId="696E6B2C" w14:textId="77777777" w:rsidTr="00C3352F">
        <w:trPr>
          <w:trHeight w:val="212"/>
          <w:jc w:val="center"/>
        </w:trPr>
        <w:tc>
          <w:tcPr>
            <w:tcW w:w="728" w:type="dxa"/>
            <w:vMerge/>
            <w:shd w:val="clear" w:color="auto" w:fill="auto"/>
            <w:noWrap/>
            <w:textDirection w:val="btLr"/>
            <w:vAlign w:val="center"/>
            <w:hideMark/>
          </w:tcPr>
          <w:p w14:paraId="30DB1732"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6015A5AA" w14:textId="13E4A574"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398156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28,040</w:t>
            </w:r>
          </w:p>
        </w:tc>
        <w:tc>
          <w:tcPr>
            <w:tcW w:w="768" w:type="dxa"/>
            <w:tcBorders>
              <w:top w:val="nil"/>
              <w:left w:val="nil"/>
              <w:bottom w:val="nil"/>
              <w:right w:val="nil"/>
            </w:tcBorders>
            <w:shd w:val="clear" w:color="auto" w:fill="auto"/>
            <w:noWrap/>
            <w:vAlign w:val="center"/>
            <w:hideMark/>
          </w:tcPr>
          <w:p w14:paraId="31CF351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12,858</w:t>
            </w:r>
          </w:p>
        </w:tc>
        <w:tc>
          <w:tcPr>
            <w:tcW w:w="847" w:type="dxa"/>
            <w:tcBorders>
              <w:top w:val="nil"/>
              <w:left w:val="nil"/>
              <w:bottom w:val="nil"/>
              <w:right w:val="nil"/>
            </w:tcBorders>
            <w:shd w:val="clear" w:color="auto" w:fill="auto"/>
            <w:noWrap/>
            <w:vAlign w:val="center"/>
            <w:hideMark/>
          </w:tcPr>
          <w:p w14:paraId="7535BE8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43,620</w:t>
            </w:r>
          </w:p>
        </w:tc>
        <w:tc>
          <w:tcPr>
            <w:tcW w:w="847" w:type="dxa"/>
            <w:tcBorders>
              <w:top w:val="nil"/>
              <w:left w:val="nil"/>
              <w:bottom w:val="nil"/>
              <w:right w:val="nil"/>
            </w:tcBorders>
            <w:shd w:val="clear" w:color="auto" w:fill="auto"/>
            <w:noWrap/>
            <w:vAlign w:val="center"/>
            <w:hideMark/>
          </w:tcPr>
          <w:p w14:paraId="29DB19D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26,409</w:t>
            </w:r>
          </w:p>
        </w:tc>
        <w:tc>
          <w:tcPr>
            <w:tcW w:w="880" w:type="dxa"/>
            <w:tcBorders>
              <w:top w:val="nil"/>
              <w:left w:val="nil"/>
              <w:bottom w:val="nil"/>
              <w:right w:val="nil"/>
            </w:tcBorders>
            <w:shd w:val="clear" w:color="auto" w:fill="auto"/>
            <w:noWrap/>
            <w:vAlign w:val="center"/>
            <w:hideMark/>
          </w:tcPr>
          <w:p w14:paraId="557AE3A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42,925</w:t>
            </w:r>
          </w:p>
        </w:tc>
        <w:tc>
          <w:tcPr>
            <w:tcW w:w="768" w:type="dxa"/>
            <w:tcBorders>
              <w:top w:val="nil"/>
              <w:left w:val="nil"/>
              <w:bottom w:val="nil"/>
              <w:right w:val="nil"/>
            </w:tcBorders>
            <w:shd w:val="clear" w:color="auto" w:fill="auto"/>
            <w:noWrap/>
            <w:vAlign w:val="center"/>
            <w:hideMark/>
          </w:tcPr>
          <w:p w14:paraId="667C97B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29,596</w:t>
            </w:r>
          </w:p>
        </w:tc>
        <w:tc>
          <w:tcPr>
            <w:tcW w:w="847" w:type="dxa"/>
            <w:tcBorders>
              <w:top w:val="nil"/>
              <w:left w:val="nil"/>
              <w:bottom w:val="nil"/>
              <w:right w:val="nil"/>
            </w:tcBorders>
            <w:shd w:val="clear" w:color="auto" w:fill="auto"/>
            <w:noWrap/>
            <w:vAlign w:val="center"/>
            <w:hideMark/>
          </w:tcPr>
          <w:p w14:paraId="54D5591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40,950</w:t>
            </w:r>
          </w:p>
        </w:tc>
        <w:tc>
          <w:tcPr>
            <w:tcW w:w="847" w:type="dxa"/>
            <w:tcBorders>
              <w:top w:val="nil"/>
              <w:left w:val="nil"/>
              <w:bottom w:val="nil"/>
              <w:right w:val="nil"/>
            </w:tcBorders>
            <w:shd w:val="clear" w:color="auto" w:fill="auto"/>
            <w:noWrap/>
            <w:vAlign w:val="center"/>
            <w:hideMark/>
          </w:tcPr>
          <w:p w14:paraId="17C6B83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52,220</w:t>
            </w:r>
          </w:p>
        </w:tc>
        <w:tc>
          <w:tcPr>
            <w:tcW w:w="847" w:type="dxa"/>
            <w:tcBorders>
              <w:top w:val="nil"/>
              <w:left w:val="nil"/>
              <w:bottom w:val="nil"/>
              <w:right w:val="nil"/>
            </w:tcBorders>
            <w:shd w:val="clear" w:color="auto" w:fill="auto"/>
            <w:noWrap/>
            <w:vAlign w:val="center"/>
            <w:hideMark/>
          </w:tcPr>
          <w:p w14:paraId="3D96FEE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36,230</w:t>
            </w:r>
          </w:p>
        </w:tc>
        <w:tc>
          <w:tcPr>
            <w:tcW w:w="945" w:type="dxa"/>
            <w:tcBorders>
              <w:top w:val="nil"/>
              <w:left w:val="nil"/>
              <w:bottom w:val="nil"/>
            </w:tcBorders>
            <w:shd w:val="clear" w:color="auto" w:fill="auto"/>
            <w:noWrap/>
            <w:vAlign w:val="center"/>
            <w:hideMark/>
          </w:tcPr>
          <w:p w14:paraId="64BE090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312,847</w:t>
            </w:r>
          </w:p>
        </w:tc>
      </w:tr>
      <w:tr w:rsidR="0015649E" w:rsidRPr="0084045A" w14:paraId="4BABD7C9" w14:textId="77777777" w:rsidTr="00C3352F">
        <w:trPr>
          <w:trHeight w:val="212"/>
          <w:jc w:val="center"/>
        </w:trPr>
        <w:tc>
          <w:tcPr>
            <w:tcW w:w="728" w:type="dxa"/>
            <w:vMerge/>
            <w:shd w:val="clear" w:color="auto" w:fill="auto"/>
            <w:noWrap/>
            <w:textDirection w:val="btLr"/>
            <w:vAlign w:val="center"/>
            <w:hideMark/>
          </w:tcPr>
          <w:p w14:paraId="4C12784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B9E5C2B" w14:textId="45AC1C32"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0542C5E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38,715</w:t>
            </w:r>
          </w:p>
        </w:tc>
        <w:tc>
          <w:tcPr>
            <w:tcW w:w="768" w:type="dxa"/>
            <w:tcBorders>
              <w:top w:val="nil"/>
              <w:left w:val="nil"/>
              <w:bottom w:val="nil"/>
              <w:right w:val="nil"/>
            </w:tcBorders>
            <w:shd w:val="clear" w:color="auto" w:fill="auto"/>
            <w:noWrap/>
            <w:vAlign w:val="center"/>
            <w:hideMark/>
          </w:tcPr>
          <w:p w14:paraId="6DAFC29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18,719</w:t>
            </w:r>
          </w:p>
        </w:tc>
        <w:tc>
          <w:tcPr>
            <w:tcW w:w="847" w:type="dxa"/>
            <w:tcBorders>
              <w:top w:val="nil"/>
              <w:left w:val="nil"/>
              <w:bottom w:val="nil"/>
              <w:right w:val="nil"/>
            </w:tcBorders>
            <w:shd w:val="clear" w:color="auto" w:fill="auto"/>
            <w:noWrap/>
            <w:vAlign w:val="center"/>
            <w:hideMark/>
          </w:tcPr>
          <w:p w14:paraId="0AC88B6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62,968</w:t>
            </w:r>
          </w:p>
        </w:tc>
        <w:tc>
          <w:tcPr>
            <w:tcW w:w="847" w:type="dxa"/>
            <w:tcBorders>
              <w:top w:val="nil"/>
              <w:left w:val="nil"/>
              <w:bottom w:val="nil"/>
              <w:right w:val="nil"/>
            </w:tcBorders>
            <w:shd w:val="clear" w:color="auto" w:fill="auto"/>
            <w:noWrap/>
            <w:vAlign w:val="center"/>
            <w:hideMark/>
          </w:tcPr>
          <w:p w14:paraId="4A99783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74,072</w:t>
            </w:r>
          </w:p>
        </w:tc>
        <w:tc>
          <w:tcPr>
            <w:tcW w:w="880" w:type="dxa"/>
            <w:tcBorders>
              <w:top w:val="nil"/>
              <w:left w:val="nil"/>
              <w:bottom w:val="nil"/>
              <w:right w:val="nil"/>
            </w:tcBorders>
            <w:shd w:val="clear" w:color="auto" w:fill="auto"/>
            <w:noWrap/>
            <w:vAlign w:val="center"/>
            <w:hideMark/>
          </w:tcPr>
          <w:p w14:paraId="7CA4ADF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50,038</w:t>
            </w:r>
          </w:p>
        </w:tc>
        <w:tc>
          <w:tcPr>
            <w:tcW w:w="768" w:type="dxa"/>
            <w:tcBorders>
              <w:top w:val="nil"/>
              <w:left w:val="nil"/>
              <w:bottom w:val="nil"/>
              <w:right w:val="nil"/>
            </w:tcBorders>
            <w:shd w:val="clear" w:color="auto" w:fill="auto"/>
            <w:noWrap/>
            <w:vAlign w:val="center"/>
            <w:hideMark/>
          </w:tcPr>
          <w:p w14:paraId="54B3B9F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60,100</w:t>
            </w:r>
          </w:p>
        </w:tc>
        <w:tc>
          <w:tcPr>
            <w:tcW w:w="847" w:type="dxa"/>
            <w:tcBorders>
              <w:top w:val="nil"/>
              <w:left w:val="nil"/>
              <w:bottom w:val="nil"/>
              <w:right w:val="nil"/>
            </w:tcBorders>
            <w:shd w:val="clear" w:color="auto" w:fill="auto"/>
            <w:noWrap/>
            <w:vAlign w:val="center"/>
            <w:hideMark/>
          </w:tcPr>
          <w:p w14:paraId="0DF2511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51,960</w:t>
            </w:r>
          </w:p>
        </w:tc>
        <w:tc>
          <w:tcPr>
            <w:tcW w:w="847" w:type="dxa"/>
            <w:tcBorders>
              <w:top w:val="nil"/>
              <w:left w:val="nil"/>
              <w:bottom w:val="nil"/>
              <w:right w:val="nil"/>
            </w:tcBorders>
            <w:shd w:val="clear" w:color="auto" w:fill="auto"/>
            <w:noWrap/>
            <w:vAlign w:val="center"/>
            <w:hideMark/>
          </w:tcPr>
          <w:p w14:paraId="241C90D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89,490</w:t>
            </w:r>
          </w:p>
        </w:tc>
        <w:tc>
          <w:tcPr>
            <w:tcW w:w="847" w:type="dxa"/>
            <w:tcBorders>
              <w:top w:val="nil"/>
              <w:left w:val="nil"/>
              <w:bottom w:val="nil"/>
              <w:right w:val="nil"/>
            </w:tcBorders>
            <w:shd w:val="clear" w:color="auto" w:fill="auto"/>
            <w:noWrap/>
            <w:vAlign w:val="center"/>
            <w:hideMark/>
          </w:tcPr>
          <w:p w14:paraId="76EDE45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61,665</w:t>
            </w:r>
          </w:p>
        </w:tc>
        <w:tc>
          <w:tcPr>
            <w:tcW w:w="945" w:type="dxa"/>
            <w:tcBorders>
              <w:top w:val="nil"/>
              <w:left w:val="nil"/>
              <w:bottom w:val="nil"/>
            </w:tcBorders>
            <w:shd w:val="clear" w:color="auto" w:fill="auto"/>
            <w:noWrap/>
            <w:vAlign w:val="center"/>
            <w:hideMark/>
          </w:tcPr>
          <w:p w14:paraId="1F5CF19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507,726</w:t>
            </w:r>
          </w:p>
        </w:tc>
      </w:tr>
      <w:tr w:rsidR="0015649E" w:rsidRPr="0084045A" w14:paraId="221ECB8A" w14:textId="77777777" w:rsidTr="00C3352F">
        <w:trPr>
          <w:trHeight w:val="212"/>
          <w:jc w:val="center"/>
        </w:trPr>
        <w:tc>
          <w:tcPr>
            <w:tcW w:w="728" w:type="dxa"/>
            <w:vMerge/>
            <w:shd w:val="clear" w:color="auto" w:fill="auto"/>
            <w:noWrap/>
            <w:textDirection w:val="btLr"/>
            <w:vAlign w:val="center"/>
            <w:hideMark/>
          </w:tcPr>
          <w:p w14:paraId="1A8215E2"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0B8E4D1B" w14:textId="76C2935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6D30BBA7" w14:textId="1481DDEE"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9511</w:t>
            </w:r>
          </w:p>
        </w:tc>
        <w:tc>
          <w:tcPr>
            <w:tcW w:w="768" w:type="dxa"/>
            <w:tcBorders>
              <w:top w:val="nil"/>
              <w:left w:val="nil"/>
              <w:bottom w:val="nil"/>
              <w:right w:val="nil"/>
            </w:tcBorders>
            <w:shd w:val="clear" w:color="auto" w:fill="auto"/>
            <w:noWrap/>
            <w:vAlign w:val="center"/>
            <w:hideMark/>
          </w:tcPr>
          <w:p w14:paraId="019BF460" w14:textId="552BA0F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3928</w:t>
            </w:r>
          </w:p>
        </w:tc>
        <w:tc>
          <w:tcPr>
            <w:tcW w:w="847" w:type="dxa"/>
            <w:tcBorders>
              <w:top w:val="nil"/>
              <w:left w:val="nil"/>
              <w:bottom w:val="nil"/>
              <w:right w:val="nil"/>
            </w:tcBorders>
            <w:shd w:val="clear" w:color="auto" w:fill="auto"/>
            <w:noWrap/>
            <w:vAlign w:val="center"/>
            <w:hideMark/>
          </w:tcPr>
          <w:p w14:paraId="56FAC05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16,939</w:t>
            </w:r>
          </w:p>
        </w:tc>
        <w:tc>
          <w:tcPr>
            <w:tcW w:w="847" w:type="dxa"/>
            <w:tcBorders>
              <w:top w:val="nil"/>
              <w:left w:val="nil"/>
              <w:bottom w:val="nil"/>
              <w:right w:val="nil"/>
            </w:tcBorders>
            <w:shd w:val="clear" w:color="auto" w:fill="auto"/>
            <w:noWrap/>
            <w:vAlign w:val="center"/>
            <w:hideMark/>
          </w:tcPr>
          <w:p w14:paraId="6CB1D60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19,261</w:t>
            </w:r>
          </w:p>
        </w:tc>
        <w:tc>
          <w:tcPr>
            <w:tcW w:w="880" w:type="dxa"/>
            <w:tcBorders>
              <w:top w:val="nil"/>
              <w:left w:val="nil"/>
              <w:bottom w:val="nil"/>
              <w:right w:val="nil"/>
            </w:tcBorders>
            <w:shd w:val="clear" w:color="auto" w:fill="auto"/>
            <w:noWrap/>
            <w:vAlign w:val="center"/>
            <w:hideMark/>
          </w:tcPr>
          <w:p w14:paraId="7D6C724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17,364</w:t>
            </w:r>
          </w:p>
        </w:tc>
        <w:tc>
          <w:tcPr>
            <w:tcW w:w="768" w:type="dxa"/>
            <w:tcBorders>
              <w:top w:val="nil"/>
              <w:left w:val="nil"/>
              <w:bottom w:val="nil"/>
              <w:right w:val="nil"/>
            </w:tcBorders>
            <w:shd w:val="clear" w:color="auto" w:fill="auto"/>
            <w:noWrap/>
            <w:vAlign w:val="center"/>
            <w:hideMark/>
          </w:tcPr>
          <w:p w14:paraId="44680BF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17,752</w:t>
            </w:r>
          </w:p>
        </w:tc>
        <w:tc>
          <w:tcPr>
            <w:tcW w:w="847" w:type="dxa"/>
            <w:tcBorders>
              <w:top w:val="nil"/>
              <w:left w:val="nil"/>
              <w:bottom w:val="nil"/>
              <w:right w:val="nil"/>
            </w:tcBorders>
            <w:shd w:val="clear" w:color="auto" w:fill="auto"/>
            <w:noWrap/>
            <w:vAlign w:val="center"/>
            <w:hideMark/>
          </w:tcPr>
          <w:p w14:paraId="669EFEC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22,947</w:t>
            </w:r>
          </w:p>
        </w:tc>
        <w:tc>
          <w:tcPr>
            <w:tcW w:w="847" w:type="dxa"/>
            <w:tcBorders>
              <w:top w:val="nil"/>
              <w:left w:val="nil"/>
              <w:bottom w:val="nil"/>
              <w:right w:val="nil"/>
            </w:tcBorders>
            <w:shd w:val="clear" w:color="auto" w:fill="auto"/>
            <w:noWrap/>
            <w:vAlign w:val="center"/>
            <w:hideMark/>
          </w:tcPr>
          <w:p w14:paraId="7CA11D8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43,726</w:t>
            </w:r>
          </w:p>
        </w:tc>
        <w:tc>
          <w:tcPr>
            <w:tcW w:w="847" w:type="dxa"/>
            <w:tcBorders>
              <w:top w:val="nil"/>
              <w:left w:val="nil"/>
              <w:bottom w:val="nil"/>
              <w:right w:val="nil"/>
            </w:tcBorders>
            <w:shd w:val="clear" w:color="auto" w:fill="auto"/>
            <w:noWrap/>
            <w:vAlign w:val="center"/>
            <w:hideMark/>
          </w:tcPr>
          <w:p w14:paraId="4BF6292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23,258</w:t>
            </w:r>
          </w:p>
        </w:tc>
        <w:tc>
          <w:tcPr>
            <w:tcW w:w="945" w:type="dxa"/>
            <w:tcBorders>
              <w:top w:val="nil"/>
              <w:left w:val="nil"/>
              <w:bottom w:val="nil"/>
            </w:tcBorders>
            <w:shd w:val="clear" w:color="auto" w:fill="auto"/>
            <w:noWrap/>
            <w:vAlign w:val="center"/>
            <w:hideMark/>
          </w:tcPr>
          <w:p w14:paraId="3D95425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174,686</w:t>
            </w:r>
          </w:p>
        </w:tc>
      </w:tr>
      <w:tr w:rsidR="0015649E" w:rsidRPr="0084045A" w14:paraId="738F8D9B" w14:textId="77777777" w:rsidTr="00C3352F">
        <w:trPr>
          <w:trHeight w:val="212"/>
          <w:jc w:val="center"/>
        </w:trPr>
        <w:tc>
          <w:tcPr>
            <w:tcW w:w="728" w:type="dxa"/>
            <w:vMerge/>
            <w:shd w:val="clear" w:color="auto" w:fill="auto"/>
            <w:noWrap/>
            <w:textDirection w:val="btLr"/>
            <w:vAlign w:val="center"/>
            <w:hideMark/>
          </w:tcPr>
          <w:p w14:paraId="12732EF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67DEB983" w14:textId="219AC1A1"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667FBE5D" w14:textId="05CB912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1937</w:t>
            </w:r>
          </w:p>
        </w:tc>
        <w:tc>
          <w:tcPr>
            <w:tcW w:w="768" w:type="dxa"/>
            <w:tcBorders>
              <w:top w:val="nil"/>
              <w:left w:val="nil"/>
              <w:bottom w:val="single" w:sz="4" w:space="0" w:color="auto"/>
              <w:right w:val="nil"/>
            </w:tcBorders>
            <w:shd w:val="clear" w:color="auto" w:fill="auto"/>
            <w:noWrap/>
            <w:vAlign w:val="center"/>
            <w:hideMark/>
          </w:tcPr>
          <w:p w14:paraId="4DB6E594" w14:textId="6D8BED0A"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1079</w:t>
            </w:r>
          </w:p>
        </w:tc>
        <w:tc>
          <w:tcPr>
            <w:tcW w:w="847" w:type="dxa"/>
            <w:tcBorders>
              <w:top w:val="nil"/>
              <w:left w:val="nil"/>
              <w:bottom w:val="single" w:sz="4" w:space="0" w:color="auto"/>
              <w:right w:val="nil"/>
            </w:tcBorders>
            <w:shd w:val="clear" w:color="auto" w:fill="auto"/>
            <w:noWrap/>
            <w:vAlign w:val="center"/>
            <w:hideMark/>
          </w:tcPr>
          <w:p w14:paraId="7C9238E7" w14:textId="2C11861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4836</w:t>
            </w:r>
          </w:p>
        </w:tc>
        <w:tc>
          <w:tcPr>
            <w:tcW w:w="847" w:type="dxa"/>
            <w:tcBorders>
              <w:top w:val="nil"/>
              <w:left w:val="nil"/>
              <w:bottom w:val="single" w:sz="4" w:space="0" w:color="auto"/>
              <w:right w:val="nil"/>
            </w:tcBorders>
            <w:shd w:val="clear" w:color="auto" w:fill="auto"/>
            <w:noWrap/>
            <w:vAlign w:val="center"/>
            <w:hideMark/>
          </w:tcPr>
          <w:p w14:paraId="109DE377" w14:textId="37527BD2"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2046</w:t>
            </w:r>
          </w:p>
        </w:tc>
        <w:tc>
          <w:tcPr>
            <w:tcW w:w="880" w:type="dxa"/>
            <w:tcBorders>
              <w:top w:val="nil"/>
              <w:left w:val="nil"/>
              <w:bottom w:val="single" w:sz="4" w:space="0" w:color="auto"/>
              <w:right w:val="nil"/>
            </w:tcBorders>
            <w:shd w:val="clear" w:color="auto" w:fill="auto"/>
            <w:noWrap/>
            <w:vAlign w:val="center"/>
            <w:hideMark/>
          </w:tcPr>
          <w:p w14:paraId="142C154A" w14:textId="7265021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5825</w:t>
            </w:r>
          </w:p>
        </w:tc>
        <w:tc>
          <w:tcPr>
            <w:tcW w:w="768" w:type="dxa"/>
            <w:tcBorders>
              <w:top w:val="nil"/>
              <w:left w:val="nil"/>
              <w:bottom w:val="single" w:sz="4" w:space="0" w:color="auto"/>
              <w:right w:val="nil"/>
            </w:tcBorders>
            <w:shd w:val="clear" w:color="auto" w:fill="auto"/>
            <w:noWrap/>
            <w:vAlign w:val="center"/>
            <w:hideMark/>
          </w:tcPr>
          <w:p w14:paraId="7A396F2D" w14:textId="280E7EF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2133</w:t>
            </w:r>
          </w:p>
        </w:tc>
        <w:tc>
          <w:tcPr>
            <w:tcW w:w="847" w:type="dxa"/>
            <w:tcBorders>
              <w:top w:val="nil"/>
              <w:left w:val="nil"/>
              <w:bottom w:val="single" w:sz="4" w:space="0" w:color="auto"/>
              <w:right w:val="nil"/>
            </w:tcBorders>
            <w:shd w:val="clear" w:color="auto" w:fill="auto"/>
            <w:noWrap/>
            <w:vAlign w:val="center"/>
            <w:hideMark/>
          </w:tcPr>
          <w:p w14:paraId="086B1380" w14:textId="4F2A2D70"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5903</w:t>
            </w:r>
          </w:p>
        </w:tc>
        <w:tc>
          <w:tcPr>
            <w:tcW w:w="847" w:type="dxa"/>
            <w:tcBorders>
              <w:top w:val="nil"/>
              <w:left w:val="nil"/>
              <w:bottom w:val="single" w:sz="4" w:space="0" w:color="auto"/>
              <w:right w:val="nil"/>
            </w:tcBorders>
            <w:shd w:val="clear" w:color="auto" w:fill="auto"/>
            <w:noWrap/>
            <w:vAlign w:val="center"/>
            <w:hideMark/>
          </w:tcPr>
          <w:p w14:paraId="0ED7DC9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10,005</w:t>
            </w:r>
          </w:p>
        </w:tc>
        <w:tc>
          <w:tcPr>
            <w:tcW w:w="847" w:type="dxa"/>
            <w:tcBorders>
              <w:top w:val="nil"/>
              <w:left w:val="nil"/>
              <w:bottom w:val="single" w:sz="4" w:space="0" w:color="auto"/>
              <w:right w:val="nil"/>
            </w:tcBorders>
            <w:shd w:val="clear" w:color="auto" w:fill="auto"/>
            <w:noWrap/>
            <w:vAlign w:val="center"/>
            <w:hideMark/>
          </w:tcPr>
          <w:p w14:paraId="0A370E9D" w14:textId="201DFBC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5310</w:t>
            </w:r>
          </w:p>
        </w:tc>
        <w:tc>
          <w:tcPr>
            <w:tcW w:w="945" w:type="dxa"/>
            <w:tcBorders>
              <w:top w:val="nil"/>
              <w:left w:val="nil"/>
              <w:bottom w:val="single" w:sz="4" w:space="0" w:color="auto"/>
            </w:tcBorders>
            <w:shd w:val="clear" w:color="auto" w:fill="auto"/>
            <w:noWrap/>
            <w:vAlign w:val="center"/>
            <w:hideMark/>
          </w:tcPr>
          <w:p w14:paraId="7D384A8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39,074</w:t>
            </w:r>
          </w:p>
        </w:tc>
      </w:tr>
      <w:tr w:rsidR="0015649E" w:rsidRPr="0084045A" w14:paraId="60478BE4" w14:textId="77777777" w:rsidTr="00C3352F">
        <w:trPr>
          <w:trHeight w:val="212"/>
          <w:jc w:val="center"/>
        </w:trPr>
        <w:tc>
          <w:tcPr>
            <w:tcW w:w="728" w:type="dxa"/>
            <w:vMerge w:val="restart"/>
            <w:shd w:val="clear" w:color="auto" w:fill="auto"/>
            <w:noWrap/>
            <w:textDirection w:val="btLr"/>
            <w:vAlign w:val="center"/>
            <w:hideMark/>
          </w:tcPr>
          <w:p w14:paraId="653863A0"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San Luis Potosí</w:t>
            </w:r>
          </w:p>
        </w:tc>
        <w:tc>
          <w:tcPr>
            <w:tcW w:w="753" w:type="dxa"/>
            <w:tcBorders>
              <w:bottom w:val="nil"/>
              <w:right w:val="nil"/>
            </w:tcBorders>
            <w:vAlign w:val="center"/>
          </w:tcPr>
          <w:p w14:paraId="3F52D5C1" w14:textId="4902F54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67DF24C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36,447</w:t>
            </w:r>
          </w:p>
        </w:tc>
        <w:tc>
          <w:tcPr>
            <w:tcW w:w="768" w:type="dxa"/>
            <w:tcBorders>
              <w:left w:val="nil"/>
              <w:bottom w:val="nil"/>
              <w:right w:val="nil"/>
            </w:tcBorders>
            <w:shd w:val="clear" w:color="auto" w:fill="auto"/>
            <w:noWrap/>
            <w:vAlign w:val="center"/>
            <w:hideMark/>
          </w:tcPr>
          <w:p w14:paraId="7692D40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12,324</w:t>
            </w:r>
          </w:p>
        </w:tc>
        <w:tc>
          <w:tcPr>
            <w:tcW w:w="847" w:type="dxa"/>
            <w:tcBorders>
              <w:left w:val="nil"/>
              <w:bottom w:val="nil"/>
              <w:right w:val="nil"/>
            </w:tcBorders>
            <w:shd w:val="clear" w:color="auto" w:fill="auto"/>
            <w:noWrap/>
            <w:vAlign w:val="center"/>
            <w:hideMark/>
          </w:tcPr>
          <w:p w14:paraId="79DE47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46,207</w:t>
            </w:r>
          </w:p>
        </w:tc>
        <w:tc>
          <w:tcPr>
            <w:tcW w:w="847" w:type="dxa"/>
            <w:tcBorders>
              <w:left w:val="nil"/>
              <w:bottom w:val="nil"/>
              <w:right w:val="nil"/>
            </w:tcBorders>
            <w:shd w:val="clear" w:color="auto" w:fill="auto"/>
            <w:noWrap/>
            <w:vAlign w:val="center"/>
            <w:hideMark/>
          </w:tcPr>
          <w:p w14:paraId="5F6E887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32,584</w:t>
            </w:r>
          </w:p>
        </w:tc>
        <w:tc>
          <w:tcPr>
            <w:tcW w:w="880" w:type="dxa"/>
            <w:tcBorders>
              <w:left w:val="nil"/>
              <w:bottom w:val="nil"/>
              <w:right w:val="nil"/>
            </w:tcBorders>
            <w:shd w:val="clear" w:color="auto" w:fill="auto"/>
            <w:noWrap/>
            <w:vAlign w:val="center"/>
            <w:hideMark/>
          </w:tcPr>
          <w:p w14:paraId="2E76E24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40,867</w:t>
            </w:r>
          </w:p>
        </w:tc>
        <w:tc>
          <w:tcPr>
            <w:tcW w:w="768" w:type="dxa"/>
            <w:tcBorders>
              <w:left w:val="nil"/>
              <w:bottom w:val="nil"/>
              <w:right w:val="nil"/>
            </w:tcBorders>
            <w:shd w:val="clear" w:color="auto" w:fill="auto"/>
            <w:noWrap/>
            <w:vAlign w:val="center"/>
            <w:hideMark/>
          </w:tcPr>
          <w:p w14:paraId="21D3807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28,758</w:t>
            </w:r>
          </w:p>
        </w:tc>
        <w:tc>
          <w:tcPr>
            <w:tcW w:w="847" w:type="dxa"/>
            <w:tcBorders>
              <w:left w:val="nil"/>
              <w:bottom w:val="nil"/>
              <w:right w:val="nil"/>
            </w:tcBorders>
            <w:shd w:val="clear" w:color="auto" w:fill="auto"/>
            <w:noWrap/>
            <w:vAlign w:val="center"/>
            <w:hideMark/>
          </w:tcPr>
          <w:p w14:paraId="49F4BB7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28,630</w:t>
            </w:r>
          </w:p>
        </w:tc>
        <w:tc>
          <w:tcPr>
            <w:tcW w:w="847" w:type="dxa"/>
            <w:tcBorders>
              <w:left w:val="nil"/>
              <w:bottom w:val="nil"/>
              <w:right w:val="nil"/>
            </w:tcBorders>
            <w:shd w:val="clear" w:color="auto" w:fill="auto"/>
            <w:noWrap/>
            <w:vAlign w:val="center"/>
            <w:hideMark/>
          </w:tcPr>
          <w:p w14:paraId="4CC964D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49,741</w:t>
            </w:r>
          </w:p>
        </w:tc>
        <w:tc>
          <w:tcPr>
            <w:tcW w:w="847" w:type="dxa"/>
            <w:tcBorders>
              <w:left w:val="nil"/>
              <w:bottom w:val="nil"/>
              <w:right w:val="nil"/>
            </w:tcBorders>
            <w:shd w:val="clear" w:color="auto" w:fill="auto"/>
            <w:noWrap/>
            <w:vAlign w:val="center"/>
            <w:hideMark/>
          </w:tcPr>
          <w:p w14:paraId="652EF31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33,549</w:t>
            </w:r>
          </w:p>
        </w:tc>
        <w:tc>
          <w:tcPr>
            <w:tcW w:w="945" w:type="dxa"/>
            <w:tcBorders>
              <w:left w:val="nil"/>
              <w:bottom w:val="nil"/>
            </w:tcBorders>
            <w:shd w:val="clear" w:color="auto" w:fill="auto"/>
            <w:noWrap/>
            <w:vAlign w:val="center"/>
            <w:hideMark/>
          </w:tcPr>
          <w:p w14:paraId="553152E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309,107</w:t>
            </w:r>
          </w:p>
        </w:tc>
      </w:tr>
      <w:tr w:rsidR="0015649E" w:rsidRPr="0084045A" w14:paraId="3C498CCE" w14:textId="77777777" w:rsidTr="00C3352F">
        <w:trPr>
          <w:trHeight w:val="212"/>
          <w:jc w:val="center"/>
        </w:trPr>
        <w:tc>
          <w:tcPr>
            <w:tcW w:w="728" w:type="dxa"/>
            <w:vMerge/>
            <w:shd w:val="clear" w:color="auto" w:fill="auto"/>
            <w:noWrap/>
            <w:textDirection w:val="btLr"/>
            <w:vAlign w:val="center"/>
            <w:hideMark/>
          </w:tcPr>
          <w:p w14:paraId="33CE875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52AE275" w14:textId="1189BDE8"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293E71C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57,687</w:t>
            </w:r>
          </w:p>
        </w:tc>
        <w:tc>
          <w:tcPr>
            <w:tcW w:w="768" w:type="dxa"/>
            <w:tcBorders>
              <w:top w:val="nil"/>
              <w:left w:val="nil"/>
              <w:bottom w:val="nil"/>
              <w:right w:val="nil"/>
            </w:tcBorders>
            <w:shd w:val="clear" w:color="auto" w:fill="auto"/>
            <w:noWrap/>
            <w:vAlign w:val="center"/>
            <w:hideMark/>
          </w:tcPr>
          <w:p w14:paraId="5B9FBFE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25,954</w:t>
            </w:r>
          </w:p>
        </w:tc>
        <w:tc>
          <w:tcPr>
            <w:tcW w:w="847" w:type="dxa"/>
            <w:tcBorders>
              <w:top w:val="nil"/>
              <w:left w:val="nil"/>
              <w:bottom w:val="nil"/>
              <w:right w:val="nil"/>
            </w:tcBorders>
            <w:shd w:val="clear" w:color="auto" w:fill="auto"/>
            <w:noWrap/>
            <w:vAlign w:val="center"/>
            <w:hideMark/>
          </w:tcPr>
          <w:p w14:paraId="1A90D3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86,411</w:t>
            </w:r>
          </w:p>
        </w:tc>
        <w:tc>
          <w:tcPr>
            <w:tcW w:w="847" w:type="dxa"/>
            <w:tcBorders>
              <w:top w:val="nil"/>
              <w:left w:val="nil"/>
              <w:bottom w:val="nil"/>
              <w:right w:val="nil"/>
            </w:tcBorders>
            <w:shd w:val="clear" w:color="auto" w:fill="auto"/>
            <w:noWrap/>
            <w:vAlign w:val="center"/>
            <w:hideMark/>
          </w:tcPr>
          <w:p w14:paraId="410A3CB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51,351</w:t>
            </w:r>
          </w:p>
        </w:tc>
        <w:tc>
          <w:tcPr>
            <w:tcW w:w="880" w:type="dxa"/>
            <w:tcBorders>
              <w:top w:val="nil"/>
              <w:left w:val="nil"/>
              <w:bottom w:val="nil"/>
              <w:right w:val="nil"/>
            </w:tcBorders>
            <w:shd w:val="clear" w:color="auto" w:fill="auto"/>
            <w:noWrap/>
            <w:vAlign w:val="center"/>
            <w:hideMark/>
          </w:tcPr>
          <w:p w14:paraId="40C89B8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81,945</w:t>
            </w:r>
          </w:p>
        </w:tc>
        <w:tc>
          <w:tcPr>
            <w:tcW w:w="768" w:type="dxa"/>
            <w:tcBorders>
              <w:top w:val="nil"/>
              <w:left w:val="nil"/>
              <w:bottom w:val="nil"/>
              <w:right w:val="nil"/>
            </w:tcBorders>
            <w:shd w:val="clear" w:color="auto" w:fill="auto"/>
            <w:noWrap/>
            <w:vAlign w:val="center"/>
            <w:hideMark/>
          </w:tcPr>
          <w:p w14:paraId="6B02D8A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55,481</w:t>
            </w:r>
          </w:p>
        </w:tc>
        <w:tc>
          <w:tcPr>
            <w:tcW w:w="847" w:type="dxa"/>
            <w:tcBorders>
              <w:top w:val="nil"/>
              <w:left w:val="nil"/>
              <w:bottom w:val="nil"/>
              <w:right w:val="nil"/>
            </w:tcBorders>
            <w:shd w:val="clear" w:color="auto" w:fill="auto"/>
            <w:noWrap/>
            <w:vAlign w:val="center"/>
            <w:hideMark/>
          </w:tcPr>
          <w:p w14:paraId="673ED70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75,487</w:t>
            </w:r>
          </w:p>
        </w:tc>
        <w:tc>
          <w:tcPr>
            <w:tcW w:w="847" w:type="dxa"/>
            <w:tcBorders>
              <w:top w:val="nil"/>
              <w:left w:val="nil"/>
              <w:bottom w:val="nil"/>
              <w:right w:val="nil"/>
            </w:tcBorders>
            <w:shd w:val="clear" w:color="auto" w:fill="auto"/>
            <w:noWrap/>
            <w:vAlign w:val="center"/>
            <w:hideMark/>
          </w:tcPr>
          <w:p w14:paraId="70CD4A7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94,603</w:t>
            </w:r>
          </w:p>
        </w:tc>
        <w:tc>
          <w:tcPr>
            <w:tcW w:w="847" w:type="dxa"/>
            <w:tcBorders>
              <w:top w:val="nil"/>
              <w:left w:val="nil"/>
              <w:bottom w:val="nil"/>
              <w:right w:val="nil"/>
            </w:tcBorders>
            <w:shd w:val="clear" w:color="auto" w:fill="auto"/>
            <w:noWrap/>
            <w:vAlign w:val="center"/>
            <w:hideMark/>
          </w:tcPr>
          <w:p w14:paraId="0EAEA64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64,479</w:t>
            </w:r>
          </w:p>
        </w:tc>
        <w:tc>
          <w:tcPr>
            <w:tcW w:w="945" w:type="dxa"/>
            <w:tcBorders>
              <w:top w:val="nil"/>
              <w:left w:val="nil"/>
              <w:bottom w:val="nil"/>
            </w:tcBorders>
            <w:shd w:val="clear" w:color="auto" w:fill="auto"/>
            <w:noWrap/>
            <w:vAlign w:val="center"/>
            <w:hideMark/>
          </w:tcPr>
          <w:p w14:paraId="5D2DACC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593,398</w:t>
            </w:r>
          </w:p>
        </w:tc>
      </w:tr>
      <w:tr w:rsidR="0015649E" w:rsidRPr="0084045A" w14:paraId="17A3CFB0" w14:textId="77777777" w:rsidTr="00C3352F">
        <w:trPr>
          <w:trHeight w:val="212"/>
          <w:jc w:val="center"/>
        </w:trPr>
        <w:tc>
          <w:tcPr>
            <w:tcW w:w="728" w:type="dxa"/>
            <w:vMerge/>
            <w:shd w:val="clear" w:color="auto" w:fill="auto"/>
            <w:noWrap/>
            <w:textDirection w:val="btLr"/>
            <w:vAlign w:val="center"/>
            <w:hideMark/>
          </w:tcPr>
          <w:p w14:paraId="6CAB9E1D"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0EDDB23A" w14:textId="6C471777"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6A0B1FE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65,605</w:t>
            </w:r>
          </w:p>
        </w:tc>
        <w:tc>
          <w:tcPr>
            <w:tcW w:w="768" w:type="dxa"/>
            <w:tcBorders>
              <w:top w:val="nil"/>
              <w:left w:val="nil"/>
              <w:bottom w:val="nil"/>
              <w:right w:val="nil"/>
            </w:tcBorders>
            <w:shd w:val="clear" w:color="auto" w:fill="auto"/>
            <w:noWrap/>
            <w:vAlign w:val="center"/>
            <w:hideMark/>
          </w:tcPr>
          <w:p w14:paraId="47D4C48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31,264</w:t>
            </w:r>
          </w:p>
        </w:tc>
        <w:tc>
          <w:tcPr>
            <w:tcW w:w="847" w:type="dxa"/>
            <w:tcBorders>
              <w:top w:val="nil"/>
              <w:left w:val="nil"/>
              <w:bottom w:val="nil"/>
              <w:right w:val="nil"/>
            </w:tcBorders>
            <w:shd w:val="clear" w:color="auto" w:fill="auto"/>
            <w:noWrap/>
            <w:vAlign w:val="center"/>
            <w:hideMark/>
          </w:tcPr>
          <w:p w14:paraId="48844B6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103,672</w:t>
            </w:r>
          </w:p>
        </w:tc>
        <w:tc>
          <w:tcPr>
            <w:tcW w:w="847" w:type="dxa"/>
            <w:tcBorders>
              <w:top w:val="nil"/>
              <w:left w:val="nil"/>
              <w:bottom w:val="nil"/>
              <w:right w:val="nil"/>
            </w:tcBorders>
            <w:shd w:val="clear" w:color="auto" w:fill="auto"/>
            <w:noWrap/>
            <w:vAlign w:val="center"/>
            <w:hideMark/>
          </w:tcPr>
          <w:p w14:paraId="164E936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120,224</w:t>
            </w:r>
          </w:p>
        </w:tc>
        <w:tc>
          <w:tcPr>
            <w:tcW w:w="880" w:type="dxa"/>
            <w:tcBorders>
              <w:top w:val="nil"/>
              <w:left w:val="nil"/>
              <w:bottom w:val="nil"/>
              <w:right w:val="nil"/>
            </w:tcBorders>
            <w:shd w:val="clear" w:color="auto" w:fill="auto"/>
            <w:noWrap/>
            <w:vAlign w:val="center"/>
            <w:hideMark/>
          </w:tcPr>
          <w:p w14:paraId="5F78B09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80,072</w:t>
            </w:r>
          </w:p>
        </w:tc>
        <w:tc>
          <w:tcPr>
            <w:tcW w:w="768" w:type="dxa"/>
            <w:tcBorders>
              <w:top w:val="nil"/>
              <w:left w:val="nil"/>
              <w:bottom w:val="nil"/>
              <w:right w:val="nil"/>
            </w:tcBorders>
            <w:shd w:val="clear" w:color="auto" w:fill="auto"/>
            <w:noWrap/>
            <w:vAlign w:val="center"/>
            <w:hideMark/>
          </w:tcPr>
          <w:p w14:paraId="341BDEE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94,831</w:t>
            </w:r>
          </w:p>
        </w:tc>
        <w:tc>
          <w:tcPr>
            <w:tcW w:w="847" w:type="dxa"/>
            <w:tcBorders>
              <w:top w:val="nil"/>
              <w:left w:val="nil"/>
              <w:bottom w:val="nil"/>
              <w:right w:val="nil"/>
            </w:tcBorders>
            <w:shd w:val="clear" w:color="auto" w:fill="auto"/>
            <w:noWrap/>
            <w:vAlign w:val="center"/>
            <w:hideMark/>
          </w:tcPr>
          <w:p w14:paraId="2C4357C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80,717</w:t>
            </w:r>
          </w:p>
        </w:tc>
        <w:tc>
          <w:tcPr>
            <w:tcW w:w="847" w:type="dxa"/>
            <w:tcBorders>
              <w:top w:val="nil"/>
              <w:left w:val="nil"/>
              <w:bottom w:val="nil"/>
              <w:right w:val="nil"/>
            </w:tcBorders>
            <w:shd w:val="clear" w:color="auto" w:fill="auto"/>
            <w:noWrap/>
            <w:vAlign w:val="center"/>
            <w:hideMark/>
          </w:tcPr>
          <w:p w14:paraId="2E8A490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136,952</w:t>
            </w:r>
          </w:p>
        </w:tc>
        <w:tc>
          <w:tcPr>
            <w:tcW w:w="847" w:type="dxa"/>
            <w:tcBorders>
              <w:top w:val="nil"/>
              <w:left w:val="nil"/>
              <w:bottom w:val="nil"/>
              <w:right w:val="nil"/>
            </w:tcBorders>
            <w:shd w:val="clear" w:color="auto" w:fill="auto"/>
            <w:noWrap/>
            <w:vAlign w:val="center"/>
            <w:hideMark/>
          </w:tcPr>
          <w:p w14:paraId="0A214B9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93,022</w:t>
            </w:r>
          </w:p>
        </w:tc>
        <w:tc>
          <w:tcPr>
            <w:tcW w:w="945" w:type="dxa"/>
            <w:tcBorders>
              <w:top w:val="nil"/>
              <w:left w:val="nil"/>
              <w:bottom w:val="nil"/>
            </w:tcBorders>
            <w:shd w:val="clear" w:color="auto" w:fill="auto"/>
            <w:noWrap/>
            <w:vAlign w:val="center"/>
            <w:hideMark/>
          </w:tcPr>
          <w:p w14:paraId="3A5CDD5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806,359</w:t>
            </w:r>
          </w:p>
        </w:tc>
      </w:tr>
      <w:tr w:rsidR="0015649E" w:rsidRPr="0084045A" w14:paraId="6C6CE532" w14:textId="77777777" w:rsidTr="00C3352F">
        <w:trPr>
          <w:trHeight w:val="212"/>
          <w:jc w:val="center"/>
        </w:trPr>
        <w:tc>
          <w:tcPr>
            <w:tcW w:w="728" w:type="dxa"/>
            <w:vMerge/>
            <w:shd w:val="clear" w:color="auto" w:fill="auto"/>
            <w:noWrap/>
            <w:textDirection w:val="btLr"/>
            <w:vAlign w:val="center"/>
            <w:hideMark/>
          </w:tcPr>
          <w:p w14:paraId="02634332"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51587BE" w14:textId="7E5C142E"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16054EC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23,546</w:t>
            </w:r>
          </w:p>
        </w:tc>
        <w:tc>
          <w:tcPr>
            <w:tcW w:w="768" w:type="dxa"/>
            <w:tcBorders>
              <w:top w:val="nil"/>
              <w:left w:val="nil"/>
              <w:bottom w:val="nil"/>
              <w:right w:val="nil"/>
            </w:tcBorders>
            <w:shd w:val="clear" w:color="auto" w:fill="auto"/>
            <w:noWrap/>
            <w:vAlign w:val="center"/>
            <w:hideMark/>
          </w:tcPr>
          <w:p w14:paraId="64AD09F4" w14:textId="394FDB5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9428</w:t>
            </w:r>
          </w:p>
        </w:tc>
        <w:tc>
          <w:tcPr>
            <w:tcW w:w="847" w:type="dxa"/>
            <w:tcBorders>
              <w:top w:val="nil"/>
              <w:left w:val="nil"/>
              <w:bottom w:val="nil"/>
              <w:right w:val="nil"/>
            </w:tcBorders>
            <w:shd w:val="clear" w:color="auto" w:fill="auto"/>
            <w:noWrap/>
            <w:vAlign w:val="center"/>
            <w:hideMark/>
          </w:tcPr>
          <w:p w14:paraId="5D63BCA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39,446</w:t>
            </w:r>
          </w:p>
        </w:tc>
        <w:tc>
          <w:tcPr>
            <w:tcW w:w="847" w:type="dxa"/>
            <w:tcBorders>
              <w:top w:val="nil"/>
              <w:left w:val="nil"/>
              <w:bottom w:val="nil"/>
              <w:right w:val="nil"/>
            </w:tcBorders>
            <w:shd w:val="clear" w:color="auto" w:fill="auto"/>
            <w:noWrap/>
            <w:vAlign w:val="center"/>
            <w:hideMark/>
          </w:tcPr>
          <w:p w14:paraId="5649BC9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43,560</w:t>
            </w:r>
          </w:p>
        </w:tc>
        <w:tc>
          <w:tcPr>
            <w:tcW w:w="880" w:type="dxa"/>
            <w:tcBorders>
              <w:top w:val="nil"/>
              <w:left w:val="nil"/>
              <w:bottom w:val="nil"/>
              <w:right w:val="nil"/>
            </w:tcBorders>
            <w:shd w:val="clear" w:color="auto" w:fill="auto"/>
            <w:noWrap/>
            <w:vAlign w:val="center"/>
            <w:hideMark/>
          </w:tcPr>
          <w:p w14:paraId="65D4F03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38,169</w:t>
            </w:r>
          </w:p>
        </w:tc>
        <w:tc>
          <w:tcPr>
            <w:tcW w:w="768" w:type="dxa"/>
            <w:tcBorders>
              <w:top w:val="nil"/>
              <w:left w:val="nil"/>
              <w:bottom w:val="nil"/>
              <w:right w:val="nil"/>
            </w:tcBorders>
            <w:shd w:val="clear" w:color="auto" w:fill="auto"/>
            <w:noWrap/>
            <w:vAlign w:val="center"/>
            <w:hideMark/>
          </w:tcPr>
          <w:p w14:paraId="350FE4B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37,956</w:t>
            </w:r>
          </w:p>
        </w:tc>
        <w:tc>
          <w:tcPr>
            <w:tcW w:w="847" w:type="dxa"/>
            <w:tcBorders>
              <w:top w:val="nil"/>
              <w:left w:val="nil"/>
              <w:bottom w:val="nil"/>
              <w:right w:val="nil"/>
            </w:tcBorders>
            <w:shd w:val="clear" w:color="auto" w:fill="auto"/>
            <w:noWrap/>
            <w:vAlign w:val="center"/>
            <w:hideMark/>
          </w:tcPr>
          <w:p w14:paraId="3DC5200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47,645</w:t>
            </w:r>
          </w:p>
        </w:tc>
        <w:tc>
          <w:tcPr>
            <w:tcW w:w="847" w:type="dxa"/>
            <w:tcBorders>
              <w:top w:val="nil"/>
              <w:left w:val="nil"/>
              <w:bottom w:val="nil"/>
              <w:right w:val="nil"/>
            </w:tcBorders>
            <w:shd w:val="clear" w:color="auto" w:fill="auto"/>
            <w:noWrap/>
            <w:vAlign w:val="center"/>
            <w:hideMark/>
          </w:tcPr>
          <w:p w14:paraId="4E6BBD6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88,233</w:t>
            </w:r>
          </w:p>
        </w:tc>
        <w:tc>
          <w:tcPr>
            <w:tcW w:w="847" w:type="dxa"/>
            <w:tcBorders>
              <w:top w:val="nil"/>
              <w:left w:val="nil"/>
              <w:bottom w:val="nil"/>
              <w:right w:val="nil"/>
            </w:tcBorders>
            <w:shd w:val="clear" w:color="auto" w:fill="auto"/>
            <w:noWrap/>
            <w:vAlign w:val="center"/>
            <w:hideMark/>
          </w:tcPr>
          <w:p w14:paraId="164E367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45,653</w:t>
            </w:r>
          </w:p>
        </w:tc>
        <w:tc>
          <w:tcPr>
            <w:tcW w:w="945" w:type="dxa"/>
            <w:tcBorders>
              <w:top w:val="nil"/>
              <w:left w:val="nil"/>
              <w:bottom w:val="nil"/>
            </w:tcBorders>
            <w:shd w:val="clear" w:color="auto" w:fill="auto"/>
            <w:noWrap/>
            <w:vAlign w:val="center"/>
            <w:hideMark/>
          </w:tcPr>
          <w:p w14:paraId="518B69F6"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373,635</w:t>
            </w:r>
          </w:p>
        </w:tc>
      </w:tr>
      <w:tr w:rsidR="0015649E" w:rsidRPr="0084045A" w14:paraId="014CF540" w14:textId="77777777" w:rsidTr="00C3352F">
        <w:trPr>
          <w:trHeight w:val="212"/>
          <w:jc w:val="center"/>
        </w:trPr>
        <w:tc>
          <w:tcPr>
            <w:tcW w:w="728" w:type="dxa"/>
            <w:vMerge/>
            <w:shd w:val="clear" w:color="auto" w:fill="auto"/>
            <w:noWrap/>
            <w:textDirection w:val="btLr"/>
            <w:vAlign w:val="center"/>
            <w:hideMark/>
          </w:tcPr>
          <w:p w14:paraId="28A19F69"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5B6D3684" w14:textId="2D7F34C1"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07D148B6" w14:textId="479DF28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8353</w:t>
            </w:r>
          </w:p>
        </w:tc>
        <w:tc>
          <w:tcPr>
            <w:tcW w:w="768" w:type="dxa"/>
            <w:tcBorders>
              <w:top w:val="nil"/>
              <w:left w:val="nil"/>
              <w:bottom w:val="single" w:sz="4" w:space="0" w:color="auto"/>
              <w:right w:val="nil"/>
            </w:tcBorders>
            <w:shd w:val="clear" w:color="auto" w:fill="auto"/>
            <w:noWrap/>
            <w:vAlign w:val="center"/>
            <w:hideMark/>
          </w:tcPr>
          <w:p w14:paraId="02DF3108" w14:textId="116E8DD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4435</w:t>
            </w:r>
          </w:p>
        </w:tc>
        <w:tc>
          <w:tcPr>
            <w:tcW w:w="847" w:type="dxa"/>
            <w:tcBorders>
              <w:top w:val="nil"/>
              <w:left w:val="nil"/>
              <w:bottom w:val="single" w:sz="4" w:space="0" w:color="auto"/>
              <w:right w:val="nil"/>
            </w:tcBorders>
            <w:shd w:val="clear" w:color="auto" w:fill="auto"/>
            <w:noWrap/>
            <w:vAlign w:val="center"/>
            <w:hideMark/>
          </w:tcPr>
          <w:p w14:paraId="4768BB4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18,987</w:t>
            </w:r>
          </w:p>
        </w:tc>
        <w:tc>
          <w:tcPr>
            <w:tcW w:w="847" w:type="dxa"/>
            <w:tcBorders>
              <w:top w:val="nil"/>
              <w:left w:val="nil"/>
              <w:bottom w:val="single" w:sz="4" w:space="0" w:color="auto"/>
              <w:right w:val="nil"/>
            </w:tcBorders>
            <w:shd w:val="clear" w:color="auto" w:fill="auto"/>
            <w:noWrap/>
            <w:vAlign w:val="center"/>
            <w:hideMark/>
          </w:tcPr>
          <w:p w14:paraId="17E45AB3" w14:textId="59447F0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7684</w:t>
            </w:r>
          </w:p>
        </w:tc>
        <w:tc>
          <w:tcPr>
            <w:tcW w:w="880" w:type="dxa"/>
            <w:tcBorders>
              <w:top w:val="nil"/>
              <w:left w:val="nil"/>
              <w:bottom w:val="single" w:sz="4" w:space="0" w:color="auto"/>
              <w:right w:val="nil"/>
            </w:tcBorders>
            <w:shd w:val="clear" w:color="auto" w:fill="auto"/>
            <w:noWrap/>
            <w:vAlign w:val="center"/>
            <w:hideMark/>
          </w:tcPr>
          <w:p w14:paraId="2E78445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20,943</w:t>
            </w:r>
          </w:p>
        </w:tc>
        <w:tc>
          <w:tcPr>
            <w:tcW w:w="768" w:type="dxa"/>
            <w:tcBorders>
              <w:top w:val="nil"/>
              <w:left w:val="nil"/>
              <w:bottom w:val="single" w:sz="4" w:space="0" w:color="auto"/>
              <w:right w:val="nil"/>
            </w:tcBorders>
            <w:shd w:val="clear" w:color="auto" w:fill="auto"/>
            <w:noWrap/>
            <w:vAlign w:val="center"/>
            <w:hideMark/>
          </w:tcPr>
          <w:p w14:paraId="56E2AA1A" w14:textId="33C9BDB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7355</w:t>
            </w:r>
          </w:p>
        </w:tc>
        <w:tc>
          <w:tcPr>
            <w:tcW w:w="847" w:type="dxa"/>
            <w:tcBorders>
              <w:top w:val="nil"/>
              <w:left w:val="nil"/>
              <w:bottom w:val="single" w:sz="4" w:space="0" w:color="auto"/>
              <w:right w:val="nil"/>
            </w:tcBorders>
            <w:shd w:val="clear" w:color="auto" w:fill="auto"/>
            <w:noWrap/>
            <w:vAlign w:val="center"/>
            <w:hideMark/>
          </w:tcPr>
          <w:p w14:paraId="50A481E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19,580</w:t>
            </w:r>
          </w:p>
        </w:tc>
        <w:tc>
          <w:tcPr>
            <w:tcW w:w="847" w:type="dxa"/>
            <w:tcBorders>
              <w:top w:val="nil"/>
              <w:left w:val="nil"/>
              <w:bottom w:val="single" w:sz="4" w:space="0" w:color="auto"/>
              <w:right w:val="nil"/>
            </w:tcBorders>
            <w:shd w:val="clear" w:color="auto" w:fill="auto"/>
            <w:noWrap/>
            <w:vAlign w:val="center"/>
            <w:hideMark/>
          </w:tcPr>
          <w:p w14:paraId="52179E2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31,946</w:t>
            </w:r>
          </w:p>
        </w:tc>
        <w:tc>
          <w:tcPr>
            <w:tcW w:w="847" w:type="dxa"/>
            <w:tcBorders>
              <w:top w:val="nil"/>
              <w:left w:val="nil"/>
              <w:bottom w:val="single" w:sz="4" w:space="0" w:color="auto"/>
              <w:right w:val="nil"/>
            </w:tcBorders>
            <w:shd w:val="clear" w:color="auto" w:fill="auto"/>
            <w:noWrap/>
            <w:vAlign w:val="center"/>
            <w:hideMark/>
          </w:tcPr>
          <w:p w14:paraId="6F1B435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16,329</w:t>
            </w:r>
          </w:p>
        </w:tc>
        <w:tc>
          <w:tcPr>
            <w:tcW w:w="945" w:type="dxa"/>
            <w:tcBorders>
              <w:top w:val="nil"/>
              <w:left w:val="nil"/>
              <w:bottom w:val="single" w:sz="4" w:space="0" w:color="auto"/>
            </w:tcBorders>
            <w:shd w:val="clear" w:color="auto" w:fill="auto"/>
            <w:noWrap/>
            <w:vAlign w:val="center"/>
            <w:hideMark/>
          </w:tcPr>
          <w:p w14:paraId="03F24BA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135,611</w:t>
            </w:r>
          </w:p>
        </w:tc>
      </w:tr>
      <w:tr w:rsidR="0015649E" w:rsidRPr="0084045A" w14:paraId="02A31A98" w14:textId="77777777" w:rsidTr="00C3352F">
        <w:trPr>
          <w:trHeight w:val="212"/>
          <w:jc w:val="center"/>
        </w:trPr>
        <w:tc>
          <w:tcPr>
            <w:tcW w:w="728" w:type="dxa"/>
            <w:vMerge w:val="restart"/>
            <w:shd w:val="clear" w:color="auto" w:fill="auto"/>
            <w:noWrap/>
            <w:textDirection w:val="btLr"/>
            <w:vAlign w:val="center"/>
            <w:hideMark/>
          </w:tcPr>
          <w:p w14:paraId="006958D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Sinaloa</w:t>
            </w:r>
          </w:p>
        </w:tc>
        <w:tc>
          <w:tcPr>
            <w:tcW w:w="753" w:type="dxa"/>
            <w:tcBorders>
              <w:bottom w:val="nil"/>
              <w:right w:val="nil"/>
            </w:tcBorders>
            <w:vAlign w:val="center"/>
          </w:tcPr>
          <w:p w14:paraId="6481F99C" w14:textId="0417965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6951C24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36,389</w:t>
            </w:r>
          </w:p>
        </w:tc>
        <w:tc>
          <w:tcPr>
            <w:tcW w:w="768" w:type="dxa"/>
            <w:tcBorders>
              <w:left w:val="nil"/>
              <w:bottom w:val="nil"/>
              <w:right w:val="nil"/>
            </w:tcBorders>
            <w:shd w:val="clear" w:color="auto" w:fill="auto"/>
            <w:noWrap/>
            <w:vAlign w:val="center"/>
            <w:hideMark/>
          </w:tcPr>
          <w:p w14:paraId="009701C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12,446</w:t>
            </w:r>
          </w:p>
        </w:tc>
        <w:tc>
          <w:tcPr>
            <w:tcW w:w="847" w:type="dxa"/>
            <w:tcBorders>
              <w:left w:val="nil"/>
              <w:bottom w:val="nil"/>
              <w:right w:val="nil"/>
            </w:tcBorders>
            <w:shd w:val="clear" w:color="auto" w:fill="auto"/>
            <w:noWrap/>
            <w:vAlign w:val="center"/>
            <w:hideMark/>
          </w:tcPr>
          <w:p w14:paraId="3C2AE21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47,204</w:t>
            </w:r>
          </w:p>
        </w:tc>
        <w:tc>
          <w:tcPr>
            <w:tcW w:w="847" w:type="dxa"/>
            <w:tcBorders>
              <w:left w:val="nil"/>
              <w:bottom w:val="nil"/>
              <w:right w:val="nil"/>
            </w:tcBorders>
            <w:shd w:val="clear" w:color="auto" w:fill="auto"/>
            <w:noWrap/>
            <w:vAlign w:val="center"/>
            <w:hideMark/>
          </w:tcPr>
          <w:p w14:paraId="542F6C4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33,675</w:t>
            </w:r>
          </w:p>
        </w:tc>
        <w:tc>
          <w:tcPr>
            <w:tcW w:w="880" w:type="dxa"/>
            <w:tcBorders>
              <w:left w:val="nil"/>
              <w:bottom w:val="nil"/>
              <w:right w:val="nil"/>
            </w:tcBorders>
            <w:shd w:val="clear" w:color="auto" w:fill="auto"/>
            <w:noWrap/>
            <w:vAlign w:val="center"/>
            <w:hideMark/>
          </w:tcPr>
          <w:p w14:paraId="3A5AF89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42,732</w:t>
            </w:r>
          </w:p>
        </w:tc>
        <w:tc>
          <w:tcPr>
            <w:tcW w:w="768" w:type="dxa"/>
            <w:tcBorders>
              <w:left w:val="nil"/>
              <w:bottom w:val="nil"/>
              <w:right w:val="nil"/>
            </w:tcBorders>
            <w:shd w:val="clear" w:color="auto" w:fill="auto"/>
            <w:noWrap/>
            <w:vAlign w:val="center"/>
            <w:hideMark/>
          </w:tcPr>
          <w:p w14:paraId="4F0006F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30,427</w:t>
            </w:r>
          </w:p>
        </w:tc>
        <w:tc>
          <w:tcPr>
            <w:tcW w:w="847" w:type="dxa"/>
            <w:tcBorders>
              <w:left w:val="nil"/>
              <w:bottom w:val="nil"/>
              <w:right w:val="nil"/>
            </w:tcBorders>
            <w:shd w:val="clear" w:color="auto" w:fill="auto"/>
            <w:noWrap/>
            <w:vAlign w:val="center"/>
            <w:hideMark/>
          </w:tcPr>
          <w:p w14:paraId="4F18BF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30,088</w:t>
            </w:r>
          </w:p>
        </w:tc>
        <w:tc>
          <w:tcPr>
            <w:tcW w:w="847" w:type="dxa"/>
            <w:tcBorders>
              <w:left w:val="nil"/>
              <w:bottom w:val="nil"/>
              <w:right w:val="nil"/>
            </w:tcBorders>
            <w:shd w:val="clear" w:color="auto" w:fill="auto"/>
            <w:noWrap/>
            <w:vAlign w:val="center"/>
            <w:hideMark/>
          </w:tcPr>
          <w:p w14:paraId="037C1AF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51,892</w:t>
            </w:r>
          </w:p>
        </w:tc>
        <w:tc>
          <w:tcPr>
            <w:tcW w:w="847" w:type="dxa"/>
            <w:tcBorders>
              <w:left w:val="nil"/>
              <w:bottom w:val="nil"/>
              <w:right w:val="nil"/>
            </w:tcBorders>
            <w:shd w:val="clear" w:color="auto" w:fill="auto"/>
            <w:noWrap/>
            <w:vAlign w:val="center"/>
            <w:hideMark/>
          </w:tcPr>
          <w:p w14:paraId="4B2263C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34,749</w:t>
            </w:r>
          </w:p>
        </w:tc>
        <w:tc>
          <w:tcPr>
            <w:tcW w:w="945" w:type="dxa"/>
            <w:tcBorders>
              <w:left w:val="nil"/>
              <w:bottom w:val="nil"/>
            </w:tcBorders>
            <w:shd w:val="clear" w:color="auto" w:fill="auto"/>
            <w:noWrap/>
            <w:vAlign w:val="center"/>
            <w:hideMark/>
          </w:tcPr>
          <w:p w14:paraId="015A5CB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319,602</w:t>
            </w:r>
          </w:p>
        </w:tc>
      </w:tr>
      <w:tr w:rsidR="0015649E" w:rsidRPr="0084045A" w14:paraId="6691BF02" w14:textId="77777777" w:rsidTr="00C3352F">
        <w:trPr>
          <w:trHeight w:val="212"/>
          <w:jc w:val="center"/>
        </w:trPr>
        <w:tc>
          <w:tcPr>
            <w:tcW w:w="728" w:type="dxa"/>
            <w:vMerge/>
            <w:shd w:val="clear" w:color="auto" w:fill="auto"/>
            <w:noWrap/>
            <w:textDirection w:val="btLr"/>
            <w:vAlign w:val="center"/>
            <w:hideMark/>
          </w:tcPr>
          <w:p w14:paraId="463FEB59"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D34882A" w14:textId="17EEA93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035881C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58,222</w:t>
            </w:r>
          </w:p>
        </w:tc>
        <w:tc>
          <w:tcPr>
            <w:tcW w:w="768" w:type="dxa"/>
            <w:tcBorders>
              <w:top w:val="nil"/>
              <w:left w:val="nil"/>
              <w:bottom w:val="nil"/>
              <w:right w:val="nil"/>
            </w:tcBorders>
            <w:shd w:val="clear" w:color="auto" w:fill="auto"/>
            <w:noWrap/>
            <w:vAlign w:val="center"/>
            <w:hideMark/>
          </w:tcPr>
          <w:p w14:paraId="7577BD4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26,383</w:t>
            </w:r>
          </w:p>
        </w:tc>
        <w:tc>
          <w:tcPr>
            <w:tcW w:w="847" w:type="dxa"/>
            <w:tcBorders>
              <w:top w:val="nil"/>
              <w:left w:val="nil"/>
              <w:bottom w:val="nil"/>
              <w:right w:val="nil"/>
            </w:tcBorders>
            <w:shd w:val="clear" w:color="auto" w:fill="auto"/>
            <w:noWrap/>
            <w:vAlign w:val="center"/>
            <w:hideMark/>
          </w:tcPr>
          <w:p w14:paraId="0DA5550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88,472</w:t>
            </w:r>
          </w:p>
        </w:tc>
        <w:tc>
          <w:tcPr>
            <w:tcW w:w="847" w:type="dxa"/>
            <w:tcBorders>
              <w:top w:val="nil"/>
              <w:left w:val="nil"/>
              <w:bottom w:val="nil"/>
              <w:right w:val="nil"/>
            </w:tcBorders>
            <w:shd w:val="clear" w:color="auto" w:fill="auto"/>
            <w:noWrap/>
            <w:vAlign w:val="center"/>
            <w:hideMark/>
          </w:tcPr>
          <w:p w14:paraId="1ABB36A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52,955</w:t>
            </w:r>
          </w:p>
        </w:tc>
        <w:tc>
          <w:tcPr>
            <w:tcW w:w="880" w:type="dxa"/>
            <w:tcBorders>
              <w:top w:val="nil"/>
              <w:left w:val="nil"/>
              <w:bottom w:val="nil"/>
              <w:right w:val="nil"/>
            </w:tcBorders>
            <w:shd w:val="clear" w:color="auto" w:fill="auto"/>
            <w:noWrap/>
            <w:vAlign w:val="center"/>
            <w:hideMark/>
          </w:tcPr>
          <w:p w14:paraId="1B2B462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85,115</w:t>
            </w:r>
          </w:p>
        </w:tc>
        <w:tc>
          <w:tcPr>
            <w:tcW w:w="768" w:type="dxa"/>
            <w:tcBorders>
              <w:top w:val="nil"/>
              <w:left w:val="nil"/>
              <w:bottom w:val="nil"/>
              <w:right w:val="nil"/>
            </w:tcBorders>
            <w:shd w:val="clear" w:color="auto" w:fill="auto"/>
            <w:noWrap/>
            <w:vAlign w:val="center"/>
            <w:hideMark/>
          </w:tcPr>
          <w:p w14:paraId="662E4E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58,044</w:t>
            </w:r>
          </w:p>
        </w:tc>
        <w:tc>
          <w:tcPr>
            <w:tcW w:w="847" w:type="dxa"/>
            <w:tcBorders>
              <w:top w:val="nil"/>
              <w:left w:val="nil"/>
              <w:bottom w:val="nil"/>
              <w:right w:val="nil"/>
            </w:tcBorders>
            <w:shd w:val="clear" w:color="auto" w:fill="auto"/>
            <w:noWrap/>
            <w:vAlign w:val="center"/>
            <w:hideMark/>
          </w:tcPr>
          <w:p w14:paraId="197568C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79,155</w:t>
            </w:r>
          </w:p>
        </w:tc>
        <w:tc>
          <w:tcPr>
            <w:tcW w:w="847" w:type="dxa"/>
            <w:tcBorders>
              <w:top w:val="nil"/>
              <w:left w:val="nil"/>
              <w:bottom w:val="nil"/>
              <w:right w:val="nil"/>
            </w:tcBorders>
            <w:shd w:val="clear" w:color="auto" w:fill="auto"/>
            <w:noWrap/>
            <w:vAlign w:val="center"/>
            <w:hideMark/>
          </w:tcPr>
          <w:p w14:paraId="484126C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99,429</w:t>
            </w:r>
          </w:p>
        </w:tc>
        <w:tc>
          <w:tcPr>
            <w:tcW w:w="847" w:type="dxa"/>
            <w:tcBorders>
              <w:top w:val="nil"/>
              <w:left w:val="nil"/>
              <w:bottom w:val="nil"/>
              <w:right w:val="nil"/>
            </w:tcBorders>
            <w:shd w:val="clear" w:color="auto" w:fill="auto"/>
            <w:noWrap/>
            <w:vAlign w:val="center"/>
            <w:hideMark/>
          </w:tcPr>
          <w:p w14:paraId="067A937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67,924</w:t>
            </w:r>
          </w:p>
        </w:tc>
        <w:tc>
          <w:tcPr>
            <w:tcW w:w="945" w:type="dxa"/>
            <w:tcBorders>
              <w:top w:val="nil"/>
              <w:left w:val="nil"/>
              <w:bottom w:val="nil"/>
            </w:tcBorders>
            <w:shd w:val="clear" w:color="auto" w:fill="auto"/>
            <w:noWrap/>
            <w:vAlign w:val="center"/>
            <w:hideMark/>
          </w:tcPr>
          <w:p w14:paraId="2778F668"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615,698</w:t>
            </w:r>
          </w:p>
        </w:tc>
      </w:tr>
      <w:tr w:rsidR="0015649E" w:rsidRPr="0084045A" w14:paraId="60655FA7" w14:textId="77777777" w:rsidTr="00C3352F">
        <w:trPr>
          <w:trHeight w:val="212"/>
          <w:jc w:val="center"/>
        </w:trPr>
        <w:tc>
          <w:tcPr>
            <w:tcW w:w="728" w:type="dxa"/>
            <w:vMerge/>
            <w:shd w:val="clear" w:color="auto" w:fill="auto"/>
            <w:noWrap/>
            <w:textDirection w:val="btLr"/>
            <w:vAlign w:val="center"/>
            <w:hideMark/>
          </w:tcPr>
          <w:p w14:paraId="005997A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081BB90A" w14:textId="39DDC219"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2A96602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73,229</w:t>
            </w:r>
          </w:p>
        </w:tc>
        <w:tc>
          <w:tcPr>
            <w:tcW w:w="768" w:type="dxa"/>
            <w:tcBorders>
              <w:top w:val="nil"/>
              <w:left w:val="nil"/>
              <w:bottom w:val="nil"/>
              <w:right w:val="nil"/>
            </w:tcBorders>
            <w:shd w:val="clear" w:color="auto" w:fill="auto"/>
            <w:noWrap/>
            <w:vAlign w:val="center"/>
            <w:hideMark/>
          </w:tcPr>
          <w:p w14:paraId="65F427E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34,926</w:t>
            </w:r>
          </w:p>
        </w:tc>
        <w:tc>
          <w:tcPr>
            <w:tcW w:w="847" w:type="dxa"/>
            <w:tcBorders>
              <w:top w:val="nil"/>
              <w:left w:val="nil"/>
              <w:bottom w:val="nil"/>
              <w:right w:val="nil"/>
            </w:tcBorders>
            <w:shd w:val="clear" w:color="auto" w:fill="auto"/>
            <w:noWrap/>
            <w:vAlign w:val="center"/>
            <w:hideMark/>
          </w:tcPr>
          <w:p w14:paraId="62ACA9A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115,915</w:t>
            </w:r>
          </w:p>
        </w:tc>
        <w:tc>
          <w:tcPr>
            <w:tcW w:w="847" w:type="dxa"/>
            <w:tcBorders>
              <w:top w:val="nil"/>
              <w:left w:val="nil"/>
              <w:bottom w:val="nil"/>
              <w:right w:val="nil"/>
            </w:tcBorders>
            <w:shd w:val="clear" w:color="auto" w:fill="auto"/>
            <w:noWrap/>
            <w:vAlign w:val="center"/>
            <w:hideMark/>
          </w:tcPr>
          <w:p w14:paraId="14F4E86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134,539</w:t>
            </w:r>
          </w:p>
        </w:tc>
        <w:tc>
          <w:tcPr>
            <w:tcW w:w="880" w:type="dxa"/>
            <w:tcBorders>
              <w:top w:val="nil"/>
              <w:left w:val="nil"/>
              <w:bottom w:val="nil"/>
              <w:right w:val="nil"/>
            </w:tcBorders>
            <w:shd w:val="clear" w:color="auto" w:fill="auto"/>
            <w:noWrap/>
            <w:vAlign w:val="center"/>
            <w:hideMark/>
          </w:tcPr>
          <w:p w14:paraId="12835EA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89,685</w:t>
            </w:r>
          </w:p>
        </w:tc>
        <w:tc>
          <w:tcPr>
            <w:tcW w:w="768" w:type="dxa"/>
            <w:tcBorders>
              <w:top w:val="nil"/>
              <w:left w:val="nil"/>
              <w:bottom w:val="nil"/>
              <w:right w:val="nil"/>
            </w:tcBorders>
            <w:shd w:val="clear" w:color="auto" w:fill="auto"/>
            <w:noWrap/>
            <w:vAlign w:val="center"/>
            <w:hideMark/>
          </w:tcPr>
          <w:p w14:paraId="54D2F3D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106,306</w:t>
            </w:r>
          </w:p>
        </w:tc>
        <w:tc>
          <w:tcPr>
            <w:tcW w:w="847" w:type="dxa"/>
            <w:tcBorders>
              <w:top w:val="nil"/>
              <w:left w:val="nil"/>
              <w:bottom w:val="nil"/>
              <w:right w:val="nil"/>
            </w:tcBorders>
            <w:shd w:val="clear" w:color="auto" w:fill="auto"/>
            <w:noWrap/>
            <w:vAlign w:val="center"/>
            <w:hideMark/>
          </w:tcPr>
          <w:p w14:paraId="3BE1BB1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90,460</w:t>
            </w:r>
          </w:p>
        </w:tc>
        <w:tc>
          <w:tcPr>
            <w:tcW w:w="847" w:type="dxa"/>
            <w:tcBorders>
              <w:top w:val="nil"/>
              <w:left w:val="nil"/>
              <w:bottom w:val="nil"/>
              <w:right w:val="nil"/>
            </w:tcBorders>
            <w:shd w:val="clear" w:color="auto" w:fill="auto"/>
            <w:noWrap/>
            <w:vAlign w:val="center"/>
            <w:hideMark/>
          </w:tcPr>
          <w:p w14:paraId="5DD3A42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153,449</w:t>
            </w:r>
          </w:p>
        </w:tc>
        <w:tc>
          <w:tcPr>
            <w:tcW w:w="847" w:type="dxa"/>
            <w:tcBorders>
              <w:top w:val="nil"/>
              <w:left w:val="nil"/>
              <w:bottom w:val="nil"/>
              <w:right w:val="nil"/>
            </w:tcBorders>
            <w:shd w:val="clear" w:color="auto" w:fill="auto"/>
            <w:noWrap/>
            <w:vAlign w:val="center"/>
            <w:hideMark/>
          </w:tcPr>
          <w:p w14:paraId="1B4DE9A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104,201</w:t>
            </w:r>
          </w:p>
        </w:tc>
        <w:tc>
          <w:tcPr>
            <w:tcW w:w="945" w:type="dxa"/>
            <w:tcBorders>
              <w:top w:val="nil"/>
              <w:left w:val="nil"/>
              <w:bottom w:val="nil"/>
            </w:tcBorders>
            <w:shd w:val="clear" w:color="auto" w:fill="auto"/>
            <w:noWrap/>
            <w:vAlign w:val="center"/>
            <w:hideMark/>
          </w:tcPr>
          <w:p w14:paraId="170971F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902,711</w:t>
            </w:r>
          </w:p>
        </w:tc>
      </w:tr>
      <w:tr w:rsidR="0015649E" w:rsidRPr="0084045A" w14:paraId="755BC1DA" w14:textId="77777777" w:rsidTr="00C3352F">
        <w:trPr>
          <w:trHeight w:val="212"/>
          <w:jc w:val="center"/>
        </w:trPr>
        <w:tc>
          <w:tcPr>
            <w:tcW w:w="728" w:type="dxa"/>
            <w:vMerge/>
            <w:shd w:val="clear" w:color="auto" w:fill="auto"/>
            <w:noWrap/>
            <w:textDirection w:val="btLr"/>
            <w:vAlign w:val="center"/>
            <w:hideMark/>
          </w:tcPr>
          <w:p w14:paraId="2C13647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F02A237" w14:textId="0B6C183F"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2316088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27,172</w:t>
            </w:r>
          </w:p>
        </w:tc>
        <w:tc>
          <w:tcPr>
            <w:tcW w:w="768" w:type="dxa"/>
            <w:tcBorders>
              <w:top w:val="nil"/>
              <w:left w:val="nil"/>
              <w:bottom w:val="nil"/>
              <w:right w:val="nil"/>
            </w:tcBorders>
            <w:shd w:val="clear" w:color="auto" w:fill="auto"/>
            <w:noWrap/>
            <w:vAlign w:val="center"/>
            <w:hideMark/>
          </w:tcPr>
          <w:p w14:paraId="1F51CFE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10,891</w:t>
            </w:r>
          </w:p>
        </w:tc>
        <w:tc>
          <w:tcPr>
            <w:tcW w:w="847" w:type="dxa"/>
            <w:tcBorders>
              <w:top w:val="nil"/>
              <w:left w:val="nil"/>
              <w:bottom w:val="nil"/>
              <w:right w:val="nil"/>
            </w:tcBorders>
            <w:shd w:val="clear" w:color="auto" w:fill="auto"/>
            <w:noWrap/>
            <w:vAlign w:val="center"/>
            <w:hideMark/>
          </w:tcPr>
          <w:p w14:paraId="20A2895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45,616</w:t>
            </w:r>
          </w:p>
        </w:tc>
        <w:tc>
          <w:tcPr>
            <w:tcW w:w="847" w:type="dxa"/>
            <w:tcBorders>
              <w:top w:val="nil"/>
              <w:left w:val="nil"/>
              <w:bottom w:val="nil"/>
              <w:right w:val="nil"/>
            </w:tcBorders>
            <w:shd w:val="clear" w:color="auto" w:fill="auto"/>
            <w:noWrap/>
            <w:vAlign w:val="center"/>
            <w:hideMark/>
          </w:tcPr>
          <w:p w14:paraId="167CC5E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50,428</w:t>
            </w:r>
          </w:p>
        </w:tc>
        <w:tc>
          <w:tcPr>
            <w:tcW w:w="880" w:type="dxa"/>
            <w:tcBorders>
              <w:top w:val="nil"/>
              <w:left w:val="nil"/>
              <w:bottom w:val="nil"/>
              <w:right w:val="nil"/>
            </w:tcBorders>
            <w:shd w:val="clear" w:color="auto" w:fill="auto"/>
            <w:noWrap/>
            <w:vAlign w:val="center"/>
            <w:hideMark/>
          </w:tcPr>
          <w:p w14:paraId="4BC1C25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44,233</w:t>
            </w:r>
          </w:p>
        </w:tc>
        <w:tc>
          <w:tcPr>
            <w:tcW w:w="768" w:type="dxa"/>
            <w:tcBorders>
              <w:top w:val="nil"/>
              <w:left w:val="nil"/>
              <w:bottom w:val="nil"/>
              <w:right w:val="nil"/>
            </w:tcBorders>
            <w:shd w:val="clear" w:color="auto" w:fill="auto"/>
            <w:noWrap/>
            <w:vAlign w:val="center"/>
            <w:hideMark/>
          </w:tcPr>
          <w:p w14:paraId="6349EBC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44,033</w:t>
            </w:r>
          </w:p>
        </w:tc>
        <w:tc>
          <w:tcPr>
            <w:tcW w:w="847" w:type="dxa"/>
            <w:tcBorders>
              <w:top w:val="nil"/>
              <w:left w:val="nil"/>
              <w:bottom w:val="nil"/>
              <w:right w:val="nil"/>
            </w:tcBorders>
            <w:shd w:val="clear" w:color="auto" w:fill="auto"/>
            <w:noWrap/>
            <w:vAlign w:val="center"/>
            <w:hideMark/>
          </w:tcPr>
          <w:p w14:paraId="25E83A5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55,379</w:t>
            </w:r>
          </w:p>
        </w:tc>
        <w:tc>
          <w:tcPr>
            <w:tcW w:w="847" w:type="dxa"/>
            <w:tcBorders>
              <w:top w:val="nil"/>
              <w:left w:val="nil"/>
              <w:bottom w:val="nil"/>
              <w:right w:val="nil"/>
            </w:tcBorders>
            <w:shd w:val="clear" w:color="auto" w:fill="auto"/>
            <w:noWrap/>
            <w:vAlign w:val="center"/>
            <w:hideMark/>
          </w:tcPr>
          <w:p w14:paraId="5913FDA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102,750</w:t>
            </w:r>
          </w:p>
        </w:tc>
        <w:tc>
          <w:tcPr>
            <w:tcW w:w="847" w:type="dxa"/>
            <w:tcBorders>
              <w:top w:val="nil"/>
              <w:left w:val="nil"/>
              <w:bottom w:val="nil"/>
              <w:right w:val="nil"/>
            </w:tcBorders>
            <w:shd w:val="clear" w:color="auto" w:fill="auto"/>
            <w:noWrap/>
            <w:vAlign w:val="center"/>
            <w:hideMark/>
          </w:tcPr>
          <w:p w14:paraId="6EF6601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53,261</w:t>
            </w:r>
          </w:p>
        </w:tc>
        <w:tc>
          <w:tcPr>
            <w:tcW w:w="945" w:type="dxa"/>
            <w:tcBorders>
              <w:top w:val="nil"/>
              <w:left w:val="nil"/>
              <w:bottom w:val="nil"/>
            </w:tcBorders>
            <w:shd w:val="clear" w:color="auto" w:fill="auto"/>
            <w:noWrap/>
            <w:vAlign w:val="center"/>
            <w:hideMark/>
          </w:tcPr>
          <w:p w14:paraId="7CD0E7DB"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433,763</w:t>
            </w:r>
          </w:p>
        </w:tc>
      </w:tr>
      <w:tr w:rsidR="0015649E" w:rsidRPr="0084045A" w14:paraId="1ECF47C3" w14:textId="77777777" w:rsidTr="00C3352F">
        <w:trPr>
          <w:trHeight w:val="212"/>
          <w:jc w:val="center"/>
        </w:trPr>
        <w:tc>
          <w:tcPr>
            <w:tcW w:w="728" w:type="dxa"/>
            <w:vMerge/>
            <w:shd w:val="clear" w:color="auto" w:fill="auto"/>
            <w:noWrap/>
            <w:textDirection w:val="btLr"/>
            <w:vAlign w:val="center"/>
            <w:hideMark/>
          </w:tcPr>
          <w:p w14:paraId="5C28CDCB"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246BB97E" w14:textId="4CEAD039"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53B7DAF5" w14:textId="5D7F88E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8390</w:t>
            </w:r>
          </w:p>
        </w:tc>
        <w:tc>
          <w:tcPr>
            <w:tcW w:w="768" w:type="dxa"/>
            <w:tcBorders>
              <w:top w:val="nil"/>
              <w:left w:val="nil"/>
              <w:bottom w:val="single" w:sz="4" w:space="0" w:color="auto"/>
              <w:right w:val="nil"/>
            </w:tcBorders>
            <w:shd w:val="clear" w:color="auto" w:fill="auto"/>
            <w:noWrap/>
            <w:vAlign w:val="center"/>
            <w:hideMark/>
          </w:tcPr>
          <w:p w14:paraId="4F57CE15" w14:textId="00B37F4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4489</w:t>
            </w:r>
          </w:p>
        </w:tc>
        <w:tc>
          <w:tcPr>
            <w:tcW w:w="847" w:type="dxa"/>
            <w:tcBorders>
              <w:top w:val="nil"/>
              <w:left w:val="nil"/>
              <w:bottom w:val="single" w:sz="4" w:space="0" w:color="auto"/>
              <w:right w:val="nil"/>
            </w:tcBorders>
            <w:shd w:val="clear" w:color="auto" w:fill="auto"/>
            <w:noWrap/>
            <w:vAlign w:val="center"/>
            <w:hideMark/>
          </w:tcPr>
          <w:p w14:paraId="7689D6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19,364</w:t>
            </w:r>
          </w:p>
        </w:tc>
        <w:tc>
          <w:tcPr>
            <w:tcW w:w="847" w:type="dxa"/>
            <w:tcBorders>
              <w:top w:val="nil"/>
              <w:left w:val="nil"/>
              <w:bottom w:val="single" w:sz="4" w:space="0" w:color="auto"/>
              <w:right w:val="nil"/>
            </w:tcBorders>
            <w:shd w:val="clear" w:color="auto" w:fill="auto"/>
            <w:noWrap/>
            <w:vAlign w:val="center"/>
            <w:hideMark/>
          </w:tcPr>
          <w:p w14:paraId="21000C12" w14:textId="01258DB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7897</w:t>
            </w:r>
          </w:p>
        </w:tc>
        <w:tc>
          <w:tcPr>
            <w:tcW w:w="880" w:type="dxa"/>
            <w:tcBorders>
              <w:top w:val="nil"/>
              <w:left w:val="nil"/>
              <w:bottom w:val="single" w:sz="4" w:space="0" w:color="auto"/>
              <w:right w:val="nil"/>
            </w:tcBorders>
            <w:shd w:val="clear" w:color="auto" w:fill="auto"/>
            <w:noWrap/>
            <w:vAlign w:val="center"/>
            <w:hideMark/>
          </w:tcPr>
          <w:p w14:paraId="19DBC85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21,691</w:t>
            </w:r>
          </w:p>
        </w:tc>
        <w:tc>
          <w:tcPr>
            <w:tcW w:w="768" w:type="dxa"/>
            <w:tcBorders>
              <w:top w:val="nil"/>
              <w:left w:val="nil"/>
              <w:bottom w:val="single" w:sz="4" w:space="0" w:color="auto"/>
              <w:right w:val="nil"/>
            </w:tcBorders>
            <w:shd w:val="clear" w:color="auto" w:fill="auto"/>
            <w:noWrap/>
            <w:vAlign w:val="center"/>
            <w:hideMark/>
          </w:tcPr>
          <w:p w14:paraId="1FA05A44" w14:textId="18BAB30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7678</w:t>
            </w:r>
          </w:p>
        </w:tc>
        <w:tc>
          <w:tcPr>
            <w:tcW w:w="847" w:type="dxa"/>
            <w:tcBorders>
              <w:top w:val="nil"/>
              <w:left w:val="nil"/>
              <w:bottom w:val="single" w:sz="4" w:space="0" w:color="auto"/>
              <w:right w:val="nil"/>
            </w:tcBorders>
            <w:shd w:val="clear" w:color="auto" w:fill="auto"/>
            <w:noWrap/>
            <w:vAlign w:val="center"/>
            <w:hideMark/>
          </w:tcPr>
          <w:p w14:paraId="65B394D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20,662</w:t>
            </w:r>
          </w:p>
        </w:tc>
        <w:tc>
          <w:tcPr>
            <w:tcW w:w="847" w:type="dxa"/>
            <w:tcBorders>
              <w:top w:val="nil"/>
              <w:left w:val="nil"/>
              <w:bottom w:val="single" w:sz="4" w:space="0" w:color="auto"/>
              <w:right w:val="nil"/>
            </w:tcBorders>
            <w:shd w:val="clear" w:color="auto" w:fill="auto"/>
            <w:noWrap/>
            <w:vAlign w:val="center"/>
            <w:hideMark/>
          </w:tcPr>
          <w:p w14:paraId="356176B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34,063</w:t>
            </w:r>
          </w:p>
        </w:tc>
        <w:tc>
          <w:tcPr>
            <w:tcW w:w="847" w:type="dxa"/>
            <w:tcBorders>
              <w:top w:val="nil"/>
              <w:left w:val="nil"/>
              <w:bottom w:val="single" w:sz="4" w:space="0" w:color="auto"/>
              <w:right w:val="nil"/>
            </w:tcBorders>
            <w:shd w:val="clear" w:color="auto" w:fill="auto"/>
            <w:noWrap/>
            <w:vAlign w:val="center"/>
            <w:hideMark/>
          </w:tcPr>
          <w:p w14:paraId="7713FAF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17,584</w:t>
            </w:r>
          </w:p>
        </w:tc>
        <w:tc>
          <w:tcPr>
            <w:tcW w:w="945" w:type="dxa"/>
            <w:tcBorders>
              <w:top w:val="nil"/>
              <w:left w:val="nil"/>
              <w:bottom w:val="single" w:sz="4" w:space="0" w:color="auto"/>
            </w:tcBorders>
            <w:shd w:val="clear" w:color="auto" w:fill="auto"/>
            <w:noWrap/>
            <w:vAlign w:val="center"/>
            <w:hideMark/>
          </w:tcPr>
          <w:p w14:paraId="548F76D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141,817</w:t>
            </w:r>
          </w:p>
        </w:tc>
      </w:tr>
      <w:tr w:rsidR="0015649E" w:rsidRPr="0084045A" w14:paraId="145ABBCA" w14:textId="77777777" w:rsidTr="00C3352F">
        <w:trPr>
          <w:trHeight w:val="212"/>
          <w:jc w:val="center"/>
        </w:trPr>
        <w:tc>
          <w:tcPr>
            <w:tcW w:w="728" w:type="dxa"/>
            <w:vMerge w:val="restart"/>
            <w:shd w:val="clear" w:color="auto" w:fill="auto"/>
            <w:noWrap/>
            <w:textDirection w:val="btLr"/>
            <w:vAlign w:val="center"/>
            <w:hideMark/>
          </w:tcPr>
          <w:p w14:paraId="1100D105"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Sonora</w:t>
            </w:r>
          </w:p>
        </w:tc>
        <w:tc>
          <w:tcPr>
            <w:tcW w:w="753" w:type="dxa"/>
            <w:tcBorders>
              <w:bottom w:val="nil"/>
              <w:right w:val="nil"/>
            </w:tcBorders>
            <w:vAlign w:val="center"/>
          </w:tcPr>
          <w:p w14:paraId="675F63BD" w14:textId="67430268"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518228F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35,921</w:t>
            </w:r>
          </w:p>
        </w:tc>
        <w:tc>
          <w:tcPr>
            <w:tcW w:w="768" w:type="dxa"/>
            <w:tcBorders>
              <w:left w:val="nil"/>
              <w:bottom w:val="nil"/>
              <w:right w:val="nil"/>
            </w:tcBorders>
            <w:shd w:val="clear" w:color="auto" w:fill="auto"/>
            <w:noWrap/>
            <w:vAlign w:val="center"/>
            <w:hideMark/>
          </w:tcPr>
          <w:p w14:paraId="096A8DB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12,261</w:t>
            </w:r>
          </w:p>
        </w:tc>
        <w:tc>
          <w:tcPr>
            <w:tcW w:w="847" w:type="dxa"/>
            <w:tcBorders>
              <w:left w:val="nil"/>
              <w:bottom w:val="nil"/>
              <w:right w:val="nil"/>
            </w:tcBorders>
            <w:shd w:val="clear" w:color="auto" w:fill="auto"/>
            <w:noWrap/>
            <w:vAlign w:val="center"/>
            <w:hideMark/>
          </w:tcPr>
          <w:p w14:paraId="57CC1E6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46,408</w:t>
            </w:r>
          </w:p>
        </w:tc>
        <w:tc>
          <w:tcPr>
            <w:tcW w:w="847" w:type="dxa"/>
            <w:tcBorders>
              <w:left w:val="nil"/>
              <w:bottom w:val="nil"/>
              <w:right w:val="nil"/>
            </w:tcBorders>
            <w:shd w:val="clear" w:color="auto" w:fill="auto"/>
            <w:noWrap/>
            <w:vAlign w:val="center"/>
            <w:hideMark/>
          </w:tcPr>
          <w:p w14:paraId="4CB6CBE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33,040</w:t>
            </w:r>
          </w:p>
        </w:tc>
        <w:tc>
          <w:tcPr>
            <w:tcW w:w="880" w:type="dxa"/>
            <w:tcBorders>
              <w:left w:val="nil"/>
              <w:bottom w:val="nil"/>
              <w:right w:val="nil"/>
            </w:tcBorders>
            <w:shd w:val="clear" w:color="auto" w:fill="auto"/>
            <w:noWrap/>
            <w:vAlign w:val="center"/>
            <w:hideMark/>
          </w:tcPr>
          <w:p w14:paraId="1BB9342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41,841</w:t>
            </w:r>
          </w:p>
        </w:tc>
        <w:tc>
          <w:tcPr>
            <w:tcW w:w="768" w:type="dxa"/>
            <w:tcBorders>
              <w:left w:val="nil"/>
              <w:bottom w:val="nil"/>
              <w:right w:val="nil"/>
            </w:tcBorders>
            <w:shd w:val="clear" w:color="auto" w:fill="auto"/>
            <w:noWrap/>
            <w:vAlign w:val="center"/>
            <w:hideMark/>
          </w:tcPr>
          <w:p w14:paraId="2B11E6A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29,732</w:t>
            </w:r>
          </w:p>
        </w:tc>
        <w:tc>
          <w:tcPr>
            <w:tcW w:w="847" w:type="dxa"/>
            <w:tcBorders>
              <w:left w:val="nil"/>
              <w:bottom w:val="nil"/>
              <w:right w:val="nil"/>
            </w:tcBorders>
            <w:shd w:val="clear" w:color="auto" w:fill="auto"/>
            <w:noWrap/>
            <w:vAlign w:val="center"/>
            <w:hideMark/>
          </w:tcPr>
          <w:p w14:paraId="68CB4B0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29,500</w:t>
            </w:r>
          </w:p>
        </w:tc>
        <w:tc>
          <w:tcPr>
            <w:tcW w:w="847" w:type="dxa"/>
            <w:tcBorders>
              <w:left w:val="nil"/>
              <w:bottom w:val="nil"/>
              <w:right w:val="nil"/>
            </w:tcBorders>
            <w:shd w:val="clear" w:color="auto" w:fill="auto"/>
            <w:noWrap/>
            <w:vAlign w:val="center"/>
            <w:hideMark/>
          </w:tcPr>
          <w:p w14:paraId="5A09E64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51,046</w:t>
            </w:r>
          </w:p>
        </w:tc>
        <w:tc>
          <w:tcPr>
            <w:tcW w:w="847" w:type="dxa"/>
            <w:tcBorders>
              <w:left w:val="nil"/>
              <w:bottom w:val="nil"/>
              <w:right w:val="nil"/>
            </w:tcBorders>
            <w:shd w:val="clear" w:color="auto" w:fill="auto"/>
            <w:noWrap/>
            <w:vAlign w:val="center"/>
            <w:hideMark/>
          </w:tcPr>
          <w:p w14:paraId="48D49F2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34,253</w:t>
            </w:r>
          </w:p>
        </w:tc>
        <w:tc>
          <w:tcPr>
            <w:tcW w:w="945" w:type="dxa"/>
            <w:tcBorders>
              <w:left w:val="nil"/>
              <w:bottom w:val="nil"/>
            </w:tcBorders>
            <w:shd w:val="clear" w:color="auto" w:fill="auto"/>
            <w:noWrap/>
            <w:vAlign w:val="center"/>
            <w:hideMark/>
          </w:tcPr>
          <w:p w14:paraId="1FEAF8E2"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314,003</w:t>
            </w:r>
          </w:p>
        </w:tc>
      </w:tr>
      <w:tr w:rsidR="0015649E" w:rsidRPr="0084045A" w14:paraId="64CD32E6" w14:textId="77777777" w:rsidTr="00C3352F">
        <w:trPr>
          <w:trHeight w:val="212"/>
          <w:jc w:val="center"/>
        </w:trPr>
        <w:tc>
          <w:tcPr>
            <w:tcW w:w="728" w:type="dxa"/>
            <w:vMerge/>
            <w:shd w:val="clear" w:color="auto" w:fill="auto"/>
            <w:noWrap/>
            <w:textDirection w:val="btLr"/>
            <w:vAlign w:val="center"/>
            <w:hideMark/>
          </w:tcPr>
          <w:p w14:paraId="77E2E502"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6787982" w14:textId="10C0389C"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66DA4CC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55,529</w:t>
            </w:r>
          </w:p>
        </w:tc>
        <w:tc>
          <w:tcPr>
            <w:tcW w:w="768" w:type="dxa"/>
            <w:tcBorders>
              <w:top w:val="nil"/>
              <w:left w:val="nil"/>
              <w:bottom w:val="nil"/>
              <w:right w:val="nil"/>
            </w:tcBorders>
            <w:shd w:val="clear" w:color="auto" w:fill="auto"/>
            <w:noWrap/>
            <w:vAlign w:val="center"/>
            <w:hideMark/>
          </w:tcPr>
          <w:p w14:paraId="5FBFBB3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25,190</w:t>
            </w:r>
          </w:p>
        </w:tc>
        <w:tc>
          <w:tcPr>
            <w:tcW w:w="847" w:type="dxa"/>
            <w:tcBorders>
              <w:top w:val="nil"/>
              <w:left w:val="nil"/>
              <w:bottom w:val="nil"/>
              <w:right w:val="nil"/>
            </w:tcBorders>
            <w:shd w:val="clear" w:color="auto" w:fill="auto"/>
            <w:noWrap/>
            <w:vAlign w:val="center"/>
            <w:hideMark/>
          </w:tcPr>
          <w:p w14:paraId="597D254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84,563</w:t>
            </w:r>
          </w:p>
        </w:tc>
        <w:tc>
          <w:tcPr>
            <w:tcW w:w="847" w:type="dxa"/>
            <w:tcBorders>
              <w:top w:val="nil"/>
              <w:left w:val="nil"/>
              <w:bottom w:val="nil"/>
              <w:right w:val="nil"/>
            </w:tcBorders>
            <w:shd w:val="clear" w:color="auto" w:fill="auto"/>
            <w:noWrap/>
            <w:vAlign w:val="center"/>
            <w:hideMark/>
          </w:tcPr>
          <w:p w14:paraId="310C3D3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50,669</w:t>
            </w:r>
          </w:p>
        </w:tc>
        <w:tc>
          <w:tcPr>
            <w:tcW w:w="880" w:type="dxa"/>
            <w:tcBorders>
              <w:top w:val="nil"/>
              <w:left w:val="nil"/>
              <w:bottom w:val="nil"/>
              <w:right w:val="nil"/>
            </w:tcBorders>
            <w:shd w:val="clear" w:color="auto" w:fill="auto"/>
            <w:noWrap/>
            <w:vAlign w:val="center"/>
            <w:hideMark/>
          </w:tcPr>
          <w:p w14:paraId="3D95E6D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81,525</w:t>
            </w:r>
          </w:p>
        </w:tc>
        <w:tc>
          <w:tcPr>
            <w:tcW w:w="768" w:type="dxa"/>
            <w:tcBorders>
              <w:top w:val="nil"/>
              <w:left w:val="nil"/>
              <w:bottom w:val="nil"/>
              <w:right w:val="nil"/>
            </w:tcBorders>
            <w:shd w:val="clear" w:color="auto" w:fill="auto"/>
            <w:noWrap/>
            <w:vAlign w:val="center"/>
            <w:hideMark/>
          </w:tcPr>
          <w:p w14:paraId="3AC66B6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55,653</w:t>
            </w:r>
          </w:p>
        </w:tc>
        <w:tc>
          <w:tcPr>
            <w:tcW w:w="847" w:type="dxa"/>
            <w:tcBorders>
              <w:top w:val="nil"/>
              <w:left w:val="nil"/>
              <w:bottom w:val="nil"/>
              <w:right w:val="nil"/>
            </w:tcBorders>
            <w:shd w:val="clear" w:color="auto" w:fill="auto"/>
            <w:noWrap/>
            <w:vAlign w:val="center"/>
            <w:hideMark/>
          </w:tcPr>
          <w:p w14:paraId="6912197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76,259</w:t>
            </w:r>
          </w:p>
        </w:tc>
        <w:tc>
          <w:tcPr>
            <w:tcW w:w="847" w:type="dxa"/>
            <w:tcBorders>
              <w:top w:val="nil"/>
              <w:left w:val="nil"/>
              <w:bottom w:val="nil"/>
              <w:right w:val="nil"/>
            </w:tcBorders>
            <w:shd w:val="clear" w:color="auto" w:fill="auto"/>
            <w:noWrap/>
            <w:vAlign w:val="center"/>
            <w:hideMark/>
          </w:tcPr>
          <w:p w14:paraId="7667D10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96,257</w:t>
            </w:r>
          </w:p>
        </w:tc>
        <w:tc>
          <w:tcPr>
            <w:tcW w:w="847" w:type="dxa"/>
            <w:tcBorders>
              <w:top w:val="nil"/>
              <w:left w:val="nil"/>
              <w:bottom w:val="nil"/>
              <w:right w:val="nil"/>
            </w:tcBorders>
            <w:shd w:val="clear" w:color="auto" w:fill="auto"/>
            <w:noWrap/>
            <w:vAlign w:val="center"/>
            <w:hideMark/>
          </w:tcPr>
          <w:p w14:paraId="07CB01D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66,076</w:t>
            </w:r>
          </w:p>
        </w:tc>
        <w:tc>
          <w:tcPr>
            <w:tcW w:w="945" w:type="dxa"/>
            <w:tcBorders>
              <w:top w:val="nil"/>
              <w:left w:val="nil"/>
              <w:bottom w:val="nil"/>
            </w:tcBorders>
            <w:shd w:val="clear" w:color="auto" w:fill="auto"/>
            <w:noWrap/>
            <w:vAlign w:val="center"/>
            <w:hideMark/>
          </w:tcPr>
          <w:p w14:paraId="1212582B"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591,720</w:t>
            </w:r>
          </w:p>
        </w:tc>
      </w:tr>
      <w:tr w:rsidR="0015649E" w:rsidRPr="0084045A" w14:paraId="25100EC7" w14:textId="77777777" w:rsidTr="00C3352F">
        <w:trPr>
          <w:trHeight w:val="212"/>
          <w:jc w:val="center"/>
        </w:trPr>
        <w:tc>
          <w:tcPr>
            <w:tcW w:w="728" w:type="dxa"/>
            <w:vMerge/>
            <w:shd w:val="clear" w:color="auto" w:fill="auto"/>
            <w:noWrap/>
            <w:textDirection w:val="btLr"/>
            <w:vAlign w:val="center"/>
            <w:hideMark/>
          </w:tcPr>
          <w:p w14:paraId="2F26941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60D38AF" w14:textId="39487092"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7444801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70,934</w:t>
            </w:r>
          </w:p>
        </w:tc>
        <w:tc>
          <w:tcPr>
            <w:tcW w:w="768" w:type="dxa"/>
            <w:tcBorders>
              <w:top w:val="nil"/>
              <w:left w:val="nil"/>
              <w:bottom w:val="nil"/>
              <w:right w:val="nil"/>
            </w:tcBorders>
            <w:shd w:val="clear" w:color="auto" w:fill="auto"/>
            <w:noWrap/>
            <w:vAlign w:val="center"/>
            <w:hideMark/>
          </w:tcPr>
          <w:p w14:paraId="02F2EF9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33,834</w:t>
            </w:r>
          </w:p>
        </w:tc>
        <w:tc>
          <w:tcPr>
            <w:tcW w:w="847" w:type="dxa"/>
            <w:tcBorders>
              <w:top w:val="nil"/>
              <w:left w:val="nil"/>
              <w:bottom w:val="nil"/>
              <w:right w:val="nil"/>
            </w:tcBorders>
            <w:shd w:val="clear" w:color="auto" w:fill="auto"/>
            <w:noWrap/>
            <w:vAlign w:val="center"/>
            <w:hideMark/>
          </w:tcPr>
          <w:p w14:paraId="3CDD2ED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112,295</w:t>
            </w:r>
          </w:p>
        </w:tc>
        <w:tc>
          <w:tcPr>
            <w:tcW w:w="847" w:type="dxa"/>
            <w:tcBorders>
              <w:top w:val="nil"/>
              <w:left w:val="nil"/>
              <w:bottom w:val="nil"/>
              <w:right w:val="nil"/>
            </w:tcBorders>
            <w:shd w:val="clear" w:color="auto" w:fill="auto"/>
            <w:noWrap/>
            <w:vAlign w:val="center"/>
            <w:hideMark/>
          </w:tcPr>
          <w:p w14:paraId="0C5BE66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130,341</w:t>
            </w:r>
          </w:p>
        </w:tc>
        <w:tc>
          <w:tcPr>
            <w:tcW w:w="880" w:type="dxa"/>
            <w:tcBorders>
              <w:top w:val="nil"/>
              <w:left w:val="nil"/>
              <w:bottom w:val="nil"/>
              <w:right w:val="nil"/>
            </w:tcBorders>
            <w:shd w:val="clear" w:color="auto" w:fill="auto"/>
            <w:noWrap/>
            <w:vAlign w:val="center"/>
            <w:hideMark/>
          </w:tcPr>
          <w:p w14:paraId="3CA2A92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86,887</w:t>
            </w:r>
          </w:p>
        </w:tc>
        <w:tc>
          <w:tcPr>
            <w:tcW w:w="768" w:type="dxa"/>
            <w:tcBorders>
              <w:top w:val="nil"/>
              <w:left w:val="nil"/>
              <w:bottom w:val="nil"/>
              <w:right w:val="nil"/>
            </w:tcBorders>
            <w:shd w:val="clear" w:color="auto" w:fill="auto"/>
            <w:noWrap/>
            <w:vAlign w:val="center"/>
            <w:hideMark/>
          </w:tcPr>
          <w:p w14:paraId="4741002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102,990</w:t>
            </w:r>
          </w:p>
        </w:tc>
        <w:tc>
          <w:tcPr>
            <w:tcW w:w="847" w:type="dxa"/>
            <w:tcBorders>
              <w:top w:val="nil"/>
              <w:left w:val="nil"/>
              <w:bottom w:val="nil"/>
              <w:right w:val="nil"/>
            </w:tcBorders>
            <w:shd w:val="clear" w:color="auto" w:fill="auto"/>
            <w:noWrap/>
            <w:vAlign w:val="center"/>
            <w:hideMark/>
          </w:tcPr>
          <w:p w14:paraId="23B0E6F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88,002</w:t>
            </w:r>
          </w:p>
        </w:tc>
        <w:tc>
          <w:tcPr>
            <w:tcW w:w="847" w:type="dxa"/>
            <w:tcBorders>
              <w:top w:val="nil"/>
              <w:left w:val="nil"/>
              <w:bottom w:val="nil"/>
              <w:right w:val="nil"/>
            </w:tcBorders>
            <w:shd w:val="clear" w:color="auto" w:fill="auto"/>
            <w:noWrap/>
            <w:vAlign w:val="center"/>
            <w:hideMark/>
          </w:tcPr>
          <w:p w14:paraId="5498533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149,903</w:t>
            </w:r>
          </w:p>
        </w:tc>
        <w:tc>
          <w:tcPr>
            <w:tcW w:w="847" w:type="dxa"/>
            <w:tcBorders>
              <w:top w:val="nil"/>
              <w:left w:val="nil"/>
              <w:bottom w:val="nil"/>
              <w:right w:val="nil"/>
            </w:tcBorders>
            <w:shd w:val="clear" w:color="auto" w:fill="auto"/>
            <w:noWrap/>
            <w:vAlign w:val="center"/>
            <w:hideMark/>
          </w:tcPr>
          <w:p w14:paraId="72BC35A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102,220</w:t>
            </w:r>
          </w:p>
        </w:tc>
        <w:tc>
          <w:tcPr>
            <w:tcW w:w="945" w:type="dxa"/>
            <w:tcBorders>
              <w:top w:val="nil"/>
              <w:left w:val="nil"/>
              <w:bottom w:val="nil"/>
            </w:tcBorders>
            <w:shd w:val="clear" w:color="auto" w:fill="auto"/>
            <w:noWrap/>
            <w:vAlign w:val="center"/>
            <w:hideMark/>
          </w:tcPr>
          <w:p w14:paraId="3962F9A5"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877,406</w:t>
            </w:r>
          </w:p>
        </w:tc>
      </w:tr>
      <w:tr w:rsidR="0015649E" w:rsidRPr="0084045A" w14:paraId="654CA47B" w14:textId="77777777" w:rsidTr="00C3352F">
        <w:trPr>
          <w:trHeight w:val="212"/>
          <w:jc w:val="center"/>
        </w:trPr>
        <w:tc>
          <w:tcPr>
            <w:tcW w:w="728" w:type="dxa"/>
            <w:vMerge/>
            <w:shd w:val="clear" w:color="auto" w:fill="auto"/>
            <w:noWrap/>
            <w:textDirection w:val="btLr"/>
            <w:vAlign w:val="center"/>
            <w:hideMark/>
          </w:tcPr>
          <w:p w14:paraId="7413A7FB"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1203129" w14:textId="2B1357D9"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3B0AB7C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25,641</w:t>
            </w:r>
          </w:p>
        </w:tc>
        <w:tc>
          <w:tcPr>
            <w:tcW w:w="768" w:type="dxa"/>
            <w:tcBorders>
              <w:top w:val="nil"/>
              <w:left w:val="nil"/>
              <w:bottom w:val="nil"/>
              <w:right w:val="nil"/>
            </w:tcBorders>
            <w:shd w:val="clear" w:color="auto" w:fill="auto"/>
            <w:noWrap/>
            <w:vAlign w:val="center"/>
            <w:hideMark/>
          </w:tcPr>
          <w:p w14:paraId="253A1F5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10,293</w:t>
            </w:r>
          </w:p>
        </w:tc>
        <w:tc>
          <w:tcPr>
            <w:tcW w:w="847" w:type="dxa"/>
            <w:tcBorders>
              <w:top w:val="nil"/>
              <w:left w:val="nil"/>
              <w:bottom w:val="nil"/>
              <w:right w:val="nil"/>
            </w:tcBorders>
            <w:shd w:val="clear" w:color="auto" w:fill="auto"/>
            <w:noWrap/>
            <w:vAlign w:val="center"/>
            <w:hideMark/>
          </w:tcPr>
          <w:p w14:paraId="41D2489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43,176</w:t>
            </w:r>
          </w:p>
        </w:tc>
        <w:tc>
          <w:tcPr>
            <w:tcW w:w="847" w:type="dxa"/>
            <w:tcBorders>
              <w:top w:val="nil"/>
              <w:left w:val="nil"/>
              <w:bottom w:val="nil"/>
              <w:right w:val="nil"/>
            </w:tcBorders>
            <w:shd w:val="clear" w:color="auto" w:fill="auto"/>
            <w:noWrap/>
            <w:vAlign w:val="center"/>
            <w:hideMark/>
          </w:tcPr>
          <w:p w14:paraId="3B36C05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47,802</w:t>
            </w:r>
          </w:p>
        </w:tc>
        <w:tc>
          <w:tcPr>
            <w:tcW w:w="880" w:type="dxa"/>
            <w:tcBorders>
              <w:top w:val="nil"/>
              <w:left w:val="nil"/>
              <w:bottom w:val="nil"/>
              <w:right w:val="nil"/>
            </w:tcBorders>
            <w:shd w:val="clear" w:color="auto" w:fill="auto"/>
            <w:noWrap/>
            <w:vAlign w:val="center"/>
            <w:hideMark/>
          </w:tcPr>
          <w:p w14:paraId="3E7D7F0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41,996</w:t>
            </w:r>
          </w:p>
        </w:tc>
        <w:tc>
          <w:tcPr>
            <w:tcW w:w="768" w:type="dxa"/>
            <w:tcBorders>
              <w:top w:val="nil"/>
              <w:left w:val="nil"/>
              <w:bottom w:val="nil"/>
              <w:right w:val="nil"/>
            </w:tcBorders>
            <w:shd w:val="clear" w:color="auto" w:fill="auto"/>
            <w:noWrap/>
            <w:vAlign w:val="center"/>
            <w:hideMark/>
          </w:tcPr>
          <w:p w14:paraId="6F7F1CF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41,871</w:t>
            </w:r>
          </w:p>
        </w:tc>
        <w:tc>
          <w:tcPr>
            <w:tcW w:w="847" w:type="dxa"/>
            <w:tcBorders>
              <w:top w:val="nil"/>
              <w:left w:val="nil"/>
              <w:bottom w:val="nil"/>
              <w:right w:val="nil"/>
            </w:tcBorders>
            <w:shd w:val="clear" w:color="auto" w:fill="auto"/>
            <w:noWrap/>
            <w:vAlign w:val="center"/>
            <w:hideMark/>
          </w:tcPr>
          <w:p w14:paraId="7A86048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52,795</w:t>
            </w:r>
          </w:p>
        </w:tc>
        <w:tc>
          <w:tcPr>
            <w:tcW w:w="847" w:type="dxa"/>
            <w:tcBorders>
              <w:top w:val="nil"/>
              <w:left w:val="nil"/>
              <w:bottom w:val="nil"/>
              <w:right w:val="nil"/>
            </w:tcBorders>
            <w:shd w:val="clear" w:color="auto" w:fill="auto"/>
            <w:noWrap/>
            <w:vAlign w:val="center"/>
            <w:hideMark/>
          </w:tcPr>
          <w:p w14:paraId="02683A5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98,166</w:t>
            </w:r>
          </w:p>
        </w:tc>
        <w:tc>
          <w:tcPr>
            <w:tcW w:w="847" w:type="dxa"/>
            <w:tcBorders>
              <w:top w:val="nil"/>
              <w:left w:val="nil"/>
              <w:bottom w:val="nil"/>
              <w:right w:val="nil"/>
            </w:tcBorders>
            <w:shd w:val="clear" w:color="auto" w:fill="auto"/>
            <w:noWrap/>
            <w:vAlign w:val="center"/>
            <w:hideMark/>
          </w:tcPr>
          <w:p w14:paraId="73939F6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50,982</w:t>
            </w:r>
          </w:p>
        </w:tc>
        <w:tc>
          <w:tcPr>
            <w:tcW w:w="945" w:type="dxa"/>
            <w:tcBorders>
              <w:top w:val="nil"/>
              <w:left w:val="nil"/>
              <w:bottom w:val="nil"/>
            </w:tcBorders>
            <w:shd w:val="clear" w:color="auto" w:fill="auto"/>
            <w:noWrap/>
            <w:vAlign w:val="center"/>
            <w:hideMark/>
          </w:tcPr>
          <w:p w14:paraId="015642C8"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412,722</w:t>
            </w:r>
          </w:p>
        </w:tc>
      </w:tr>
      <w:tr w:rsidR="0015649E" w:rsidRPr="0084045A" w14:paraId="02EF0CEB" w14:textId="77777777" w:rsidTr="00C3352F">
        <w:trPr>
          <w:trHeight w:val="212"/>
          <w:jc w:val="center"/>
        </w:trPr>
        <w:tc>
          <w:tcPr>
            <w:tcW w:w="728" w:type="dxa"/>
            <w:vMerge/>
            <w:shd w:val="clear" w:color="auto" w:fill="auto"/>
            <w:noWrap/>
            <w:textDirection w:val="btLr"/>
            <w:vAlign w:val="center"/>
            <w:hideMark/>
          </w:tcPr>
          <w:p w14:paraId="484EFAD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18FB0971" w14:textId="201DEC43"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71A5F204" w14:textId="4D72B0BA"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7323</w:t>
            </w:r>
          </w:p>
        </w:tc>
        <w:tc>
          <w:tcPr>
            <w:tcW w:w="768" w:type="dxa"/>
            <w:tcBorders>
              <w:top w:val="nil"/>
              <w:left w:val="nil"/>
              <w:bottom w:val="single" w:sz="4" w:space="0" w:color="auto"/>
              <w:right w:val="nil"/>
            </w:tcBorders>
            <w:shd w:val="clear" w:color="auto" w:fill="auto"/>
            <w:noWrap/>
            <w:vAlign w:val="center"/>
            <w:hideMark/>
          </w:tcPr>
          <w:p w14:paraId="0642659D" w14:textId="43F29BF6"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3900</w:t>
            </w:r>
          </w:p>
        </w:tc>
        <w:tc>
          <w:tcPr>
            <w:tcW w:w="847" w:type="dxa"/>
            <w:tcBorders>
              <w:top w:val="nil"/>
              <w:left w:val="nil"/>
              <w:bottom w:val="single" w:sz="4" w:space="0" w:color="auto"/>
              <w:right w:val="nil"/>
            </w:tcBorders>
            <w:shd w:val="clear" w:color="auto" w:fill="auto"/>
            <w:noWrap/>
            <w:vAlign w:val="center"/>
            <w:hideMark/>
          </w:tcPr>
          <w:p w14:paraId="3C40E9B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16,749</w:t>
            </w:r>
          </w:p>
        </w:tc>
        <w:tc>
          <w:tcPr>
            <w:tcW w:w="847" w:type="dxa"/>
            <w:tcBorders>
              <w:top w:val="nil"/>
              <w:left w:val="nil"/>
              <w:bottom w:val="single" w:sz="4" w:space="0" w:color="auto"/>
              <w:right w:val="nil"/>
            </w:tcBorders>
            <w:shd w:val="clear" w:color="auto" w:fill="auto"/>
            <w:noWrap/>
            <w:vAlign w:val="center"/>
            <w:hideMark/>
          </w:tcPr>
          <w:p w14:paraId="2152D55E" w14:textId="4D55FA1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6800</w:t>
            </w:r>
          </w:p>
        </w:tc>
        <w:tc>
          <w:tcPr>
            <w:tcW w:w="880" w:type="dxa"/>
            <w:tcBorders>
              <w:top w:val="nil"/>
              <w:left w:val="nil"/>
              <w:bottom w:val="single" w:sz="4" w:space="0" w:color="auto"/>
              <w:right w:val="nil"/>
            </w:tcBorders>
            <w:shd w:val="clear" w:color="auto" w:fill="auto"/>
            <w:noWrap/>
            <w:vAlign w:val="center"/>
            <w:hideMark/>
          </w:tcPr>
          <w:p w14:paraId="01D0405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18,597</w:t>
            </w:r>
          </w:p>
        </w:tc>
        <w:tc>
          <w:tcPr>
            <w:tcW w:w="768" w:type="dxa"/>
            <w:tcBorders>
              <w:top w:val="nil"/>
              <w:left w:val="nil"/>
              <w:bottom w:val="single" w:sz="4" w:space="0" w:color="auto"/>
              <w:right w:val="nil"/>
            </w:tcBorders>
            <w:shd w:val="clear" w:color="auto" w:fill="auto"/>
            <w:noWrap/>
            <w:vAlign w:val="center"/>
            <w:hideMark/>
          </w:tcPr>
          <w:p w14:paraId="2D41A84B" w14:textId="766745E0"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6553</w:t>
            </w:r>
          </w:p>
        </w:tc>
        <w:tc>
          <w:tcPr>
            <w:tcW w:w="847" w:type="dxa"/>
            <w:tcBorders>
              <w:top w:val="nil"/>
              <w:left w:val="nil"/>
              <w:bottom w:val="single" w:sz="4" w:space="0" w:color="auto"/>
              <w:right w:val="nil"/>
            </w:tcBorders>
            <w:shd w:val="clear" w:color="auto" w:fill="auto"/>
            <w:noWrap/>
            <w:vAlign w:val="center"/>
            <w:hideMark/>
          </w:tcPr>
          <w:p w14:paraId="4AE218C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17,814</w:t>
            </w:r>
          </w:p>
        </w:tc>
        <w:tc>
          <w:tcPr>
            <w:tcW w:w="847" w:type="dxa"/>
            <w:tcBorders>
              <w:top w:val="nil"/>
              <w:left w:val="nil"/>
              <w:bottom w:val="single" w:sz="4" w:space="0" w:color="auto"/>
              <w:right w:val="nil"/>
            </w:tcBorders>
            <w:shd w:val="clear" w:color="auto" w:fill="auto"/>
            <w:noWrap/>
            <w:vAlign w:val="center"/>
            <w:hideMark/>
          </w:tcPr>
          <w:p w14:paraId="5EDE028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29,667</w:t>
            </w:r>
          </w:p>
        </w:tc>
        <w:tc>
          <w:tcPr>
            <w:tcW w:w="847" w:type="dxa"/>
            <w:tcBorders>
              <w:top w:val="nil"/>
              <w:left w:val="nil"/>
              <w:bottom w:val="single" w:sz="4" w:space="0" w:color="auto"/>
              <w:right w:val="nil"/>
            </w:tcBorders>
            <w:shd w:val="clear" w:color="auto" w:fill="auto"/>
            <w:noWrap/>
            <w:vAlign w:val="center"/>
            <w:hideMark/>
          </w:tcPr>
          <w:p w14:paraId="0613ECA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15,470</w:t>
            </w:r>
          </w:p>
        </w:tc>
        <w:tc>
          <w:tcPr>
            <w:tcW w:w="945" w:type="dxa"/>
            <w:tcBorders>
              <w:top w:val="nil"/>
              <w:left w:val="nil"/>
              <w:bottom w:val="single" w:sz="4" w:space="0" w:color="auto"/>
            </w:tcBorders>
            <w:shd w:val="clear" w:color="auto" w:fill="auto"/>
            <w:noWrap/>
            <w:vAlign w:val="center"/>
            <w:hideMark/>
          </w:tcPr>
          <w:p w14:paraId="4569B26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122,873</w:t>
            </w:r>
          </w:p>
        </w:tc>
      </w:tr>
      <w:tr w:rsidR="0015649E" w:rsidRPr="0084045A" w14:paraId="15121CCD" w14:textId="77777777" w:rsidTr="00C3352F">
        <w:trPr>
          <w:trHeight w:val="212"/>
          <w:jc w:val="center"/>
        </w:trPr>
        <w:tc>
          <w:tcPr>
            <w:tcW w:w="728" w:type="dxa"/>
            <w:vMerge w:val="restart"/>
            <w:shd w:val="clear" w:color="auto" w:fill="auto"/>
            <w:noWrap/>
            <w:textDirection w:val="btLr"/>
            <w:vAlign w:val="center"/>
            <w:hideMark/>
          </w:tcPr>
          <w:p w14:paraId="27CF3684"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Tabasco</w:t>
            </w:r>
          </w:p>
        </w:tc>
        <w:tc>
          <w:tcPr>
            <w:tcW w:w="753" w:type="dxa"/>
            <w:tcBorders>
              <w:bottom w:val="nil"/>
              <w:right w:val="nil"/>
            </w:tcBorders>
            <w:vAlign w:val="center"/>
          </w:tcPr>
          <w:p w14:paraId="536B20B3" w14:textId="36FD844E"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4FD24D1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31,701</w:t>
            </w:r>
          </w:p>
        </w:tc>
        <w:tc>
          <w:tcPr>
            <w:tcW w:w="768" w:type="dxa"/>
            <w:tcBorders>
              <w:left w:val="nil"/>
              <w:bottom w:val="nil"/>
              <w:right w:val="nil"/>
            </w:tcBorders>
            <w:shd w:val="clear" w:color="auto" w:fill="auto"/>
            <w:noWrap/>
            <w:vAlign w:val="center"/>
            <w:hideMark/>
          </w:tcPr>
          <w:p w14:paraId="51E451E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10,912</w:t>
            </w:r>
          </w:p>
        </w:tc>
        <w:tc>
          <w:tcPr>
            <w:tcW w:w="847" w:type="dxa"/>
            <w:tcBorders>
              <w:left w:val="nil"/>
              <w:bottom w:val="nil"/>
              <w:right w:val="nil"/>
            </w:tcBorders>
            <w:shd w:val="clear" w:color="auto" w:fill="auto"/>
            <w:noWrap/>
            <w:vAlign w:val="center"/>
            <w:hideMark/>
          </w:tcPr>
          <w:p w14:paraId="3F280AD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41,647</w:t>
            </w:r>
          </w:p>
        </w:tc>
        <w:tc>
          <w:tcPr>
            <w:tcW w:w="847" w:type="dxa"/>
            <w:tcBorders>
              <w:left w:val="nil"/>
              <w:bottom w:val="nil"/>
              <w:right w:val="nil"/>
            </w:tcBorders>
            <w:shd w:val="clear" w:color="auto" w:fill="auto"/>
            <w:noWrap/>
            <w:vAlign w:val="center"/>
            <w:hideMark/>
          </w:tcPr>
          <w:p w14:paraId="7E351C8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29,897</w:t>
            </w:r>
          </w:p>
        </w:tc>
        <w:tc>
          <w:tcPr>
            <w:tcW w:w="880" w:type="dxa"/>
            <w:tcBorders>
              <w:left w:val="nil"/>
              <w:bottom w:val="nil"/>
              <w:right w:val="nil"/>
            </w:tcBorders>
            <w:shd w:val="clear" w:color="auto" w:fill="auto"/>
            <w:noWrap/>
            <w:vAlign w:val="center"/>
            <w:hideMark/>
          </w:tcPr>
          <w:p w14:paraId="5694E80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38,172</w:t>
            </w:r>
          </w:p>
        </w:tc>
        <w:tc>
          <w:tcPr>
            <w:tcW w:w="768" w:type="dxa"/>
            <w:tcBorders>
              <w:left w:val="nil"/>
              <w:bottom w:val="nil"/>
              <w:right w:val="nil"/>
            </w:tcBorders>
            <w:shd w:val="clear" w:color="auto" w:fill="auto"/>
            <w:noWrap/>
            <w:vAlign w:val="center"/>
            <w:hideMark/>
          </w:tcPr>
          <w:p w14:paraId="2996EF6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27,346</w:t>
            </w:r>
          </w:p>
        </w:tc>
        <w:tc>
          <w:tcPr>
            <w:tcW w:w="847" w:type="dxa"/>
            <w:tcBorders>
              <w:left w:val="nil"/>
              <w:bottom w:val="nil"/>
              <w:right w:val="nil"/>
            </w:tcBorders>
            <w:shd w:val="clear" w:color="auto" w:fill="auto"/>
            <w:noWrap/>
            <w:vAlign w:val="center"/>
            <w:hideMark/>
          </w:tcPr>
          <w:p w14:paraId="1E6AEA2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27,188</w:t>
            </w:r>
          </w:p>
        </w:tc>
        <w:tc>
          <w:tcPr>
            <w:tcW w:w="847" w:type="dxa"/>
            <w:tcBorders>
              <w:left w:val="nil"/>
              <w:bottom w:val="nil"/>
              <w:right w:val="nil"/>
            </w:tcBorders>
            <w:shd w:val="clear" w:color="auto" w:fill="auto"/>
            <w:noWrap/>
            <w:vAlign w:val="center"/>
            <w:hideMark/>
          </w:tcPr>
          <w:p w14:paraId="06A4D82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47,007</w:t>
            </w:r>
          </w:p>
        </w:tc>
        <w:tc>
          <w:tcPr>
            <w:tcW w:w="847" w:type="dxa"/>
            <w:tcBorders>
              <w:left w:val="nil"/>
              <w:bottom w:val="nil"/>
              <w:right w:val="nil"/>
            </w:tcBorders>
            <w:shd w:val="clear" w:color="auto" w:fill="auto"/>
            <w:noWrap/>
            <w:vAlign w:val="center"/>
            <w:hideMark/>
          </w:tcPr>
          <w:p w14:paraId="7D05BDD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31,540</w:t>
            </w:r>
          </w:p>
        </w:tc>
        <w:tc>
          <w:tcPr>
            <w:tcW w:w="945" w:type="dxa"/>
            <w:tcBorders>
              <w:left w:val="nil"/>
              <w:bottom w:val="nil"/>
            </w:tcBorders>
            <w:shd w:val="clear" w:color="auto" w:fill="auto"/>
            <w:noWrap/>
            <w:vAlign w:val="center"/>
            <w:hideMark/>
          </w:tcPr>
          <w:p w14:paraId="6050C13D"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285,410</w:t>
            </w:r>
          </w:p>
        </w:tc>
      </w:tr>
      <w:tr w:rsidR="0015649E" w:rsidRPr="0084045A" w14:paraId="041784D9" w14:textId="77777777" w:rsidTr="00C3352F">
        <w:trPr>
          <w:trHeight w:val="212"/>
          <w:jc w:val="center"/>
        </w:trPr>
        <w:tc>
          <w:tcPr>
            <w:tcW w:w="728" w:type="dxa"/>
            <w:vMerge/>
            <w:shd w:val="clear" w:color="auto" w:fill="auto"/>
            <w:noWrap/>
            <w:textDirection w:val="btLr"/>
            <w:vAlign w:val="center"/>
            <w:hideMark/>
          </w:tcPr>
          <w:p w14:paraId="72E79D9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A94AD40" w14:textId="36C9867E"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74C7478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48,664</w:t>
            </w:r>
          </w:p>
        </w:tc>
        <w:tc>
          <w:tcPr>
            <w:tcW w:w="768" w:type="dxa"/>
            <w:tcBorders>
              <w:top w:val="nil"/>
              <w:left w:val="nil"/>
              <w:bottom w:val="nil"/>
              <w:right w:val="nil"/>
            </w:tcBorders>
            <w:shd w:val="clear" w:color="auto" w:fill="auto"/>
            <w:noWrap/>
            <w:vAlign w:val="center"/>
            <w:hideMark/>
          </w:tcPr>
          <w:p w14:paraId="1C106A6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21,984</w:t>
            </w:r>
          </w:p>
        </w:tc>
        <w:tc>
          <w:tcPr>
            <w:tcW w:w="847" w:type="dxa"/>
            <w:tcBorders>
              <w:top w:val="nil"/>
              <w:left w:val="nil"/>
              <w:bottom w:val="nil"/>
              <w:right w:val="nil"/>
            </w:tcBorders>
            <w:shd w:val="clear" w:color="auto" w:fill="auto"/>
            <w:noWrap/>
            <w:vAlign w:val="center"/>
            <w:hideMark/>
          </w:tcPr>
          <w:p w14:paraId="3CCFA3A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73,495</w:t>
            </w:r>
          </w:p>
        </w:tc>
        <w:tc>
          <w:tcPr>
            <w:tcW w:w="847" w:type="dxa"/>
            <w:tcBorders>
              <w:top w:val="nil"/>
              <w:left w:val="nil"/>
              <w:bottom w:val="nil"/>
              <w:right w:val="nil"/>
            </w:tcBorders>
            <w:shd w:val="clear" w:color="auto" w:fill="auto"/>
            <w:noWrap/>
            <w:vAlign w:val="center"/>
            <w:hideMark/>
          </w:tcPr>
          <w:p w14:paraId="04C5FF2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43,857</w:t>
            </w:r>
          </w:p>
        </w:tc>
        <w:tc>
          <w:tcPr>
            <w:tcW w:w="880" w:type="dxa"/>
            <w:tcBorders>
              <w:top w:val="nil"/>
              <w:left w:val="nil"/>
              <w:bottom w:val="nil"/>
              <w:right w:val="nil"/>
            </w:tcBorders>
            <w:shd w:val="clear" w:color="auto" w:fill="auto"/>
            <w:noWrap/>
            <w:vAlign w:val="center"/>
            <w:hideMark/>
          </w:tcPr>
          <w:p w14:paraId="3ADA71E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70,275</w:t>
            </w:r>
          </w:p>
        </w:tc>
        <w:tc>
          <w:tcPr>
            <w:tcW w:w="768" w:type="dxa"/>
            <w:tcBorders>
              <w:top w:val="nil"/>
              <w:left w:val="nil"/>
              <w:bottom w:val="nil"/>
              <w:right w:val="nil"/>
            </w:tcBorders>
            <w:shd w:val="clear" w:color="auto" w:fill="auto"/>
            <w:noWrap/>
            <w:vAlign w:val="center"/>
            <w:hideMark/>
          </w:tcPr>
          <w:p w14:paraId="69518D7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47,776</w:t>
            </w:r>
          </w:p>
        </w:tc>
        <w:tc>
          <w:tcPr>
            <w:tcW w:w="847" w:type="dxa"/>
            <w:tcBorders>
              <w:top w:val="nil"/>
              <w:left w:val="nil"/>
              <w:bottom w:val="nil"/>
              <w:right w:val="nil"/>
            </w:tcBorders>
            <w:shd w:val="clear" w:color="auto" w:fill="auto"/>
            <w:noWrap/>
            <w:vAlign w:val="center"/>
            <w:hideMark/>
          </w:tcPr>
          <w:p w14:paraId="78AD6F3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65,624</w:t>
            </w:r>
          </w:p>
        </w:tc>
        <w:tc>
          <w:tcPr>
            <w:tcW w:w="847" w:type="dxa"/>
            <w:tcBorders>
              <w:top w:val="nil"/>
              <w:left w:val="nil"/>
              <w:bottom w:val="nil"/>
              <w:right w:val="nil"/>
            </w:tcBorders>
            <w:shd w:val="clear" w:color="auto" w:fill="auto"/>
            <w:noWrap/>
            <w:vAlign w:val="center"/>
            <w:hideMark/>
          </w:tcPr>
          <w:p w14:paraId="309162E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83,103</w:t>
            </w:r>
          </w:p>
        </w:tc>
        <w:tc>
          <w:tcPr>
            <w:tcW w:w="847" w:type="dxa"/>
            <w:tcBorders>
              <w:top w:val="nil"/>
              <w:left w:val="nil"/>
              <w:bottom w:val="nil"/>
              <w:right w:val="nil"/>
            </w:tcBorders>
            <w:shd w:val="clear" w:color="auto" w:fill="auto"/>
            <w:noWrap/>
            <w:vAlign w:val="center"/>
            <w:hideMark/>
          </w:tcPr>
          <w:p w14:paraId="548C3FE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57,274</w:t>
            </w:r>
          </w:p>
        </w:tc>
        <w:tc>
          <w:tcPr>
            <w:tcW w:w="945" w:type="dxa"/>
            <w:tcBorders>
              <w:top w:val="nil"/>
              <w:left w:val="nil"/>
              <w:bottom w:val="nil"/>
            </w:tcBorders>
            <w:shd w:val="clear" w:color="auto" w:fill="auto"/>
            <w:noWrap/>
            <w:vAlign w:val="center"/>
            <w:hideMark/>
          </w:tcPr>
          <w:p w14:paraId="237CC17C"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512,053</w:t>
            </w:r>
          </w:p>
        </w:tc>
      </w:tr>
      <w:tr w:rsidR="0015649E" w:rsidRPr="0084045A" w14:paraId="67236087" w14:textId="77777777" w:rsidTr="00C3352F">
        <w:trPr>
          <w:trHeight w:val="212"/>
          <w:jc w:val="center"/>
        </w:trPr>
        <w:tc>
          <w:tcPr>
            <w:tcW w:w="728" w:type="dxa"/>
            <w:vMerge/>
            <w:shd w:val="clear" w:color="auto" w:fill="auto"/>
            <w:noWrap/>
            <w:textDirection w:val="btLr"/>
            <w:vAlign w:val="center"/>
            <w:hideMark/>
          </w:tcPr>
          <w:p w14:paraId="1550214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E1A1762" w14:textId="6C3967A9"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09FFDBF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60,179</w:t>
            </w:r>
          </w:p>
        </w:tc>
        <w:tc>
          <w:tcPr>
            <w:tcW w:w="768" w:type="dxa"/>
            <w:tcBorders>
              <w:top w:val="nil"/>
              <w:left w:val="nil"/>
              <w:bottom w:val="nil"/>
              <w:right w:val="nil"/>
            </w:tcBorders>
            <w:shd w:val="clear" w:color="auto" w:fill="auto"/>
            <w:noWrap/>
            <w:vAlign w:val="center"/>
            <w:hideMark/>
          </w:tcPr>
          <w:p w14:paraId="37A6C35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28,728</w:t>
            </w:r>
          </w:p>
        </w:tc>
        <w:tc>
          <w:tcPr>
            <w:tcW w:w="847" w:type="dxa"/>
            <w:tcBorders>
              <w:top w:val="nil"/>
              <w:left w:val="nil"/>
              <w:bottom w:val="nil"/>
              <w:right w:val="nil"/>
            </w:tcBorders>
            <w:shd w:val="clear" w:color="auto" w:fill="auto"/>
            <w:noWrap/>
            <w:vAlign w:val="center"/>
            <w:hideMark/>
          </w:tcPr>
          <w:p w14:paraId="13A098F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95,434</w:t>
            </w:r>
          </w:p>
        </w:tc>
        <w:tc>
          <w:tcPr>
            <w:tcW w:w="847" w:type="dxa"/>
            <w:tcBorders>
              <w:top w:val="nil"/>
              <w:left w:val="nil"/>
              <w:bottom w:val="nil"/>
              <w:right w:val="nil"/>
            </w:tcBorders>
            <w:shd w:val="clear" w:color="auto" w:fill="auto"/>
            <w:noWrap/>
            <w:vAlign w:val="center"/>
            <w:hideMark/>
          </w:tcPr>
          <w:p w14:paraId="131892E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110,877</w:t>
            </w:r>
          </w:p>
        </w:tc>
        <w:tc>
          <w:tcPr>
            <w:tcW w:w="880" w:type="dxa"/>
            <w:tcBorders>
              <w:top w:val="nil"/>
              <w:left w:val="nil"/>
              <w:bottom w:val="nil"/>
              <w:right w:val="nil"/>
            </w:tcBorders>
            <w:shd w:val="clear" w:color="auto" w:fill="auto"/>
            <w:noWrap/>
            <w:vAlign w:val="center"/>
            <w:hideMark/>
          </w:tcPr>
          <w:p w14:paraId="30C8354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73,988</w:t>
            </w:r>
          </w:p>
        </w:tc>
        <w:tc>
          <w:tcPr>
            <w:tcW w:w="768" w:type="dxa"/>
            <w:tcBorders>
              <w:top w:val="nil"/>
              <w:left w:val="nil"/>
              <w:bottom w:val="nil"/>
              <w:right w:val="nil"/>
            </w:tcBorders>
            <w:shd w:val="clear" w:color="auto" w:fill="auto"/>
            <w:noWrap/>
            <w:vAlign w:val="center"/>
            <w:hideMark/>
          </w:tcPr>
          <w:p w14:paraId="0BAFE53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87,797</w:t>
            </w:r>
          </w:p>
        </w:tc>
        <w:tc>
          <w:tcPr>
            <w:tcW w:w="847" w:type="dxa"/>
            <w:tcBorders>
              <w:top w:val="nil"/>
              <w:left w:val="nil"/>
              <w:bottom w:val="nil"/>
              <w:right w:val="nil"/>
            </w:tcBorders>
            <w:shd w:val="clear" w:color="auto" w:fill="auto"/>
            <w:noWrap/>
            <w:vAlign w:val="center"/>
            <w:hideMark/>
          </w:tcPr>
          <w:p w14:paraId="75F855D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74,798</w:t>
            </w:r>
          </w:p>
        </w:tc>
        <w:tc>
          <w:tcPr>
            <w:tcW w:w="847" w:type="dxa"/>
            <w:tcBorders>
              <w:top w:val="nil"/>
              <w:left w:val="nil"/>
              <w:bottom w:val="nil"/>
              <w:right w:val="nil"/>
            </w:tcBorders>
            <w:shd w:val="clear" w:color="auto" w:fill="auto"/>
            <w:noWrap/>
            <w:vAlign w:val="center"/>
            <w:hideMark/>
          </w:tcPr>
          <w:p w14:paraId="5301755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127,020</w:t>
            </w:r>
          </w:p>
        </w:tc>
        <w:tc>
          <w:tcPr>
            <w:tcW w:w="847" w:type="dxa"/>
            <w:tcBorders>
              <w:top w:val="nil"/>
              <w:left w:val="nil"/>
              <w:bottom w:val="nil"/>
              <w:right w:val="nil"/>
            </w:tcBorders>
            <w:shd w:val="clear" w:color="auto" w:fill="auto"/>
            <w:noWrap/>
            <w:vAlign w:val="center"/>
            <w:hideMark/>
          </w:tcPr>
          <w:p w14:paraId="7A00586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86,341</w:t>
            </w:r>
          </w:p>
        </w:tc>
        <w:tc>
          <w:tcPr>
            <w:tcW w:w="945" w:type="dxa"/>
            <w:tcBorders>
              <w:top w:val="nil"/>
              <w:left w:val="nil"/>
              <w:bottom w:val="nil"/>
            </w:tcBorders>
            <w:shd w:val="clear" w:color="auto" w:fill="auto"/>
            <w:noWrap/>
            <w:vAlign w:val="center"/>
            <w:hideMark/>
          </w:tcPr>
          <w:p w14:paraId="7A4C95F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745,163</w:t>
            </w:r>
          </w:p>
        </w:tc>
      </w:tr>
      <w:tr w:rsidR="0015649E" w:rsidRPr="0084045A" w14:paraId="27D89C98" w14:textId="77777777" w:rsidTr="00C3352F">
        <w:trPr>
          <w:trHeight w:val="212"/>
          <w:jc w:val="center"/>
        </w:trPr>
        <w:tc>
          <w:tcPr>
            <w:tcW w:w="728" w:type="dxa"/>
            <w:vMerge/>
            <w:shd w:val="clear" w:color="auto" w:fill="auto"/>
            <w:noWrap/>
            <w:textDirection w:val="btLr"/>
            <w:vAlign w:val="center"/>
            <w:hideMark/>
          </w:tcPr>
          <w:p w14:paraId="533B15D9"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CC21ADF" w14:textId="714AC111"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5D8DAC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19,040</w:t>
            </w:r>
          </w:p>
        </w:tc>
        <w:tc>
          <w:tcPr>
            <w:tcW w:w="768" w:type="dxa"/>
            <w:tcBorders>
              <w:top w:val="nil"/>
              <w:left w:val="nil"/>
              <w:bottom w:val="nil"/>
              <w:right w:val="nil"/>
            </w:tcBorders>
            <w:shd w:val="clear" w:color="auto" w:fill="auto"/>
            <w:noWrap/>
            <w:vAlign w:val="center"/>
            <w:hideMark/>
          </w:tcPr>
          <w:p w14:paraId="1F146D3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7,678</w:t>
            </w:r>
          </w:p>
        </w:tc>
        <w:tc>
          <w:tcPr>
            <w:tcW w:w="847" w:type="dxa"/>
            <w:tcBorders>
              <w:top w:val="nil"/>
              <w:left w:val="nil"/>
              <w:bottom w:val="nil"/>
              <w:right w:val="nil"/>
            </w:tcBorders>
            <w:shd w:val="clear" w:color="auto" w:fill="auto"/>
            <w:noWrap/>
            <w:vAlign w:val="center"/>
            <w:hideMark/>
          </w:tcPr>
          <w:p w14:paraId="6DAF539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32,353</w:t>
            </w:r>
          </w:p>
        </w:tc>
        <w:tc>
          <w:tcPr>
            <w:tcW w:w="847" w:type="dxa"/>
            <w:tcBorders>
              <w:top w:val="nil"/>
              <w:left w:val="nil"/>
              <w:bottom w:val="nil"/>
              <w:right w:val="nil"/>
            </w:tcBorders>
            <w:shd w:val="clear" w:color="auto" w:fill="auto"/>
            <w:noWrap/>
            <w:vAlign w:val="center"/>
            <w:hideMark/>
          </w:tcPr>
          <w:p w14:paraId="7A25A11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35,981</w:t>
            </w:r>
          </w:p>
        </w:tc>
        <w:tc>
          <w:tcPr>
            <w:tcW w:w="880" w:type="dxa"/>
            <w:tcBorders>
              <w:top w:val="nil"/>
              <w:left w:val="nil"/>
              <w:bottom w:val="nil"/>
              <w:right w:val="nil"/>
            </w:tcBorders>
            <w:shd w:val="clear" w:color="auto" w:fill="auto"/>
            <w:noWrap/>
            <w:vAlign w:val="center"/>
            <w:hideMark/>
          </w:tcPr>
          <w:p w14:paraId="10A0D66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31,751</w:t>
            </w:r>
          </w:p>
        </w:tc>
        <w:tc>
          <w:tcPr>
            <w:tcW w:w="768" w:type="dxa"/>
            <w:tcBorders>
              <w:top w:val="nil"/>
              <w:left w:val="nil"/>
              <w:bottom w:val="nil"/>
              <w:right w:val="nil"/>
            </w:tcBorders>
            <w:shd w:val="clear" w:color="auto" w:fill="auto"/>
            <w:noWrap/>
            <w:vAlign w:val="center"/>
            <w:hideMark/>
          </w:tcPr>
          <w:p w14:paraId="054EF7E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31,796</w:t>
            </w:r>
          </w:p>
        </w:tc>
        <w:tc>
          <w:tcPr>
            <w:tcW w:w="847" w:type="dxa"/>
            <w:tcBorders>
              <w:top w:val="nil"/>
              <w:left w:val="nil"/>
              <w:bottom w:val="nil"/>
              <w:right w:val="nil"/>
            </w:tcBorders>
            <w:shd w:val="clear" w:color="auto" w:fill="auto"/>
            <w:noWrap/>
            <w:vAlign w:val="center"/>
            <w:hideMark/>
          </w:tcPr>
          <w:p w14:paraId="418A214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40,198</w:t>
            </w:r>
          </w:p>
        </w:tc>
        <w:tc>
          <w:tcPr>
            <w:tcW w:w="847" w:type="dxa"/>
            <w:tcBorders>
              <w:top w:val="nil"/>
              <w:left w:val="nil"/>
              <w:bottom w:val="nil"/>
              <w:right w:val="nil"/>
            </w:tcBorders>
            <w:shd w:val="clear" w:color="auto" w:fill="auto"/>
            <w:noWrap/>
            <w:vAlign w:val="center"/>
            <w:hideMark/>
          </w:tcPr>
          <w:p w14:paraId="6B2A928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74,980</w:t>
            </w:r>
          </w:p>
        </w:tc>
        <w:tc>
          <w:tcPr>
            <w:tcW w:w="847" w:type="dxa"/>
            <w:tcBorders>
              <w:top w:val="nil"/>
              <w:left w:val="nil"/>
              <w:bottom w:val="nil"/>
              <w:right w:val="nil"/>
            </w:tcBorders>
            <w:shd w:val="clear" w:color="auto" w:fill="auto"/>
            <w:noWrap/>
            <w:vAlign w:val="center"/>
            <w:hideMark/>
          </w:tcPr>
          <w:p w14:paraId="5B433B2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39,077</w:t>
            </w:r>
          </w:p>
        </w:tc>
        <w:tc>
          <w:tcPr>
            <w:tcW w:w="945" w:type="dxa"/>
            <w:tcBorders>
              <w:top w:val="nil"/>
              <w:left w:val="nil"/>
              <w:bottom w:val="nil"/>
            </w:tcBorders>
            <w:shd w:val="clear" w:color="auto" w:fill="auto"/>
            <w:noWrap/>
            <w:vAlign w:val="center"/>
            <w:hideMark/>
          </w:tcPr>
          <w:p w14:paraId="3D41FECC"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312,855</w:t>
            </w:r>
          </w:p>
        </w:tc>
      </w:tr>
      <w:tr w:rsidR="0015649E" w:rsidRPr="0084045A" w14:paraId="0439ACAD" w14:textId="77777777" w:rsidTr="00C3352F">
        <w:trPr>
          <w:trHeight w:val="212"/>
          <w:jc w:val="center"/>
        </w:trPr>
        <w:tc>
          <w:tcPr>
            <w:tcW w:w="728" w:type="dxa"/>
            <w:vMerge/>
            <w:shd w:val="clear" w:color="auto" w:fill="auto"/>
            <w:noWrap/>
            <w:textDirection w:val="btLr"/>
            <w:vAlign w:val="center"/>
            <w:hideMark/>
          </w:tcPr>
          <w:p w14:paraId="3BFC4DC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5941C8D4" w14:textId="5BDDA0FC"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4BC2438F" w14:textId="72F08B32"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5303</w:t>
            </w:r>
          </w:p>
        </w:tc>
        <w:tc>
          <w:tcPr>
            <w:tcW w:w="768" w:type="dxa"/>
            <w:tcBorders>
              <w:top w:val="nil"/>
              <w:left w:val="nil"/>
              <w:bottom w:val="single" w:sz="4" w:space="0" w:color="auto"/>
              <w:right w:val="nil"/>
            </w:tcBorders>
            <w:shd w:val="clear" w:color="auto" w:fill="auto"/>
            <w:noWrap/>
            <w:vAlign w:val="center"/>
            <w:hideMark/>
          </w:tcPr>
          <w:p w14:paraId="76A696EB" w14:textId="111901DE"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2846</w:t>
            </w:r>
          </w:p>
        </w:tc>
        <w:tc>
          <w:tcPr>
            <w:tcW w:w="847" w:type="dxa"/>
            <w:tcBorders>
              <w:top w:val="nil"/>
              <w:left w:val="nil"/>
              <w:bottom w:val="single" w:sz="4" w:space="0" w:color="auto"/>
              <w:right w:val="nil"/>
            </w:tcBorders>
            <w:shd w:val="clear" w:color="auto" w:fill="auto"/>
            <w:noWrap/>
            <w:vAlign w:val="center"/>
            <w:hideMark/>
          </w:tcPr>
          <w:p w14:paraId="6FF8AAA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12,315</w:t>
            </w:r>
          </w:p>
        </w:tc>
        <w:tc>
          <w:tcPr>
            <w:tcW w:w="847" w:type="dxa"/>
            <w:tcBorders>
              <w:top w:val="nil"/>
              <w:left w:val="nil"/>
              <w:bottom w:val="single" w:sz="4" w:space="0" w:color="auto"/>
              <w:right w:val="nil"/>
            </w:tcBorders>
            <w:shd w:val="clear" w:color="auto" w:fill="auto"/>
            <w:noWrap/>
            <w:vAlign w:val="center"/>
            <w:hideMark/>
          </w:tcPr>
          <w:p w14:paraId="31B6ED08" w14:textId="0769492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5038</w:t>
            </w:r>
          </w:p>
        </w:tc>
        <w:tc>
          <w:tcPr>
            <w:tcW w:w="880" w:type="dxa"/>
            <w:tcBorders>
              <w:top w:val="nil"/>
              <w:left w:val="nil"/>
              <w:bottom w:val="single" w:sz="4" w:space="0" w:color="auto"/>
              <w:right w:val="nil"/>
            </w:tcBorders>
            <w:shd w:val="clear" w:color="auto" w:fill="auto"/>
            <w:noWrap/>
            <w:vAlign w:val="center"/>
            <w:hideMark/>
          </w:tcPr>
          <w:p w14:paraId="51B0203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13,881</w:t>
            </w:r>
          </w:p>
        </w:tc>
        <w:tc>
          <w:tcPr>
            <w:tcW w:w="768" w:type="dxa"/>
            <w:tcBorders>
              <w:top w:val="nil"/>
              <w:left w:val="nil"/>
              <w:bottom w:val="single" w:sz="4" w:space="0" w:color="auto"/>
              <w:right w:val="nil"/>
            </w:tcBorders>
            <w:shd w:val="clear" w:color="auto" w:fill="auto"/>
            <w:noWrap/>
            <w:vAlign w:val="center"/>
            <w:hideMark/>
          </w:tcPr>
          <w:p w14:paraId="6CD02BA0" w14:textId="6D2792FD"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4929</w:t>
            </w:r>
          </w:p>
        </w:tc>
        <w:tc>
          <w:tcPr>
            <w:tcW w:w="847" w:type="dxa"/>
            <w:tcBorders>
              <w:top w:val="nil"/>
              <w:left w:val="nil"/>
              <w:bottom w:val="single" w:sz="4" w:space="0" w:color="auto"/>
              <w:right w:val="nil"/>
            </w:tcBorders>
            <w:shd w:val="clear" w:color="auto" w:fill="auto"/>
            <w:noWrap/>
            <w:vAlign w:val="center"/>
            <w:hideMark/>
          </w:tcPr>
          <w:p w14:paraId="092696E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13,335</w:t>
            </w:r>
          </w:p>
        </w:tc>
        <w:tc>
          <w:tcPr>
            <w:tcW w:w="847" w:type="dxa"/>
            <w:tcBorders>
              <w:top w:val="nil"/>
              <w:left w:val="nil"/>
              <w:bottom w:val="single" w:sz="4" w:space="0" w:color="auto"/>
              <w:right w:val="nil"/>
            </w:tcBorders>
            <w:shd w:val="clear" w:color="auto" w:fill="auto"/>
            <w:noWrap/>
            <w:vAlign w:val="center"/>
            <w:hideMark/>
          </w:tcPr>
          <w:p w14:paraId="2879016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22,112</w:t>
            </w:r>
          </w:p>
        </w:tc>
        <w:tc>
          <w:tcPr>
            <w:tcW w:w="847" w:type="dxa"/>
            <w:tcBorders>
              <w:top w:val="nil"/>
              <w:left w:val="nil"/>
              <w:bottom w:val="single" w:sz="4" w:space="0" w:color="auto"/>
              <w:right w:val="nil"/>
            </w:tcBorders>
            <w:shd w:val="clear" w:color="auto" w:fill="auto"/>
            <w:noWrap/>
            <w:vAlign w:val="center"/>
            <w:hideMark/>
          </w:tcPr>
          <w:p w14:paraId="4537973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11,484</w:t>
            </w:r>
          </w:p>
        </w:tc>
        <w:tc>
          <w:tcPr>
            <w:tcW w:w="945" w:type="dxa"/>
            <w:tcBorders>
              <w:top w:val="nil"/>
              <w:left w:val="nil"/>
              <w:bottom w:val="single" w:sz="4" w:space="0" w:color="auto"/>
            </w:tcBorders>
            <w:shd w:val="clear" w:color="auto" w:fill="auto"/>
            <w:noWrap/>
            <w:vAlign w:val="center"/>
            <w:hideMark/>
          </w:tcPr>
          <w:p w14:paraId="00B03DA6"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91,243</w:t>
            </w:r>
          </w:p>
        </w:tc>
      </w:tr>
      <w:tr w:rsidR="0015649E" w:rsidRPr="0084045A" w14:paraId="419D9D38" w14:textId="77777777" w:rsidTr="00C3352F">
        <w:trPr>
          <w:trHeight w:val="212"/>
          <w:jc w:val="center"/>
        </w:trPr>
        <w:tc>
          <w:tcPr>
            <w:tcW w:w="728" w:type="dxa"/>
            <w:vMerge w:val="restart"/>
            <w:shd w:val="clear" w:color="auto" w:fill="auto"/>
            <w:noWrap/>
            <w:textDirection w:val="btLr"/>
            <w:vAlign w:val="center"/>
            <w:hideMark/>
          </w:tcPr>
          <w:p w14:paraId="33A2122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Tamaulipas</w:t>
            </w:r>
          </w:p>
        </w:tc>
        <w:tc>
          <w:tcPr>
            <w:tcW w:w="753" w:type="dxa"/>
            <w:tcBorders>
              <w:bottom w:val="nil"/>
              <w:right w:val="nil"/>
            </w:tcBorders>
            <w:vAlign w:val="center"/>
          </w:tcPr>
          <w:p w14:paraId="6B9E8AE8" w14:textId="6075CE78"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3C43DE0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44,470</w:t>
            </w:r>
          </w:p>
        </w:tc>
        <w:tc>
          <w:tcPr>
            <w:tcW w:w="768" w:type="dxa"/>
            <w:tcBorders>
              <w:left w:val="nil"/>
              <w:bottom w:val="nil"/>
              <w:right w:val="nil"/>
            </w:tcBorders>
            <w:shd w:val="clear" w:color="auto" w:fill="auto"/>
            <w:noWrap/>
            <w:vAlign w:val="center"/>
            <w:hideMark/>
          </w:tcPr>
          <w:p w14:paraId="12AA936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15,194</w:t>
            </w:r>
          </w:p>
        </w:tc>
        <w:tc>
          <w:tcPr>
            <w:tcW w:w="847" w:type="dxa"/>
            <w:tcBorders>
              <w:left w:val="nil"/>
              <w:bottom w:val="nil"/>
              <w:right w:val="nil"/>
            </w:tcBorders>
            <w:shd w:val="clear" w:color="auto" w:fill="auto"/>
            <w:noWrap/>
            <w:vAlign w:val="center"/>
            <w:hideMark/>
          </w:tcPr>
          <w:p w14:paraId="34E4D75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57,566</w:t>
            </w:r>
          </w:p>
        </w:tc>
        <w:tc>
          <w:tcPr>
            <w:tcW w:w="847" w:type="dxa"/>
            <w:tcBorders>
              <w:left w:val="nil"/>
              <w:bottom w:val="nil"/>
              <w:right w:val="nil"/>
            </w:tcBorders>
            <w:shd w:val="clear" w:color="auto" w:fill="auto"/>
            <w:noWrap/>
            <w:vAlign w:val="center"/>
            <w:hideMark/>
          </w:tcPr>
          <w:p w14:paraId="4A25FC0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41,024</w:t>
            </w:r>
          </w:p>
        </w:tc>
        <w:tc>
          <w:tcPr>
            <w:tcW w:w="880" w:type="dxa"/>
            <w:tcBorders>
              <w:left w:val="nil"/>
              <w:bottom w:val="nil"/>
              <w:right w:val="nil"/>
            </w:tcBorders>
            <w:shd w:val="clear" w:color="auto" w:fill="auto"/>
            <w:noWrap/>
            <w:vAlign w:val="center"/>
            <w:hideMark/>
          </w:tcPr>
          <w:p w14:paraId="2E43313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52,002</w:t>
            </w:r>
          </w:p>
        </w:tc>
        <w:tc>
          <w:tcPr>
            <w:tcW w:w="768" w:type="dxa"/>
            <w:tcBorders>
              <w:left w:val="nil"/>
              <w:bottom w:val="nil"/>
              <w:right w:val="nil"/>
            </w:tcBorders>
            <w:shd w:val="clear" w:color="auto" w:fill="auto"/>
            <w:noWrap/>
            <w:vAlign w:val="center"/>
            <w:hideMark/>
          </w:tcPr>
          <w:p w14:paraId="62C441E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36,989</w:t>
            </w:r>
          </w:p>
        </w:tc>
        <w:tc>
          <w:tcPr>
            <w:tcW w:w="847" w:type="dxa"/>
            <w:tcBorders>
              <w:left w:val="nil"/>
              <w:bottom w:val="nil"/>
              <w:right w:val="nil"/>
            </w:tcBorders>
            <w:shd w:val="clear" w:color="auto" w:fill="auto"/>
            <w:noWrap/>
            <w:vAlign w:val="center"/>
            <w:hideMark/>
          </w:tcPr>
          <w:p w14:paraId="1E203D5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36,688</w:t>
            </w:r>
          </w:p>
        </w:tc>
        <w:tc>
          <w:tcPr>
            <w:tcW w:w="847" w:type="dxa"/>
            <w:tcBorders>
              <w:left w:val="nil"/>
              <w:bottom w:val="nil"/>
              <w:right w:val="nil"/>
            </w:tcBorders>
            <w:shd w:val="clear" w:color="auto" w:fill="auto"/>
            <w:noWrap/>
            <w:vAlign w:val="center"/>
            <w:hideMark/>
          </w:tcPr>
          <w:p w14:paraId="55DDFBF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63,405</w:t>
            </w:r>
          </w:p>
        </w:tc>
        <w:tc>
          <w:tcPr>
            <w:tcW w:w="847" w:type="dxa"/>
            <w:tcBorders>
              <w:left w:val="nil"/>
              <w:bottom w:val="nil"/>
              <w:right w:val="nil"/>
            </w:tcBorders>
            <w:shd w:val="clear" w:color="auto" w:fill="auto"/>
            <w:noWrap/>
            <w:vAlign w:val="center"/>
            <w:hideMark/>
          </w:tcPr>
          <w:p w14:paraId="4017DF8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42,563</w:t>
            </w:r>
          </w:p>
        </w:tc>
        <w:tc>
          <w:tcPr>
            <w:tcW w:w="945" w:type="dxa"/>
            <w:tcBorders>
              <w:left w:val="nil"/>
              <w:bottom w:val="nil"/>
            </w:tcBorders>
            <w:shd w:val="clear" w:color="auto" w:fill="auto"/>
            <w:noWrap/>
            <w:vAlign w:val="center"/>
            <w:hideMark/>
          </w:tcPr>
          <w:p w14:paraId="6EE77C6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389,900</w:t>
            </w:r>
          </w:p>
        </w:tc>
      </w:tr>
      <w:tr w:rsidR="0015649E" w:rsidRPr="0084045A" w14:paraId="3EB7AF95" w14:textId="77777777" w:rsidTr="00C3352F">
        <w:trPr>
          <w:trHeight w:val="212"/>
          <w:jc w:val="center"/>
        </w:trPr>
        <w:tc>
          <w:tcPr>
            <w:tcW w:w="728" w:type="dxa"/>
            <w:vMerge/>
            <w:shd w:val="clear" w:color="auto" w:fill="auto"/>
            <w:noWrap/>
            <w:textDirection w:val="btLr"/>
            <w:vAlign w:val="center"/>
            <w:hideMark/>
          </w:tcPr>
          <w:p w14:paraId="56A54097"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CABB321" w14:textId="227EB327"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0203BD6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66,805</w:t>
            </w:r>
          </w:p>
        </w:tc>
        <w:tc>
          <w:tcPr>
            <w:tcW w:w="768" w:type="dxa"/>
            <w:tcBorders>
              <w:top w:val="nil"/>
              <w:left w:val="nil"/>
              <w:bottom w:val="nil"/>
              <w:right w:val="nil"/>
            </w:tcBorders>
            <w:shd w:val="clear" w:color="auto" w:fill="auto"/>
            <w:noWrap/>
            <w:vAlign w:val="center"/>
            <w:hideMark/>
          </w:tcPr>
          <w:p w14:paraId="6485C5A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30,271</w:t>
            </w:r>
          </w:p>
        </w:tc>
        <w:tc>
          <w:tcPr>
            <w:tcW w:w="847" w:type="dxa"/>
            <w:tcBorders>
              <w:top w:val="nil"/>
              <w:left w:val="nil"/>
              <w:bottom w:val="nil"/>
              <w:right w:val="nil"/>
            </w:tcBorders>
            <w:shd w:val="clear" w:color="auto" w:fill="auto"/>
            <w:noWrap/>
            <w:vAlign w:val="center"/>
            <w:hideMark/>
          </w:tcPr>
          <w:p w14:paraId="7AFD4C9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101,506</w:t>
            </w:r>
          </w:p>
        </w:tc>
        <w:tc>
          <w:tcPr>
            <w:tcW w:w="847" w:type="dxa"/>
            <w:tcBorders>
              <w:top w:val="nil"/>
              <w:left w:val="nil"/>
              <w:bottom w:val="nil"/>
              <w:right w:val="nil"/>
            </w:tcBorders>
            <w:shd w:val="clear" w:color="auto" w:fill="auto"/>
            <w:noWrap/>
            <w:vAlign w:val="center"/>
            <w:hideMark/>
          </w:tcPr>
          <w:p w14:paraId="627076C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60,754</w:t>
            </w:r>
          </w:p>
        </w:tc>
        <w:tc>
          <w:tcPr>
            <w:tcW w:w="880" w:type="dxa"/>
            <w:tcBorders>
              <w:top w:val="nil"/>
              <w:left w:val="nil"/>
              <w:bottom w:val="nil"/>
              <w:right w:val="nil"/>
            </w:tcBorders>
            <w:shd w:val="clear" w:color="auto" w:fill="auto"/>
            <w:noWrap/>
            <w:vAlign w:val="center"/>
            <w:hideMark/>
          </w:tcPr>
          <w:p w14:paraId="0F88969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97,645</w:t>
            </w:r>
          </w:p>
        </w:tc>
        <w:tc>
          <w:tcPr>
            <w:tcW w:w="768" w:type="dxa"/>
            <w:tcBorders>
              <w:top w:val="nil"/>
              <w:left w:val="nil"/>
              <w:bottom w:val="nil"/>
              <w:right w:val="nil"/>
            </w:tcBorders>
            <w:shd w:val="clear" w:color="auto" w:fill="auto"/>
            <w:noWrap/>
            <w:vAlign w:val="center"/>
            <w:hideMark/>
          </w:tcPr>
          <w:p w14:paraId="0606F05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66,583</w:t>
            </w:r>
          </w:p>
        </w:tc>
        <w:tc>
          <w:tcPr>
            <w:tcW w:w="847" w:type="dxa"/>
            <w:tcBorders>
              <w:top w:val="nil"/>
              <w:left w:val="nil"/>
              <w:bottom w:val="nil"/>
              <w:right w:val="nil"/>
            </w:tcBorders>
            <w:shd w:val="clear" w:color="auto" w:fill="auto"/>
            <w:noWrap/>
            <w:vAlign w:val="center"/>
            <w:hideMark/>
          </w:tcPr>
          <w:p w14:paraId="533ECAE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91,201</w:t>
            </w:r>
          </w:p>
        </w:tc>
        <w:tc>
          <w:tcPr>
            <w:tcW w:w="847" w:type="dxa"/>
            <w:tcBorders>
              <w:top w:val="nil"/>
              <w:left w:val="nil"/>
              <w:bottom w:val="nil"/>
              <w:right w:val="nil"/>
            </w:tcBorders>
            <w:shd w:val="clear" w:color="auto" w:fill="auto"/>
            <w:noWrap/>
            <w:vAlign w:val="center"/>
            <w:hideMark/>
          </w:tcPr>
          <w:p w14:paraId="2AFB4B4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115,051</w:t>
            </w:r>
          </w:p>
        </w:tc>
        <w:tc>
          <w:tcPr>
            <w:tcW w:w="847" w:type="dxa"/>
            <w:tcBorders>
              <w:top w:val="nil"/>
              <w:left w:val="nil"/>
              <w:bottom w:val="nil"/>
              <w:right w:val="nil"/>
            </w:tcBorders>
            <w:shd w:val="clear" w:color="auto" w:fill="auto"/>
            <w:noWrap/>
            <w:vAlign w:val="center"/>
            <w:hideMark/>
          </w:tcPr>
          <w:p w14:paraId="0583953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78,916</w:t>
            </w:r>
          </w:p>
        </w:tc>
        <w:tc>
          <w:tcPr>
            <w:tcW w:w="945" w:type="dxa"/>
            <w:tcBorders>
              <w:top w:val="nil"/>
              <w:left w:val="nil"/>
              <w:bottom w:val="nil"/>
            </w:tcBorders>
            <w:shd w:val="clear" w:color="auto" w:fill="auto"/>
            <w:noWrap/>
            <w:vAlign w:val="center"/>
            <w:hideMark/>
          </w:tcPr>
          <w:p w14:paraId="2400688D"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708,730</w:t>
            </w:r>
          </w:p>
        </w:tc>
      </w:tr>
      <w:tr w:rsidR="0015649E" w:rsidRPr="0084045A" w14:paraId="709A8B9B" w14:textId="77777777" w:rsidTr="00C3352F">
        <w:trPr>
          <w:trHeight w:val="212"/>
          <w:jc w:val="center"/>
        </w:trPr>
        <w:tc>
          <w:tcPr>
            <w:tcW w:w="728" w:type="dxa"/>
            <w:vMerge/>
            <w:shd w:val="clear" w:color="auto" w:fill="auto"/>
            <w:noWrap/>
            <w:textDirection w:val="btLr"/>
            <w:vAlign w:val="center"/>
            <w:hideMark/>
          </w:tcPr>
          <w:p w14:paraId="27D7B01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88BF8DE" w14:textId="71ABA5AC"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4CD7163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88,599</w:t>
            </w:r>
          </w:p>
        </w:tc>
        <w:tc>
          <w:tcPr>
            <w:tcW w:w="768" w:type="dxa"/>
            <w:tcBorders>
              <w:top w:val="nil"/>
              <w:left w:val="nil"/>
              <w:bottom w:val="nil"/>
              <w:right w:val="nil"/>
            </w:tcBorders>
            <w:shd w:val="clear" w:color="auto" w:fill="auto"/>
            <w:noWrap/>
            <w:vAlign w:val="center"/>
            <w:hideMark/>
          </w:tcPr>
          <w:p w14:paraId="727B42D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41,932</w:t>
            </w:r>
          </w:p>
        </w:tc>
        <w:tc>
          <w:tcPr>
            <w:tcW w:w="847" w:type="dxa"/>
            <w:tcBorders>
              <w:top w:val="nil"/>
              <w:left w:val="nil"/>
              <w:bottom w:val="nil"/>
              <w:right w:val="nil"/>
            </w:tcBorders>
            <w:shd w:val="clear" w:color="auto" w:fill="auto"/>
            <w:noWrap/>
            <w:vAlign w:val="center"/>
            <w:hideMark/>
          </w:tcPr>
          <w:p w14:paraId="7DBF572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138,095</w:t>
            </w:r>
          </w:p>
        </w:tc>
        <w:tc>
          <w:tcPr>
            <w:tcW w:w="847" w:type="dxa"/>
            <w:tcBorders>
              <w:top w:val="nil"/>
              <w:left w:val="nil"/>
              <w:bottom w:val="nil"/>
              <w:right w:val="nil"/>
            </w:tcBorders>
            <w:shd w:val="clear" w:color="auto" w:fill="auto"/>
            <w:noWrap/>
            <w:vAlign w:val="center"/>
            <w:hideMark/>
          </w:tcPr>
          <w:p w14:paraId="307EECC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159,049</w:t>
            </w:r>
          </w:p>
        </w:tc>
        <w:tc>
          <w:tcPr>
            <w:tcW w:w="880" w:type="dxa"/>
            <w:tcBorders>
              <w:top w:val="nil"/>
              <w:left w:val="nil"/>
              <w:bottom w:val="nil"/>
              <w:right w:val="nil"/>
            </w:tcBorders>
            <w:shd w:val="clear" w:color="auto" w:fill="auto"/>
            <w:noWrap/>
            <w:vAlign w:val="center"/>
            <w:hideMark/>
          </w:tcPr>
          <w:p w14:paraId="104F3D8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105,208</w:t>
            </w:r>
          </w:p>
        </w:tc>
        <w:tc>
          <w:tcPr>
            <w:tcW w:w="768" w:type="dxa"/>
            <w:tcBorders>
              <w:top w:val="nil"/>
              <w:left w:val="nil"/>
              <w:bottom w:val="nil"/>
              <w:right w:val="nil"/>
            </w:tcBorders>
            <w:shd w:val="clear" w:color="auto" w:fill="auto"/>
            <w:noWrap/>
            <w:vAlign w:val="center"/>
            <w:hideMark/>
          </w:tcPr>
          <w:p w14:paraId="4AF841B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123,744</w:t>
            </w:r>
          </w:p>
        </w:tc>
        <w:tc>
          <w:tcPr>
            <w:tcW w:w="847" w:type="dxa"/>
            <w:tcBorders>
              <w:top w:val="nil"/>
              <w:left w:val="nil"/>
              <w:bottom w:val="nil"/>
              <w:right w:val="nil"/>
            </w:tcBorders>
            <w:shd w:val="clear" w:color="auto" w:fill="auto"/>
            <w:noWrap/>
            <w:vAlign w:val="center"/>
            <w:hideMark/>
          </w:tcPr>
          <w:p w14:paraId="30FD722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104,901</w:t>
            </w:r>
          </w:p>
        </w:tc>
        <w:tc>
          <w:tcPr>
            <w:tcW w:w="847" w:type="dxa"/>
            <w:tcBorders>
              <w:top w:val="nil"/>
              <w:left w:val="nil"/>
              <w:bottom w:val="nil"/>
              <w:right w:val="nil"/>
            </w:tcBorders>
            <w:shd w:val="clear" w:color="auto" w:fill="auto"/>
            <w:noWrap/>
            <w:vAlign w:val="center"/>
            <w:hideMark/>
          </w:tcPr>
          <w:p w14:paraId="061215B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177,309</w:t>
            </w:r>
          </w:p>
        </w:tc>
        <w:tc>
          <w:tcPr>
            <w:tcW w:w="847" w:type="dxa"/>
            <w:tcBorders>
              <w:top w:val="nil"/>
              <w:left w:val="nil"/>
              <w:bottom w:val="nil"/>
              <w:right w:val="nil"/>
            </w:tcBorders>
            <w:shd w:val="clear" w:color="auto" w:fill="auto"/>
            <w:noWrap/>
            <w:vAlign w:val="center"/>
            <w:hideMark/>
          </w:tcPr>
          <w:p w14:paraId="7ED8FB5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119,999</w:t>
            </w:r>
          </w:p>
        </w:tc>
        <w:tc>
          <w:tcPr>
            <w:tcW w:w="945" w:type="dxa"/>
            <w:tcBorders>
              <w:top w:val="nil"/>
              <w:left w:val="nil"/>
              <w:bottom w:val="nil"/>
            </w:tcBorders>
            <w:shd w:val="clear" w:color="auto" w:fill="auto"/>
            <w:noWrap/>
            <w:vAlign w:val="center"/>
            <w:hideMark/>
          </w:tcPr>
          <w:p w14:paraId="652FAA06"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1,058,836</w:t>
            </w:r>
          </w:p>
        </w:tc>
      </w:tr>
      <w:tr w:rsidR="0015649E" w:rsidRPr="0084045A" w14:paraId="708D5244" w14:textId="77777777" w:rsidTr="00C3352F">
        <w:trPr>
          <w:trHeight w:val="212"/>
          <w:jc w:val="center"/>
        </w:trPr>
        <w:tc>
          <w:tcPr>
            <w:tcW w:w="728" w:type="dxa"/>
            <w:vMerge/>
            <w:shd w:val="clear" w:color="auto" w:fill="auto"/>
            <w:noWrap/>
            <w:textDirection w:val="btLr"/>
            <w:vAlign w:val="center"/>
            <w:hideMark/>
          </w:tcPr>
          <w:p w14:paraId="73EABAE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0F1245F5" w14:textId="60FFB4C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4B12877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30,650</w:t>
            </w:r>
          </w:p>
        </w:tc>
        <w:tc>
          <w:tcPr>
            <w:tcW w:w="768" w:type="dxa"/>
            <w:tcBorders>
              <w:top w:val="nil"/>
              <w:left w:val="nil"/>
              <w:bottom w:val="nil"/>
              <w:right w:val="nil"/>
            </w:tcBorders>
            <w:shd w:val="clear" w:color="auto" w:fill="auto"/>
            <w:noWrap/>
            <w:vAlign w:val="center"/>
            <w:hideMark/>
          </w:tcPr>
          <w:p w14:paraId="20E3DAA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12,327</w:t>
            </w:r>
          </w:p>
        </w:tc>
        <w:tc>
          <w:tcPr>
            <w:tcW w:w="847" w:type="dxa"/>
            <w:tcBorders>
              <w:top w:val="nil"/>
              <w:left w:val="nil"/>
              <w:bottom w:val="nil"/>
              <w:right w:val="nil"/>
            </w:tcBorders>
            <w:shd w:val="clear" w:color="auto" w:fill="auto"/>
            <w:noWrap/>
            <w:vAlign w:val="center"/>
            <w:hideMark/>
          </w:tcPr>
          <w:p w14:paraId="60487DF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51,808</w:t>
            </w:r>
          </w:p>
        </w:tc>
        <w:tc>
          <w:tcPr>
            <w:tcW w:w="847" w:type="dxa"/>
            <w:tcBorders>
              <w:top w:val="nil"/>
              <w:left w:val="nil"/>
              <w:bottom w:val="nil"/>
              <w:right w:val="nil"/>
            </w:tcBorders>
            <w:shd w:val="clear" w:color="auto" w:fill="auto"/>
            <w:noWrap/>
            <w:vAlign w:val="center"/>
            <w:hideMark/>
          </w:tcPr>
          <w:p w14:paraId="5814DD7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57,464</w:t>
            </w:r>
          </w:p>
        </w:tc>
        <w:tc>
          <w:tcPr>
            <w:tcW w:w="880" w:type="dxa"/>
            <w:tcBorders>
              <w:top w:val="nil"/>
              <w:left w:val="nil"/>
              <w:bottom w:val="nil"/>
              <w:right w:val="nil"/>
            </w:tcBorders>
            <w:shd w:val="clear" w:color="auto" w:fill="auto"/>
            <w:noWrap/>
            <w:vAlign w:val="center"/>
            <w:hideMark/>
          </w:tcPr>
          <w:p w14:paraId="3380362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50,574</w:t>
            </w:r>
          </w:p>
        </w:tc>
        <w:tc>
          <w:tcPr>
            <w:tcW w:w="768" w:type="dxa"/>
            <w:tcBorders>
              <w:top w:val="nil"/>
              <w:left w:val="nil"/>
              <w:bottom w:val="nil"/>
              <w:right w:val="nil"/>
            </w:tcBorders>
            <w:shd w:val="clear" w:color="auto" w:fill="auto"/>
            <w:noWrap/>
            <w:vAlign w:val="center"/>
            <w:hideMark/>
          </w:tcPr>
          <w:p w14:paraId="58AA6AE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50,511</w:t>
            </w:r>
          </w:p>
        </w:tc>
        <w:tc>
          <w:tcPr>
            <w:tcW w:w="847" w:type="dxa"/>
            <w:tcBorders>
              <w:top w:val="nil"/>
              <w:left w:val="nil"/>
              <w:bottom w:val="nil"/>
              <w:right w:val="nil"/>
            </w:tcBorders>
            <w:shd w:val="clear" w:color="auto" w:fill="auto"/>
            <w:noWrap/>
            <w:vAlign w:val="center"/>
            <w:hideMark/>
          </w:tcPr>
          <w:p w14:paraId="1CD41FF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63,815</w:t>
            </w:r>
          </w:p>
        </w:tc>
        <w:tc>
          <w:tcPr>
            <w:tcW w:w="847" w:type="dxa"/>
            <w:tcBorders>
              <w:top w:val="nil"/>
              <w:left w:val="nil"/>
              <w:bottom w:val="nil"/>
              <w:right w:val="nil"/>
            </w:tcBorders>
            <w:shd w:val="clear" w:color="auto" w:fill="auto"/>
            <w:noWrap/>
            <w:vAlign w:val="center"/>
            <w:hideMark/>
          </w:tcPr>
          <w:p w14:paraId="10DB573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118,899</w:t>
            </w:r>
          </w:p>
        </w:tc>
        <w:tc>
          <w:tcPr>
            <w:tcW w:w="847" w:type="dxa"/>
            <w:tcBorders>
              <w:top w:val="nil"/>
              <w:left w:val="nil"/>
              <w:bottom w:val="nil"/>
              <w:right w:val="nil"/>
            </w:tcBorders>
            <w:shd w:val="clear" w:color="auto" w:fill="auto"/>
            <w:noWrap/>
            <w:vAlign w:val="center"/>
            <w:hideMark/>
          </w:tcPr>
          <w:p w14:paraId="49ACD46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61,869</w:t>
            </w:r>
          </w:p>
        </w:tc>
        <w:tc>
          <w:tcPr>
            <w:tcW w:w="945" w:type="dxa"/>
            <w:tcBorders>
              <w:top w:val="nil"/>
              <w:left w:val="nil"/>
              <w:bottom w:val="nil"/>
            </w:tcBorders>
            <w:shd w:val="clear" w:color="auto" w:fill="auto"/>
            <w:noWrap/>
            <w:vAlign w:val="center"/>
            <w:hideMark/>
          </w:tcPr>
          <w:p w14:paraId="065E73C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497,918</w:t>
            </w:r>
          </w:p>
        </w:tc>
      </w:tr>
      <w:tr w:rsidR="0015649E" w:rsidRPr="0084045A" w14:paraId="278C0E3D" w14:textId="77777777" w:rsidTr="00C3352F">
        <w:trPr>
          <w:trHeight w:val="212"/>
          <w:jc w:val="center"/>
        </w:trPr>
        <w:tc>
          <w:tcPr>
            <w:tcW w:w="728" w:type="dxa"/>
            <w:vMerge/>
            <w:shd w:val="clear" w:color="auto" w:fill="auto"/>
            <w:noWrap/>
            <w:textDirection w:val="btLr"/>
            <w:vAlign w:val="center"/>
            <w:hideMark/>
          </w:tcPr>
          <w:p w14:paraId="7899EFE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4494DAF7" w14:textId="4CC691A7"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1DA1072E" w14:textId="223ED47F"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9188</w:t>
            </w:r>
          </w:p>
        </w:tc>
        <w:tc>
          <w:tcPr>
            <w:tcW w:w="768" w:type="dxa"/>
            <w:tcBorders>
              <w:top w:val="nil"/>
              <w:left w:val="nil"/>
              <w:bottom w:val="single" w:sz="4" w:space="0" w:color="auto"/>
              <w:right w:val="nil"/>
            </w:tcBorders>
            <w:shd w:val="clear" w:color="auto" w:fill="auto"/>
            <w:noWrap/>
            <w:vAlign w:val="center"/>
            <w:hideMark/>
          </w:tcPr>
          <w:p w14:paraId="459D3432" w14:textId="5F6AC4D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4908</w:t>
            </w:r>
          </w:p>
        </w:tc>
        <w:tc>
          <w:tcPr>
            <w:tcW w:w="847" w:type="dxa"/>
            <w:tcBorders>
              <w:top w:val="nil"/>
              <w:left w:val="nil"/>
              <w:bottom w:val="single" w:sz="4" w:space="0" w:color="auto"/>
              <w:right w:val="nil"/>
            </w:tcBorders>
            <w:shd w:val="clear" w:color="auto" w:fill="auto"/>
            <w:noWrap/>
            <w:vAlign w:val="center"/>
            <w:hideMark/>
          </w:tcPr>
          <w:p w14:paraId="3AE83CC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21,141</w:t>
            </w:r>
          </w:p>
        </w:tc>
        <w:tc>
          <w:tcPr>
            <w:tcW w:w="847" w:type="dxa"/>
            <w:tcBorders>
              <w:top w:val="nil"/>
              <w:left w:val="nil"/>
              <w:bottom w:val="single" w:sz="4" w:space="0" w:color="auto"/>
              <w:right w:val="nil"/>
            </w:tcBorders>
            <w:shd w:val="clear" w:color="auto" w:fill="auto"/>
            <w:noWrap/>
            <w:vAlign w:val="center"/>
            <w:hideMark/>
          </w:tcPr>
          <w:p w14:paraId="7A6F82BD" w14:textId="1E0EF2A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8608</w:t>
            </w:r>
          </w:p>
        </w:tc>
        <w:tc>
          <w:tcPr>
            <w:tcW w:w="880" w:type="dxa"/>
            <w:tcBorders>
              <w:top w:val="nil"/>
              <w:left w:val="nil"/>
              <w:bottom w:val="single" w:sz="4" w:space="0" w:color="auto"/>
              <w:right w:val="nil"/>
            </w:tcBorders>
            <w:shd w:val="clear" w:color="auto" w:fill="auto"/>
            <w:noWrap/>
            <w:vAlign w:val="center"/>
            <w:hideMark/>
          </w:tcPr>
          <w:p w14:paraId="22F7899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23,608</w:t>
            </w:r>
          </w:p>
        </w:tc>
        <w:tc>
          <w:tcPr>
            <w:tcW w:w="768" w:type="dxa"/>
            <w:tcBorders>
              <w:top w:val="nil"/>
              <w:left w:val="nil"/>
              <w:bottom w:val="single" w:sz="4" w:space="0" w:color="auto"/>
              <w:right w:val="nil"/>
            </w:tcBorders>
            <w:shd w:val="clear" w:color="auto" w:fill="auto"/>
            <w:noWrap/>
            <w:vAlign w:val="center"/>
            <w:hideMark/>
          </w:tcPr>
          <w:p w14:paraId="0D6551BA" w14:textId="3E7FDC7D"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8343</w:t>
            </w:r>
          </w:p>
        </w:tc>
        <w:tc>
          <w:tcPr>
            <w:tcW w:w="847" w:type="dxa"/>
            <w:tcBorders>
              <w:top w:val="nil"/>
              <w:left w:val="nil"/>
              <w:bottom w:val="single" w:sz="4" w:space="0" w:color="auto"/>
              <w:right w:val="nil"/>
            </w:tcBorders>
            <w:shd w:val="clear" w:color="auto" w:fill="auto"/>
            <w:noWrap/>
            <w:vAlign w:val="center"/>
            <w:hideMark/>
          </w:tcPr>
          <w:p w14:paraId="02FCFC1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22,465</w:t>
            </w:r>
          </w:p>
        </w:tc>
        <w:tc>
          <w:tcPr>
            <w:tcW w:w="847" w:type="dxa"/>
            <w:tcBorders>
              <w:top w:val="nil"/>
              <w:left w:val="nil"/>
              <w:bottom w:val="single" w:sz="4" w:space="0" w:color="auto"/>
              <w:right w:val="nil"/>
            </w:tcBorders>
            <w:shd w:val="clear" w:color="auto" w:fill="auto"/>
            <w:noWrap/>
            <w:vAlign w:val="center"/>
            <w:hideMark/>
          </w:tcPr>
          <w:p w14:paraId="3E5F44E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37,072</w:t>
            </w:r>
          </w:p>
        </w:tc>
        <w:tc>
          <w:tcPr>
            <w:tcW w:w="847" w:type="dxa"/>
            <w:tcBorders>
              <w:top w:val="nil"/>
              <w:left w:val="nil"/>
              <w:bottom w:val="single" w:sz="4" w:space="0" w:color="auto"/>
              <w:right w:val="nil"/>
            </w:tcBorders>
            <w:shd w:val="clear" w:color="auto" w:fill="auto"/>
            <w:noWrap/>
            <w:vAlign w:val="center"/>
            <w:hideMark/>
          </w:tcPr>
          <w:p w14:paraId="67E2861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19,165</w:t>
            </w:r>
          </w:p>
        </w:tc>
        <w:tc>
          <w:tcPr>
            <w:tcW w:w="945" w:type="dxa"/>
            <w:tcBorders>
              <w:top w:val="nil"/>
              <w:left w:val="nil"/>
              <w:bottom w:val="single" w:sz="4" w:space="0" w:color="auto"/>
            </w:tcBorders>
            <w:shd w:val="clear" w:color="auto" w:fill="auto"/>
            <w:noWrap/>
            <w:vAlign w:val="center"/>
            <w:hideMark/>
          </w:tcPr>
          <w:p w14:paraId="783F1816"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154,497</w:t>
            </w:r>
          </w:p>
        </w:tc>
      </w:tr>
      <w:tr w:rsidR="0015649E" w:rsidRPr="0084045A" w14:paraId="3FDF7D6B" w14:textId="77777777" w:rsidTr="00C3352F">
        <w:trPr>
          <w:trHeight w:val="212"/>
          <w:jc w:val="center"/>
        </w:trPr>
        <w:tc>
          <w:tcPr>
            <w:tcW w:w="728" w:type="dxa"/>
            <w:vMerge w:val="restart"/>
            <w:shd w:val="clear" w:color="auto" w:fill="auto"/>
            <w:noWrap/>
            <w:textDirection w:val="btLr"/>
            <w:vAlign w:val="center"/>
            <w:hideMark/>
          </w:tcPr>
          <w:p w14:paraId="430AF295"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Tlaxcala</w:t>
            </w:r>
          </w:p>
        </w:tc>
        <w:tc>
          <w:tcPr>
            <w:tcW w:w="753" w:type="dxa"/>
            <w:tcBorders>
              <w:bottom w:val="nil"/>
              <w:right w:val="nil"/>
            </w:tcBorders>
            <w:vAlign w:val="center"/>
          </w:tcPr>
          <w:p w14:paraId="16090F5B" w14:textId="78CE945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749EC5A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16,914</w:t>
            </w:r>
          </w:p>
        </w:tc>
        <w:tc>
          <w:tcPr>
            <w:tcW w:w="768" w:type="dxa"/>
            <w:tcBorders>
              <w:left w:val="nil"/>
              <w:bottom w:val="nil"/>
              <w:right w:val="nil"/>
            </w:tcBorders>
            <w:shd w:val="clear" w:color="auto" w:fill="auto"/>
            <w:noWrap/>
            <w:vAlign w:val="center"/>
            <w:hideMark/>
          </w:tcPr>
          <w:p w14:paraId="0A10E52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5,771</w:t>
            </w:r>
          </w:p>
        </w:tc>
        <w:tc>
          <w:tcPr>
            <w:tcW w:w="847" w:type="dxa"/>
            <w:tcBorders>
              <w:left w:val="nil"/>
              <w:bottom w:val="nil"/>
              <w:right w:val="nil"/>
            </w:tcBorders>
            <w:shd w:val="clear" w:color="auto" w:fill="auto"/>
            <w:noWrap/>
            <w:vAlign w:val="center"/>
            <w:hideMark/>
          </w:tcPr>
          <w:p w14:paraId="45346C4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21,838</w:t>
            </w:r>
          </w:p>
        </w:tc>
        <w:tc>
          <w:tcPr>
            <w:tcW w:w="847" w:type="dxa"/>
            <w:tcBorders>
              <w:left w:val="nil"/>
              <w:bottom w:val="nil"/>
              <w:right w:val="nil"/>
            </w:tcBorders>
            <w:shd w:val="clear" w:color="auto" w:fill="auto"/>
            <w:noWrap/>
            <w:vAlign w:val="center"/>
            <w:hideMark/>
          </w:tcPr>
          <w:p w14:paraId="072AA87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15,542</w:t>
            </w:r>
          </w:p>
        </w:tc>
        <w:tc>
          <w:tcPr>
            <w:tcW w:w="880" w:type="dxa"/>
            <w:tcBorders>
              <w:left w:val="nil"/>
              <w:bottom w:val="nil"/>
              <w:right w:val="nil"/>
            </w:tcBorders>
            <w:shd w:val="clear" w:color="auto" w:fill="auto"/>
            <w:noWrap/>
            <w:vAlign w:val="center"/>
            <w:hideMark/>
          </w:tcPr>
          <w:p w14:paraId="0A8E0B2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19,675</w:t>
            </w:r>
          </w:p>
        </w:tc>
        <w:tc>
          <w:tcPr>
            <w:tcW w:w="768" w:type="dxa"/>
            <w:tcBorders>
              <w:left w:val="nil"/>
              <w:bottom w:val="nil"/>
              <w:right w:val="nil"/>
            </w:tcBorders>
            <w:shd w:val="clear" w:color="auto" w:fill="auto"/>
            <w:noWrap/>
            <w:vAlign w:val="center"/>
            <w:hideMark/>
          </w:tcPr>
          <w:p w14:paraId="064E2E1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13,977</w:t>
            </w:r>
          </w:p>
        </w:tc>
        <w:tc>
          <w:tcPr>
            <w:tcW w:w="847" w:type="dxa"/>
            <w:tcBorders>
              <w:left w:val="nil"/>
              <w:bottom w:val="nil"/>
              <w:right w:val="nil"/>
            </w:tcBorders>
            <w:shd w:val="clear" w:color="auto" w:fill="auto"/>
            <w:noWrap/>
            <w:vAlign w:val="center"/>
            <w:hideMark/>
          </w:tcPr>
          <w:p w14:paraId="004BAD5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13,957</w:t>
            </w:r>
          </w:p>
        </w:tc>
        <w:tc>
          <w:tcPr>
            <w:tcW w:w="847" w:type="dxa"/>
            <w:tcBorders>
              <w:left w:val="nil"/>
              <w:bottom w:val="nil"/>
              <w:right w:val="nil"/>
            </w:tcBorders>
            <w:shd w:val="clear" w:color="auto" w:fill="auto"/>
            <w:noWrap/>
            <w:vAlign w:val="center"/>
            <w:hideMark/>
          </w:tcPr>
          <w:p w14:paraId="7245627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24,280</w:t>
            </w:r>
          </w:p>
        </w:tc>
        <w:tc>
          <w:tcPr>
            <w:tcW w:w="847" w:type="dxa"/>
            <w:tcBorders>
              <w:left w:val="nil"/>
              <w:bottom w:val="nil"/>
              <w:right w:val="nil"/>
            </w:tcBorders>
            <w:shd w:val="clear" w:color="auto" w:fill="auto"/>
            <w:noWrap/>
            <w:vAlign w:val="center"/>
            <w:hideMark/>
          </w:tcPr>
          <w:p w14:paraId="6ADEEE6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16,384</w:t>
            </w:r>
          </w:p>
        </w:tc>
        <w:tc>
          <w:tcPr>
            <w:tcW w:w="945" w:type="dxa"/>
            <w:tcBorders>
              <w:left w:val="nil"/>
              <w:bottom w:val="nil"/>
            </w:tcBorders>
            <w:shd w:val="clear" w:color="auto" w:fill="auto"/>
            <w:noWrap/>
            <w:vAlign w:val="center"/>
            <w:hideMark/>
          </w:tcPr>
          <w:p w14:paraId="056CF42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148,339</w:t>
            </w:r>
          </w:p>
        </w:tc>
      </w:tr>
      <w:tr w:rsidR="0015649E" w:rsidRPr="0084045A" w14:paraId="6996140C" w14:textId="77777777" w:rsidTr="00C3352F">
        <w:trPr>
          <w:trHeight w:val="212"/>
          <w:jc w:val="center"/>
        </w:trPr>
        <w:tc>
          <w:tcPr>
            <w:tcW w:w="728" w:type="dxa"/>
            <w:vMerge/>
            <w:shd w:val="clear" w:color="auto" w:fill="auto"/>
            <w:noWrap/>
            <w:textDirection w:val="btLr"/>
            <w:vAlign w:val="center"/>
            <w:hideMark/>
          </w:tcPr>
          <w:p w14:paraId="7BDB585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28DA20EF" w14:textId="281D1A22"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532E445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26,035</w:t>
            </w:r>
          </w:p>
        </w:tc>
        <w:tc>
          <w:tcPr>
            <w:tcW w:w="768" w:type="dxa"/>
            <w:tcBorders>
              <w:top w:val="nil"/>
              <w:left w:val="nil"/>
              <w:bottom w:val="nil"/>
              <w:right w:val="nil"/>
            </w:tcBorders>
            <w:shd w:val="clear" w:color="auto" w:fill="auto"/>
            <w:noWrap/>
            <w:vAlign w:val="center"/>
            <w:hideMark/>
          </w:tcPr>
          <w:p w14:paraId="3101B84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11,813</w:t>
            </w:r>
          </w:p>
        </w:tc>
        <w:tc>
          <w:tcPr>
            <w:tcW w:w="847" w:type="dxa"/>
            <w:tcBorders>
              <w:top w:val="nil"/>
              <w:left w:val="nil"/>
              <w:bottom w:val="nil"/>
              <w:right w:val="nil"/>
            </w:tcBorders>
            <w:shd w:val="clear" w:color="auto" w:fill="auto"/>
            <w:noWrap/>
            <w:vAlign w:val="center"/>
            <w:hideMark/>
          </w:tcPr>
          <w:p w14:paraId="2A07EF8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39,664</w:t>
            </w:r>
          </w:p>
        </w:tc>
        <w:tc>
          <w:tcPr>
            <w:tcW w:w="847" w:type="dxa"/>
            <w:tcBorders>
              <w:top w:val="nil"/>
              <w:left w:val="nil"/>
              <w:bottom w:val="nil"/>
              <w:right w:val="nil"/>
            </w:tcBorders>
            <w:shd w:val="clear" w:color="auto" w:fill="auto"/>
            <w:noWrap/>
            <w:vAlign w:val="center"/>
            <w:hideMark/>
          </w:tcPr>
          <w:p w14:paraId="0D7D2FE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23,772</w:t>
            </w:r>
          </w:p>
        </w:tc>
        <w:tc>
          <w:tcPr>
            <w:tcW w:w="880" w:type="dxa"/>
            <w:tcBorders>
              <w:top w:val="nil"/>
              <w:left w:val="nil"/>
              <w:bottom w:val="nil"/>
              <w:right w:val="nil"/>
            </w:tcBorders>
            <w:shd w:val="clear" w:color="auto" w:fill="auto"/>
            <w:noWrap/>
            <w:vAlign w:val="center"/>
            <w:hideMark/>
          </w:tcPr>
          <w:p w14:paraId="16A2FE7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38,258</w:t>
            </w:r>
          </w:p>
        </w:tc>
        <w:tc>
          <w:tcPr>
            <w:tcW w:w="768" w:type="dxa"/>
            <w:tcBorders>
              <w:top w:val="nil"/>
              <w:left w:val="nil"/>
              <w:bottom w:val="nil"/>
              <w:right w:val="nil"/>
            </w:tcBorders>
            <w:shd w:val="clear" w:color="auto" w:fill="auto"/>
            <w:noWrap/>
            <w:vAlign w:val="center"/>
            <w:hideMark/>
          </w:tcPr>
          <w:p w14:paraId="0609F84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26,122</w:t>
            </w:r>
          </w:p>
        </w:tc>
        <w:tc>
          <w:tcPr>
            <w:tcW w:w="847" w:type="dxa"/>
            <w:tcBorders>
              <w:top w:val="nil"/>
              <w:left w:val="nil"/>
              <w:bottom w:val="nil"/>
              <w:right w:val="nil"/>
            </w:tcBorders>
            <w:shd w:val="clear" w:color="auto" w:fill="auto"/>
            <w:noWrap/>
            <w:vAlign w:val="center"/>
            <w:hideMark/>
          </w:tcPr>
          <w:p w14:paraId="478565D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35,748</w:t>
            </w:r>
          </w:p>
        </w:tc>
        <w:tc>
          <w:tcPr>
            <w:tcW w:w="847" w:type="dxa"/>
            <w:tcBorders>
              <w:top w:val="nil"/>
              <w:left w:val="nil"/>
              <w:bottom w:val="nil"/>
              <w:right w:val="nil"/>
            </w:tcBorders>
            <w:shd w:val="clear" w:color="auto" w:fill="auto"/>
            <w:noWrap/>
            <w:vAlign w:val="center"/>
            <w:hideMark/>
          </w:tcPr>
          <w:p w14:paraId="63A205C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45,074</w:t>
            </w:r>
          </w:p>
        </w:tc>
        <w:tc>
          <w:tcPr>
            <w:tcW w:w="847" w:type="dxa"/>
            <w:tcBorders>
              <w:top w:val="nil"/>
              <w:left w:val="nil"/>
              <w:bottom w:val="nil"/>
              <w:right w:val="nil"/>
            </w:tcBorders>
            <w:shd w:val="clear" w:color="auto" w:fill="auto"/>
            <w:noWrap/>
            <w:vAlign w:val="center"/>
            <w:hideMark/>
          </w:tcPr>
          <w:p w14:paraId="59C5C25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30,915</w:t>
            </w:r>
          </w:p>
        </w:tc>
        <w:tc>
          <w:tcPr>
            <w:tcW w:w="945" w:type="dxa"/>
            <w:tcBorders>
              <w:top w:val="nil"/>
              <w:left w:val="nil"/>
              <w:bottom w:val="nil"/>
            </w:tcBorders>
            <w:shd w:val="clear" w:color="auto" w:fill="auto"/>
            <w:noWrap/>
            <w:vAlign w:val="center"/>
            <w:hideMark/>
          </w:tcPr>
          <w:p w14:paraId="12BCA1C1"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277,401</w:t>
            </w:r>
          </w:p>
        </w:tc>
      </w:tr>
      <w:tr w:rsidR="0015649E" w:rsidRPr="0084045A" w14:paraId="595157F4" w14:textId="77777777" w:rsidTr="00C3352F">
        <w:trPr>
          <w:trHeight w:val="212"/>
          <w:jc w:val="center"/>
        </w:trPr>
        <w:tc>
          <w:tcPr>
            <w:tcW w:w="728" w:type="dxa"/>
            <w:vMerge/>
            <w:shd w:val="clear" w:color="auto" w:fill="auto"/>
            <w:noWrap/>
            <w:textDirection w:val="btLr"/>
            <w:vAlign w:val="center"/>
            <w:hideMark/>
          </w:tcPr>
          <w:p w14:paraId="3D8BED45"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C1A52E6" w14:textId="7F804611"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58EB0B6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30,964</w:t>
            </w:r>
          </w:p>
        </w:tc>
        <w:tc>
          <w:tcPr>
            <w:tcW w:w="768" w:type="dxa"/>
            <w:tcBorders>
              <w:top w:val="nil"/>
              <w:left w:val="nil"/>
              <w:bottom w:val="nil"/>
              <w:right w:val="nil"/>
            </w:tcBorders>
            <w:shd w:val="clear" w:color="auto" w:fill="auto"/>
            <w:noWrap/>
            <w:vAlign w:val="center"/>
            <w:hideMark/>
          </w:tcPr>
          <w:p w14:paraId="4C227EE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14,868</w:t>
            </w:r>
          </w:p>
        </w:tc>
        <w:tc>
          <w:tcPr>
            <w:tcW w:w="847" w:type="dxa"/>
            <w:tcBorders>
              <w:top w:val="nil"/>
              <w:left w:val="nil"/>
              <w:bottom w:val="nil"/>
              <w:right w:val="nil"/>
            </w:tcBorders>
            <w:shd w:val="clear" w:color="auto" w:fill="auto"/>
            <w:noWrap/>
            <w:vAlign w:val="center"/>
            <w:hideMark/>
          </w:tcPr>
          <w:p w14:paraId="626B857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49,681</w:t>
            </w:r>
          </w:p>
        </w:tc>
        <w:tc>
          <w:tcPr>
            <w:tcW w:w="847" w:type="dxa"/>
            <w:tcBorders>
              <w:top w:val="nil"/>
              <w:left w:val="nil"/>
              <w:bottom w:val="nil"/>
              <w:right w:val="nil"/>
            </w:tcBorders>
            <w:shd w:val="clear" w:color="auto" w:fill="auto"/>
            <w:noWrap/>
            <w:vAlign w:val="center"/>
            <w:hideMark/>
          </w:tcPr>
          <w:p w14:paraId="51EBF16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58,052</w:t>
            </w:r>
          </w:p>
        </w:tc>
        <w:tc>
          <w:tcPr>
            <w:tcW w:w="880" w:type="dxa"/>
            <w:tcBorders>
              <w:top w:val="nil"/>
              <w:left w:val="nil"/>
              <w:bottom w:val="nil"/>
              <w:right w:val="nil"/>
            </w:tcBorders>
            <w:shd w:val="clear" w:color="auto" w:fill="auto"/>
            <w:noWrap/>
            <w:vAlign w:val="center"/>
            <w:hideMark/>
          </w:tcPr>
          <w:p w14:paraId="63981D8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38,957</w:t>
            </w:r>
          </w:p>
        </w:tc>
        <w:tc>
          <w:tcPr>
            <w:tcW w:w="768" w:type="dxa"/>
            <w:tcBorders>
              <w:top w:val="nil"/>
              <w:left w:val="nil"/>
              <w:bottom w:val="nil"/>
              <w:right w:val="nil"/>
            </w:tcBorders>
            <w:shd w:val="clear" w:color="auto" w:fill="auto"/>
            <w:noWrap/>
            <w:vAlign w:val="center"/>
            <w:hideMark/>
          </w:tcPr>
          <w:p w14:paraId="5DB2D26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46,487</w:t>
            </w:r>
          </w:p>
        </w:tc>
        <w:tc>
          <w:tcPr>
            <w:tcW w:w="847" w:type="dxa"/>
            <w:tcBorders>
              <w:top w:val="nil"/>
              <w:left w:val="nil"/>
              <w:bottom w:val="nil"/>
              <w:right w:val="nil"/>
            </w:tcBorders>
            <w:shd w:val="clear" w:color="auto" w:fill="auto"/>
            <w:noWrap/>
            <w:vAlign w:val="center"/>
            <w:hideMark/>
          </w:tcPr>
          <w:p w14:paraId="303FE4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39,714</w:t>
            </w:r>
          </w:p>
        </w:tc>
        <w:tc>
          <w:tcPr>
            <w:tcW w:w="847" w:type="dxa"/>
            <w:tcBorders>
              <w:top w:val="nil"/>
              <w:left w:val="nil"/>
              <w:bottom w:val="nil"/>
              <w:right w:val="nil"/>
            </w:tcBorders>
            <w:shd w:val="clear" w:color="auto" w:fill="auto"/>
            <w:noWrap/>
            <w:vAlign w:val="center"/>
            <w:hideMark/>
          </w:tcPr>
          <w:p w14:paraId="1E22B71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67,621</w:t>
            </w:r>
          </w:p>
        </w:tc>
        <w:tc>
          <w:tcPr>
            <w:tcW w:w="847" w:type="dxa"/>
            <w:tcBorders>
              <w:top w:val="nil"/>
              <w:left w:val="nil"/>
              <w:bottom w:val="nil"/>
              <w:right w:val="nil"/>
            </w:tcBorders>
            <w:shd w:val="clear" w:color="auto" w:fill="auto"/>
            <w:noWrap/>
            <w:vAlign w:val="center"/>
            <w:hideMark/>
          </w:tcPr>
          <w:p w14:paraId="34D6040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46,087</w:t>
            </w:r>
          </w:p>
        </w:tc>
        <w:tc>
          <w:tcPr>
            <w:tcW w:w="945" w:type="dxa"/>
            <w:tcBorders>
              <w:top w:val="nil"/>
              <w:left w:val="nil"/>
              <w:bottom w:val="nil"/>
            </w:tcBorders>
            <w:shd w:val="clear" w:color="auto" w:fill="auto"/>
            <w:noWrap/>
            <w:vAlign w:val="center"/>
            <w:hideMark/>
          </w:tcPr>
          <w:p w14:paraId="11648BBC"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392,430</w:t>
            </w:r>
          </w:p>
        </w:tc>
      </w:tr>
      <w:tr w:rsidR="0015649E" w:rsidRPr="0084045A" w14:paraId="7F2F0BF7" w14:textId="77777777" w:rsidTr="00C3352F">
        <w:trPr>
          <w:trHeight w:val="212"/>
          <w:jc w:val="center"/>
        </w:trPr>
        <w:tc>
          <w:tcPr>
            <w:tcW w:w="728" w:type="dxa"/>
            <w:vMerge/>
            <w:shd w:val="clear" w:color="auto" w:fill="auto"/>
            <w:noWrap/>
            <w:textDirection w:val="btLr"/>
            <w:vAlign w:val="center"/>
            <w:hideMark/>
          </w:tcPr>
          <w:p w14:paraId="20A80F5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6A628048" w14:textId="770CF175"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5FE04304" w14:textId="4A3A8FDC"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9864</w:t>
            </w:r>
          </w:p>
        </w:tc>
        <w:tc>
          <w:tcPr>
            <w:tcW w:w="768" w:type="dxa"/>
            <w:tcBorders>
              <w:top w:val="nil"/>
              <w:left w:val="nil"/>
              <w:bottom w:val="nil"/>
              <w:right w:val="nil"/>
            </w:tcBorders>
            <w:shd w:val="clear" w:color="auto" w:fill="auto"/>
            <w:noWrap/>
            <w:vAlign w:val="center"/>
            <w:hideMark/>
          </w:tcPr>
          <w:p w14:paraId="3977C9C5" w14:textId="43ADCCB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4000</w:t>
            </w:r>
          </w:p>
        </w:tc>
        <w:tc>
          <w:tcPr>
            <w:tcW w:w="847" w:type="dxa"/>
            <w:tcBorders>
              <w:top w:val="nil"/>
              <w:left w:val="nil"/>
              <w:bottom w:val="nil"/>
              <w:right w:val="nil"/>
            </w:tcBorders>
            <w:shd w:val="clear" w:color="auto" w:fill="auto"/>
            <w:noWrap/>
            <w:vAlign w:val="center"/>
            <w:hideMark/>
          </w:tcPr>
          <w:p w14:paraId="438451D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16,949</w:t>
            </w:r>
          </w:p>
        </w:tc>
        <w:tc>
          <w:tcPr>
            <w:tcW w:w="847" w:type="dxa"/>
            <w:tcBorders>
              <w:top w:val="nil"/>
              <w:left w:val="nil"/>
              <w:bottom w:val="nil"/>
              <w:right w:val="nil"/>
            </w:tcBorders>
            <w:shd w:val="clear" w:color="auto" w:fill="auto"/>
            <w:noWrap/>
            <w:vAlign w:val="center"/>
            <w:hideMark/>
          </w:tcPr>
          <w:p w14:paraId="4643DB8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18,952</w:t>
            </w:r>
          </w:p>
        </w:tc>
        <w:tc>
          <w:tcPr>
            <w:tcW w:w="880" w:type="dxa"/>
            <w:tcBorders>
              <w:top w:val="nil"/>
              <w:left w:val="nil"/>
              <w:bottom w:val="nil"/>
              <w:right w:val="nil"/>
            </w:tcBorders>
            <w:shd w:val="clear" w:color="auto" w:fill="auto"/>
            <w:noWrap/>
            <w:vAlign w:val="center"/>
            <w:hideMark/>
          </w:tcPr>
          <w:p w14:paraId="344995A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16,812</w:t>
            </w:r>
          </w:p>
        </w:tc>
        <w:tc>
          <w:tcPr>
            <w:tcW w:w="768" w:type="dxa"/>
            <w:tcBorders>
              <w:top w:val="nil"/>
              <w:left w:val="nil"/>
              <w:bottom w:val="nil"/>
              <w:right w:val="nil"/>
            </w:tcBorders>
            <w:shd w:val="clear" w:color="auto" w:fill="auto"/>
            <w:noWrap/>
            <w:vAlign w:val="center"/>
            <w:hideMark/>
          </w:tcPr>
          <w:p w14:paraId="05FEBF5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16,924</w:t>
            </w:r>
          </w:p>
        </w:tc>
        <w:tc>
          <w:tcPr>
            <w:tcW w:w="847" w:type="dxa"/>
            <w:tcBorders>
              <w:top w:val="nil"/>
              <w:left w:val="nil"/>
              <w:bottom w:val="nil"/>
              <w:right w:val="nil"/>
            </w:tcBorders>
            <w:shd w:val="clear" w:color="auto" w:fill="auto"/>
            <w:noWrap/>
            <w:vAlign w:val="center"/>
            <w:hideMark/>
          </w:tcPr>
          <w:p w14:paraId="18FF7C1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21,468</w:t>
            </w:r>
          </w:p>
        </w:tc>
        <w:tc>
          <w:tcPr>
            <w:tcW w:w="847" w:type="dxa"/>
            <w:tcBorders>
              <w:top w:val="nil"/>
              <w:left w:val="nil"/>
              <w:bottom w:val="nil"/>
              <w:right w:val="nil"/>
            </w:tcBorders>
            <w:shd w:val="clear" w:color="auto" w:fill="auto"/>
            <w:noWrap/>
            <w:vAlign w:val="center"/>
            <w:hideMark/>
          </w:tcPr>
          <w:p w14:paraId="1C48787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40,159</w:t>
            </w:r>
          </w:p>
        </w:tc>
        <w:tc>
          <w:tcPr>
            <w:tcW w:w="847" w:type="dxa"/>
            <w:tcBorders>
              <w:top w:val="nil"/>
              <w:left w:val="nil"/>
              <w:bottom w:val="nil"/>
              <w:right w:val="nil"/>
            </w:tcBorders>
            <w:shd w:val="clear" w:color="auto" w:fill="auto"/>
            <w:noWrap/>
            <w:vAlign w:val="center"/>
            <w:hideMark/>
          </w:tcPr>
          <w:p w14:paraId="2343301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20,978</w:t>
            </w:r>
          </w:p>
        </w:tc>
        <w:tc>
          <w:tcPr>
            <w:tcW w:w="945" w:type="dxa"/>
            <w:tcBorders>
              <w:top w:val="nil"/>
              <w:left w:val="nil"/>
              <w:bottom w:val="nil"/>
            </w:tcBorders>
            <w:shd w:val="clear" w:color="auto" w:fill="auto"/>
            <w:noWrap/>
            <w:vAlign w:val="center"/>
            <w:hideMark/>
          </w:tcPr>
          <w:p w14:paraId="6398FD01"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166,106</w:t>
            </w:r>
          </w:p>
        </w:tc>
      </w:tr>
      <w:tr w:rsidR="0015649E" w:rsidRPr="0084045A" w14:paraId="1BAB6E83" w14:textId="77777777" w:rsidTr="00C3352F">
        <w:trPr>
          <w:trHeight w:val="212"/>
          <w:jc w:val="center"/>
        </w:trPr>
        <w:tc>
          <w:tcPr>
            <w:tcW w:w="728" w:type="dxa"/>
            <w:vMerge/>
            <w:shd w:val="clear" w:color="auto" w:fill="auto"/>
            <w:noWrap/>
            <w:textDirection w:val="btLr"/>
            <w:vAlign w:val="center"/>
            <w:hideMark/>
          </w:tcPr>
          <w:p w14:paraId="4AEB058E"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3540F81F" w14:textId="46981C4D"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187B8772" w14:textId="7D92F0CD"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3146</w:t>
            </w:r>
          </w:p>
        </w:tc>
        <w:tc>
          <w:tcPr>
            <w:tcW w:w="768" w:type="dxa"/>
            <w:tcBorders>
              <w:top w:val="nil"/>
              <w:left w:val="nil"/>
              <w:bottom w:val="single" w:sz="4" w:space="0" w:color="auto"/>
              <w:right w:val="nil"/>
            </w:tcBorders>
            <w:shd w:val="clear" w:color="auto" w:fill="auto"/>
            <w:noWrap/>
            <w:vAlign w:val="center"/>
            <w:hideMark/>
          </w:tcPr>
          <w:p w14:paraId="5607CD25" w14:textId="092CD965"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1676</w:t>
            </w:r>
          </w:p>
        </w:tc>
        <w:tc>
          <w:tcPr>
            <w:tcW w:w="847" w:type="dxa"/>
            <w:tcBorders>
              <w:top w:val="nil"/>
              <w:left w:val="nil"/>
              <w:bottom w:val="single" w:sz="4" w:space="0" w:color="auto"/>
              <w:right w:val="nil"/>
            </w:tcBorders>
            <w:shd w:val="clear" w:color="auto" w:fill="auto"/>
            <w:noWrap/>
            <w:vAlign w:val="center"/>
            <w:hideMark/>
          </w:tcPr>
          <w:p w14:paraId="0455EF25" w14:textId="189CA0F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7199</w:t>
            </w:r>
          </w:p>
        </w:tc>
        <w:tc>
          <w:tcPr>
            <w:tcW w:w="847" w:type="dxa"/>
            <w:tcBorders>
              <w:top w:val="nil"/>
              <w:left w:val="nil"/>
              <w:bottom w:val="single" w:sz="4" w:space="0" w:color="auto"/>
              <w:right w:val="nil"/>
            </w:tcBorders>
            <w:shd w:val="clear" w:color="auto" w:fill="auto"/>
            <w:noWrap/>
            <w:vAlign w:val="center"/>
            <w:hideMark/>
          </w:tcPr>
          <w:p w14:paraId="6FC404BA" w14:textId="4BD873E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2923</w:t>
            </w:r>
          </w:p>
        </w:tc>
        <w:tc>
          <w:tcPr>
            <w:tcW w:w="880" w:type="dxa"/>
            <w:tcBorders>
              <w:top w:val="nil"/>
              <w:left w:val="nil"/>
              <w:bottom w:val="single" w:sz="4" w:space="0" w:color="auto"/>
              <w:right w:val="nil"/>
            </w:tcBorders>
            <w:shd w:val="clear" w:color="auto" w:fill="auto"/>
            <w:noWrap/>
            <w:vAlign w:val="center"/>
            <w:hideMark/>
          </w:tcPr>
          <w:p w14:paraId="4DF64CCE" w14:textId="49E26F8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7993</w:t>
            </w:r>
          </w:p>
        </w:tc>
        <w:tc>
          <w:tcPr>
            <w:tcW w:w="768" w:type="dxa"/>
            <w:tcBorders>
              <w:top w:val="nil"/>
              <w:left w:val="nil"/>
              <w:bottom w:val="single" w:sz="4" w:space="0" w:color="auto"/>
              <w:right w:val="nil"/>
            </w:tcBorders>
            <w:shd w:val="clear" w:color="auto" w:fill="auto"/>
            <w:noWrap/>
            <w:vAlign w:val="center"/>
            <w:hideMark/>
          </w:tcPr>
          <w:p w14:paraId="7CED50C6" w14:textId="0EDC8FDE"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2817</w:t>
            </w:r>
          </w:p>
        </w:tc>
        <w:tc>
          <w:tcPr>
            <w:tcW w:w="847" w:type="dxa"/>
            <w:tcBorders>
              <w:top w:val="nil"/>
              <w:left w:val="nil"/>
              <w:bottom w:val="single" w:sz="4" w:space="0" w:color="auto"/>
              <w:right w:val="nil"/>
            </w:tcBorders>
            <w:shd w:val="clear" w:color="auto" w:fill="auto"/>
            <w:noWrap/>
            <w:vAlign w:val="center"/>
            <w:hideMark/>
          </w:tcPr>
          <w:p w14:paraId="3740C93F" w14:textId="3E87EF9F"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7565</w:t>
            </w:r>
          </w:p>
        </w:tc>
        <w:tc>
          <w:tcPr>
            <w:tcW w:w="847" w:type="dxa"/>
            <w:tcBorders>
              <w:top w:val="nil"/>
              <w:left w:val="nil"/>
              <w:bottom w:val="single" w:sz="4" w:space="0" w:color="auto"/>
              <w:right w:val="nil"/>
            </w:tcBorders>
            <w:shd w:val="clear" w:color="auto" w:fill="auto"/>
            <w:noWrap/>
            <w:vAlign w:val="center"/>
            <w:hideMark/>
          </w:tcPr>
          <w:p w14:paraId="4B753F8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12,461</w:t>
            </w:r>
          </w:p>
        </w:tc>
        <w:tc>
          <w:tcPr>
            <w:tcW w:w="847" w:type="dxa"/>
            <w:tcBorders>
              <w:top w:val="nil"/>
              <w:left w:val="nil"/>
              <w:bottom w:val="single" w:sz="4" w:space="0" w:color="auto"/>
              <w:right w:val="nil"/>
            </w:tcBorders>
            <w:shd w:val="clear" w:color="auto" w:fill="auto"/>
            <w:noWrap/>
            <w:vAlign w:val="center"/>
            <w:hideMark/>
          </w:tcPr>
          <w:p w14:paraId="6C13802D" w14:textId="0000748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6435</w:t>
            </w:r>
          </w:p>
        </w:tc>
        <w:tc>
          <w:tcPr>
            <w:tcW w:w="945" w:type="dxa"/>
            <w:tcBorders>
              <w:top w:val="nil"/>
              <w:left w:val="nil"/>
              <w:bottom w:val="single" w:sz="4" w:space="0" w:color="auto"/>
            </w:tcBorders>
            <w:shd w:val="clear" w:color="auto" w:fill="auto"/>
            <w:noWrap/>
            <w:vAlign w:val="center"/>
            <w:hideMark/>
          </w:tcPr>
          <w:p w14:paraId="43291F88"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52,216</w:t>
            </w:r>
          </w:p>
        </w:tc>
      </w:tr>
      <w:tr w:rsidR="0015649E" w:rsidRPr="0084045A" w14:paraId="0FD7970A" w14:textId="77777777" w:rsidTr="00C3352F">
        <w:trPr>
          <w:trHeight w:val="212"/>
          <w:jc w:val="center"/>
        </w:trPr>
        <w:tc>
          <w:tcPr>
            <w:tcW w:w="728" w:type="dxa"/>
            <w:vMerge w:val="restart"/>
            <w:shd w:val="clear" w:color="auto" w:fill="auto"/>
            <w:noWrap/>
            <w:textDirection w:val="btLr"/>
            <w:vAlign w:val="center"/>
            <w:hideMark/>
          </w:tcPr>
          <w:p w14:paraId="1ABB63B8"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Veracruz</w:t>
            </w:r>
          </w:p>
        </w:tc>
        <w:tc>
          <w:tcPr>
            <w:tcW w:w="753" w:type="dxa"/>
            <w:tcBorders>
              <w:bottom w:val="nil"/>
              <w:right w:val="nil"/>
            </w:tcBorders>
            <w:vAlign w:val="center"/>
          </w:tcPr>
          <w:p w14:paraId="21ED524D" w14:textId="5482871E"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287B204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98,986</w:t>
            </w:r>
          </w:p>
        </w:tc>
        <w:tc>
          <w:tcPr>
            <w:tcW w:w="768" w:type="dxa"/>
            <w:tcBorders>
              <w:left w:val="nil"/>
              <w:bottom w:val="nil"/>
              <w:right w:val="nil"/>
            </w:tcBorders>
            <w:shd w:val="clear" w:color="auto" w:fill="auto"/>
            <w:noWrap/>
            <w:vAlign w:val="center"/>
            <w:hideMark/>
          </w:tcPr>
          <w:p w14:paraId="16910DA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33,920</w:t>
            </w:r>
          </w:p>
        </w:tc>
        <w:tc>
          <w:tcPr>
            <w:tcW w:w="847" w:type="dxa"/>
            <w:tcBorders>
              <w:left w:val="nil"/>
              <w:bottom w:val="nil"/>
              <w:right w:val="nil"/>
            </w:tcBorders>
            <w:shd w:val="clear" w:color="auto" w:fill="auto"/>
            <w:noWrap/>
            <w:vAlign w:val="center"/>
            <w:hideMark/>
          </w:tcPr>
          <w:p w14:paraId="55C536F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128,894</w:t>
            </w:r>
          </w:p>
        </w:tc>
        <w:tc>
          <w:tcPr>
            <w:tcW w:w="847" w:type="dxa"/>
            <w:tcBorders>
              <w:left w:val="nil"/>
              <w:bottom w:val="nil"/>
              <w:right w:val="nil"/>
            </w:tcBorders>
            <w:shd w:val="clear" w:color="auto" w:fill="auto"/>
            <w:noWrap/>
            <w:vAlign w:val="center"/>
            <w:hideMark/>
          </w:tcPr>
          <w:p w14:paraId="09DAEBF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92,125</w:t>
            </w:r>
          </w:p>
        </w:tc>
        <w:tc>
          <w:tcPr>
            <w:tcW w:w="880" w:type="dxa"/>
            <w:tcBorders>
              <w:left w:val="nil"/>
              <w:bottom w:val="nil"/>
              <w:right w:val="nil"/>
            </w:tcBorders>
            <w:shd w:val="clear" w:color="auto" w:fill="auto"/>
            <w:noWrap/>
            <w:vAlign w:val="center"/>
            <w:hideMark/>
          </w:tcPr>
          <w:p w14:paraId="2E9B1FB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117,119</w:t>
            </w:r>
          </w:p>
        </w:tc>
        <w:tc>
          <w:tcPr>
            <w:tcW w:w="768" w:type="dxa"/>
            <w:tcBorders>
              <w:left w:val="nil"/>
              <w:bottom w:val="nil"/>
              <w:right w:val="nil"/>
            </w:tcBorders>
            <w:shd w:val="clear" w:color="auto" w:fill="auto"/>
            <w:noWrap/>
            <w:vAlign w:val="center"/>
            <w:hideMark/>
          </w:tcPr>
          <w:p w14:paraId="101CD08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83,548</w:t>
            </w:r>
          </w:p>
        </w:tc>
        <w:tc>
          <w:tcPr>
            <w:tcW w:w="847" w:type="dxa"/>
            <w:tcBorders>
              <w:left w:val="nil"/>
              <w:bottom w:val="nil"/>
              <w:right w:val="nil"/>
            </w:tcBorders>
            <w:shd w:val="clear" w:color="auto" w:fill="auto"/>
            <w:noWrap/>
            <w:vAlign w:val="center"/>
            <w:hideMark/>
          </w:tcPr>
          <w:p w14:paraId="3C77A59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83,076</w:t>
            </w:r>
          </w:p>
        </w:tc>
        <w:tc>
          <w:tcPr>
            <w:tcW w:w="847" w:type="dxa"/>
            <w:tcBorders>
              <w:left w:val="nil"/>
              <w:bottom w:val="nil"/>
              <w:right w:val="nil"/>
            </w:tcBorders>
            <w:shd w:val="clear" w:color="auto" w:fill="auto"/>
            <w:noWrap/>
            <w:vAlign w:val="center"/>
            <w:hideMark/>
          </w:tcPr>
          <w:p w14:paraId="5518DC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143,752</w:t>
            </w:r>
          </w:p>
        </w:tc>
        <w:tc>
          <w:tcPr>
            <w:tcW w:w="847" w:type="dxa"/>
            <w:tcBorders>
              <w:left w:val="nil"/>
              <w:bottom w:val="nil"/>
              <w:right w:val="nil"/>
            </w:tcBorders>
            <w:shd w:val="clear" w:color="auto" w:fill="auto"/>
            <w:noWrap/>
            <w:vAlign w:val="center"/>
            <w:hideMark/>
          </w:tcPr>
          <w:p w14:paraId="35CB9AD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96,453</w:t>
            </w:r>
          </w:p>
        </w:tc>
        <w:tc>
          <w:tcPr>
            <w:tcW w:w="945" w:type="dxa"/>
            <w:tcBorders>
              <w:left w:val="nil"/>
              <w:bottom w:val="nil"/>
            </w:tcBorders>
            <w:shd w:val="clear" w:color="auto" w:fill="auto"/>
            <w:noWrap/>
            <w:vAlign w:val="center"/>
            <w:hideMark/>
          </w:tcPr>
          <w:p w14:paraId="5EFFA130"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877,872</w:t>
            </w:r>
          </w:p>
        </w:tc>
      </w:tr>
      <w:tr w:rsidR="0015649E" w:rsidRPr="0084045A" w14:paraId="3047B658" w14:textId="77777777" w:rsidTr="00C3352F">
        <w:trPr>
          <w:trHeight w:val="212"/>
          <w:jc w:val="center"/>
        </w:trPr>
        <w:tc>
          <w:tcPr>
            <w:tcW w:w="728" w:type="dxa"/>
            <w:vMerge/>
            <w:shd w:val="clear" w:color="auto" w:fill="auto"/>
            <w:noWrap/>
            <w:textDirection w:val="btLr"/>
            <w:vAlign w:val="center"/>
            <w:hideMark/>
          </w:tcPr>
          <w:p w14:paraId="5CCA23F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51D37414" w14:textId="2E867F3D"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381914E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159,385</w:t>
            </w:r>
          </w:p>
        </w:tc>
        <w:tc>
          <w:tcPr>
            <w:tcW w:w="768" w:type="dxa"/>
            <w:tcBorders>
              <w:top w:val="nil"/>
              <w:left w:val="nil"/>
              <w:bottom w:val="nil"/>
              <w:right w:val="nil"/>
            </w:tcBorders>
            <w:shd w:val="clear" w:color="auto" w:fill="auto"/>
            <w:noWrap/>
            <w:vAlign w:val="center"/>
            <w:hideMark/>
          </w:tcPr>
          <w:p w14:paraId="3544DD5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71,841</w:t>
            </w:r>
          </w:p>
        </w:tc>
        <w:tc>
          <w:tcPr>
            <w:tcW w:w="847" w:type="dxa"/>
            <w:tcBorders>
              <w:top w:val="nil"/>
              <w:left w:val="nil"/>
              <w:bottom w:val="nil"/>
              <w:right w:val="nil"/>
            </w:tcBorders>
            <w:shd w:val="clear" w:color="auto" w:fill="auto"/>
            <w:noWrap/>
            <w:vAlign w:val="center"/>
            <w:hideMark/>
          </w:tcPr>
          <w:p w14:paraId="2DECBF4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239,638</w:t>
            </w:r>
          </w:p>
        </w:tc>
        <w:tc>
          <w:tcPr>
            <w:tcW w:w="847" w:type="dxa"/>
            <w:tcBorders>
              <w:top w:val="nil"/>
              <w:left w:val="nil"/>
              <w:bottom w:val="nil"/>
              <w:right w:val="nil"/>
            </w:tcBorders>
            <w:shd w:val="clear" w:color="auto" w:fill="auto"/>
            <w:noWrap/>
            <w:vAlign w:val="center"/>
            <w:hideMark/>
          </w:tcPr>
          <w:p w14:paraId="6E73E59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142,678</w:t>
            </w:r>
          </w:p>
        </w:tc>
        <w:tc>
          <w:tcPr>
            <w:tcW w:w="880" w:type="dxa"/>
            <w:tcBorders>
              <w:top w:val="nil"/>
              <w:left w:val="nil"/>
              <w:bottom w:val="nil"/>
              <w:right w:val="nil"/>
            </w:tcBorders>
            <w:shd w:val="clear" w:color="auto" w:fill="auto"/>
            <w:noWrap/>
            <w:vAlign w:val="center"/>
            <w:hideMark/>
          </w:tcPr>
          <w:p w14:paraId="6F3C561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228,115</w:t>
            </w:r>
          </w:p>
        </w:tc>
        <w:tc>
          <w:tcPr>
            <w:tcW w:w="768" w:type="dxa"/>
            <w:tcBorders>
              <w:top w:val="nil"/>
              <w:left w:val="nil"/>
              <w:bottom w:val="nil"/>
              <w:right w:val="nil"/>
            </w:tcBorders>
            <w:shd w:val="clear" w:color="auto" w:fill="auto"/>
            <w:noWrap/>
            <w:vAlign w:val="center"/>
            <w:hideMark/>
          </w:tcPr>
          <w:p w14:paraId="78BF375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154,738</w:t>
            </w:r>
          </w:p>
        </w:tc>
        <w:tc>
          <w:tcPr>
            <w:tcW w:w="847" w:type="dxa"/>
            <w:tcBorders>
              <w:top w:val="nil"/>
              <w:left w:val="nil"/>
              <w:bottom w:val="nil"/>
              <w:right w:val="nil"/>
            </w:tcBorders>
            <w:shd w:val="clear" w:color="auto" w:fill="auto"/>
            <w:noWrap/>
            <w:vAlign w:val="center"/>
            <w:hideMark/>
          </w:tcPr>
          <w:p w14:paraId="5ABA40F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211,121</w:t>
            </w:r>
          </w:p>
        </w:tc>
        <w:tc>
          <w:tcPr>
            <w:tcW w:w="847" w:type="dxa"/>
            <w:tcBorders>
              <w:top w:val="nil"/>
              <w:left w:val="nil"/>
              <w:bottom w:val="nil"/>
              <w:right w:val="nil"/>
            </w:tcBorders>
            <w:shd w:val="clear" w:color="auto" w:fill="auto"/>
            <w:noWrap/>
            <w:vAlign w:val="center"/>
            <w:hideMark/>
          </w:tcPr>
          <w:p w14:paraId="365A5D0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265,519</w:t>
            </w:r>
          </w:p>
        </w:tc>
        <w:tc>
          <w:tcPr>
            <w:tcW w:w="847" w:type="dxa"/>
            <w:tcBorders>
              <w:top w:val="nil"/>
              <w:left w:val="nil"/>
              <w:bottom w:val="nil"/>
              <w:right w:val="nil"/>
            </w:tcBorders>
            <w:shd w:val="clear" w:color="auto" w:fill="auto"/>
            <w:noWrap/>
            <w:vAlign w:val="center"/>
            <w:hideMark/>
          </w:tcPr>
          <w:p w14:paraId="43AEC81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181,734</w:t>
            </w:r>
          </w:p>
        </w:tc>
        <w:tc>
          <w:tcPr>
            <w:tcW w:w="945" w:type="dxa"/>
            <w:tcBorders>
              <w:top w:val="nil"/>
              <w:left w:val="nil"/>
              <w:bottom w:val="nil"/>
            </w:tcBorders>
            <w:shd w:val="clear" w:color="auto" w:fill="auto"/>
            <w:noWrap/>
            <w:vAlign w:val="center"/>
            <w:hideMark/>
          </w:tcPr>
          <w:p w14:paraId="233E8381"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1,654,771</w:t>
            </w:r>
          </w:p>
        </w:tc>
      </w:tr>
      <w:tr w:rsidR="0015649E" w:rsidRPr="0084045A" w14:paraId="06657474" w14:textId="77777777" w:rsidTr="00C3352F">
        <w:trPr>
          <w:trHeight w:val="212"/>
          <w:jc w:val="center"/>
        </w:trPr>
        <w:tc>
          <w:tcPr>
            <w:tcW w:w="728" w:type="dxa"/>
            <w:vMerge/>
            <w:shd w:val="clear" w:color="auto" w:fill="auto"/>
            <w:noWrap/>
            <w:textDirection w:val="btLr"/>
            <w:vAlign w:val="center"/>
            <w:hideMark/>
          </w:tcPr>
          <w:p w14:paraId="4A2B169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20DDF9D" w14:textId="78CC0BDE"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19487E8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198,653</w:t>
            </w:r>
          </w:p>
        </w:tc>
        <w:tc>
          <w:tcPr>
            <w:tcW w:w="768" w:type="dxa"/>
            <w:tcBorders>
              <w:top w:val="nil"/>
              <w:left w:val="nil"/>
              <w:bottom w:val="nil"/>
              <w:right w:val="nil"/>
            </w:tcBorders>
            <w:shd w:val="clear" w:color="auto" w:fill="auto"/>
            <w:noWrap/>
            <w:vAlign w:val="center"/>
            <w:hideMark/>
          </w:tcPr>
          <w:p w14:paraId="0D2BAC1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94,573</w:t>
            </w:r>
          </w:p>
        </w:tc>
        <w:tc>
          <w:tcPr>
            <w:tcW w:w="847" w:type="dxa"/>
            <w:tcBorders>
              <w:top w:val="nil"/>
              <w:left w:val="nil"/>
              <w:bottom w:val="nil"/>
              <w:right w:val="nil"/>
            </w:tcBorders>
            <w:shd w:val="clear" w:color="auto" w:fill="auto"/>
            <w:noWrap/>
            <w:vAlign w:val="center"/>
            <w:hideMark/>
          </w:tcPr>
          <w:p w14:paraId="5F7578B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313,301</w:t>
            </w:r>
          </w:p>
        </w:tc>
        <w:tc>
          <w:tcPr>
            <w:tcW w:w="847" w:type="dxa"/>
            <w:tcBorders>
              <w:top w:val="nil"/>
              <w:left w:val="nil"/>
              <w:bottom w:val="nil"/>
              <w:right w:val="nil"/>
            </w:tcBorders>
            <w:shd w:val="clear" w:color="auto" w:fill="auto"/>
            <w:noWrap/>
            <w:vAlign w:val="center"/>
            <w:hideMark/>
          </w:tcPr>
          <w:p w14:paraId="38A4210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362,974</w:t>
            </w:r>
          </w:p>
        </w:tc>
        <w:tc>
          <w:tcPr>
            <w:tcW w:w="880" w:type="dxa"/>
            <w:tcBorders>
              <w:top w:val="nil"/>
              <w:left w:val="nil"/>
              <w:bottom w:val="nil"/>
              <w:right w:val="nil"/>
            </w:tcBorders>
            <w:shd w:val="clear" w:color="auto" w:fill="auto"/>
            <w:noWrap/>
            <w:vAlign w:val="center"/>
            <w:hideMark/>
          </w:tcPr>
          <w:p w14:paraId="0B94C82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241,526</w:t>
            </w:r>
          </w:p>
        </w:tc>
        <w:tc>
          <w:tcPr>
            <w:tcW w:w="768" w:type="dxa"/>
            <w:tcBorders>
              <w:top w:val="nil"/>
              <w:left w:val="nil"/>
              <w:bottom w:val="nil"/>
              <w:right w:val="nil"/>
            </w:tcBorders>
            <w:shd w:val="clear" w:color="auto" w:fill="auto"/>
            <w:noWrap/>
            <w:vAlign w:val="center"/>
            <w:hideMark/>
          </w:tcPr>
          <w:p w14:paraId="65CECD7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285,780</w:t>
            </w:r>
          </w:p>
        </w:tc>
        <w:tc>
          <w:tcPr>
            <w:tcW w:w="847" w:type="dxa"/>
            <w:tcBorders>
              <w:top w:val="nil"/>
              <w:left w:val="nil"/>
              <w:bottom w:val="nil"/>
              <w:right w:val="nil"/>
            </w:tcBorders>
            <w:shd w:val="clear" w:color="auto" w:fill="auto"/>
            <w:noWrap/>
            <w:vAlign w:val="center"/>
            <w:hideMark/>
          </w:tcPr>
          <w:p w14:paraId="49AC430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242,265</w:t>
            </w:r>
          </w:p>
        </w:tc>
        <w:tc>
          <w:tcPr>
            <w:tcW w:w="847" w:type="dxa"/>
            <w:tcBorders>
              <w:top w:val="nil"/>
              <w:left w:val="nil"/>
              <w:bottom w:val="nil"/>
              <w:right w:val="nil"/>
            </w:tcBorders>
            <w:shd w:val="clear" w:color="auto" w:fill="auto"/>
            <w:noWrap/>
            <w:vAlign w:val="center"/>
            <w:hideMark/>
          </w:tcPr>
          <w:p w14:paraId="7093B78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409,385</w:t>
            </w:r>
          </w:p>
        </w:tc>
        <w:tc>
          <w:tcPr>
            <w:tcW w:w="847" w:type="dxa"/>
            <w:tcBorders>
              <w:top w:val="nil"/>
              <w:left w:val="nil"/>
              <w:bottom w:val="nil"/>
              <w:right w:val="nil"/>
            </w:tcBorders>
            <w:shd w:val="clear" w:color="auto" w:fill="auto"/>
            <w:noWrap/>
            <w:vAlign w:val="center"/>
            <w:hideMark/>
          </w:tcPr>
          <w:p w14:paraId="6DF5D13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276,931</w:t>
            </w:r>
          </w:p>
        </w:tc>
        <w:tc>
          <w:tcPr>
            <w:tcW w:w="945" w:type="dxa"/>
            <w:tcBorders>
              <w:top w:val="nil"/>
              <w:left w:val="nil"/>
              <w:bottom w:val="nil"/>
            </w:tcBorders>
            <w:shd w:val="clear" w:color="auto" w:fill="auto"/>
            <w:noWrap/>
            <w:vAlign w:val="center"/>
            <w:hideMark/>
          </w:tcPr>
          <w:p w14:paraId="0A69581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2,425,388</w:t>
            </w:r>
          </w:p>
        </w:tc>
      </w:tr>
      <w:tr w:rsidR="0015649E" w:rsidRPr="0084045A" w14:paraId="6853777B" w14:textId="77777777" w:rsidTr="00C3352F">
        <w:trPr>
          <w:trHeight w:val="212"/>
          <w:jc w:val="center"/>
        </w:trPr>
        <w:tc>
          <w:tcPr>
            <w:tcW w:w="728" w:type="dxa"/>
            <w:vMerge/>
            <w:shd w:val="clear" w:color="auto" w:fill="auto"/>
            <w:noWrap/>
            <w:textDirection w:val="btLr"/>
            <w:vAlign w:val="center"/>
            <w:hideMark/>
          </w:tcPr>
          <w:p w14:paraId="7D31308C"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632063B8" w14:textId="46F03324"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6C9E633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77,807</w:t>
            </w:r>
          </w:p>
        </w:tc>
        <w:tc>
          <w:tcPr>
            <w:tcW w:w="768" w:type="dxa"/>
            <w:tcBorders>
              <w:top w:val="nil"/>
              <w:left w:val="nil"/>
              <w:bottom w:val="nil"/>
              <w:right w:val="nil"/>
            </w:tcBorders>
            <w:shd w:val="clear" w:color="auto" w:fill="auto"/>
            <w:noWrap/>
            <w:vAlign w:val="center"/>
            <w:hideMark/>
          </w:tcPr>
          <w:p w14:paraId="1351C30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31,135</w:t>
            </w:r>
          </w:p>
        </w:tc>
        <w:tc>
          <w:tcPr>
            <w:tcW w:w="847" w:type="dxa"/>
            <w:tcBorders>
              <w:top w:val="nil"/>
              <w:left w:val="nil"/>
              <w:bottom w:val="nil"/>
              <w:right w:val="nil"/>
            </w:tcBorders>
            <w:shd w:val="clear" w:color="auto" w:fill="auto"/>
            <w:noWrap/>
            <w:vAlign w:val="center"/>
            <w:hideMark/>
          </w:tcPr>
          <w:p w14:paraId="42B388E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130,189</w:t>
            </w:r>
          </w:p>
        </w:tc>
        <w:tc>
          <w:tcPr>
            <w:tcW w:w="847" w:type="dxa"/>
            <w:tcBorders>
              <w:top w:val="nil"/>
              <w:left w:val="nil"/>
              <w:bottom w:val="nil"/>
              <w:right w:val="nil"/>
            </w:tcBorders>
            <w:shd w:val="clear" w:color="auto" w:fill="auto"/>
            <w:noWrap/>
            <w:vAlign w:val="center"/>
            <w:hideMark/>
          </w:tcPr>
          <w:p w14:paraId="7C9904C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143,683</w:t>
            </w:r>
          </w:p>
        </w:tc>
        <w:tc>
          <w:tcPr>
            <w:tcW w:w="880" w:type="dxa"/>
            <w:tcBorders>
              <w:top w:val="nil"/>
              <w:left w:val="nil"/>
              <w:bottom w:val="nil"/>
              <w:right w:val="nil"/>
            </w:tcBorders>
            <w:shd w:val="clear" w:color="auto" w:fill="auto"/>
            <w:noWrap/>
            <w:vAlign w:val="center"/>
            <w:hideMark/>
          </w:tcPr>
          <w:p w14:paraId="155A0D5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125,828</w:t>
            </w:r>
          </w:p>
        </w:tc>
        <w:tc>
          <w:tcPr>
            <w:tcW w:w="768" w:type="dxa"/>
            <w:tcBorders>
              <w:top w:val="nil"/>
              <w:left w:val="nil"/>
              <w:bottom w:val="nil"/>
              <w:right w:val="nil"/>
            </w:tcBorders>
            <w:shd w:val="clear" w:color="auto" w:fill="auto"/>
            <w:noWrap/>
            <w:vAlign w:val="center"/>
            <w:hideMark/>
          </w:tcPr>
          <w:p w14:paraId="3ABF30A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125,053</w:t>
            </w:r>
          </w:p>
        </w:tc>
        <w:tc>
          <w:tcPr>
            <w:tcW w:w="847" w:type="dxa"/>
            <w:tcBorders>
              <w:top w:val="nil"/>
              <w:left w:val="nil"/>
              <w:bottom w:val="nil"/>
              <w:right w:val="nil"/>
            </w:tcBorders>
            <w:shd w:val="clear" w:color="auto" w:fill="auto"/>
            <w:noWrap/>
            <w:vAlign w:val="center"/>
            <w:hideMark/>
          </w:tcPr>
          <w:p w14:paraId="53BA534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156,631</w:t>
            </w:r>
          </w:p>
        </w:tc>
        <w:tc>
          <w:tcPr>
            <w:tcW w:w="847" w:type="dxa"/>
            <w:tcBorders>
              <w:top w:val="nil"/>
              <w:left w:val="nil"/>
              <w:bottom w:val="nil"/>
              <w:right w:val="nil"/>
            </w:tcBorders>
            <w:shd w:val="clear" w:color="auto" w:fill="auto"/>
            <w:noWrap/>
            <w:vAlign w:val="center"/>
            <w:hideMark/>
          </w:tcPr>
          <w:p w14:paraId="2E19B81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289,351</w:t>
            </w:r>
          </w:p>
        </w:tc>
        <w:tc>
          <w:tcPr>
            <w:tcW w:w="847" w:type="dxa"/>
            <w:tcBorders>
              <w:top w:val="nil"/>
              <w:left w:val="nil"/>
              <w:bottom w:val="nil"/>
              <w:right w:val="nil"/>
            </w:tcBorders>
            <w:shd w:val="clear" w:color="auto" w:fill="auto"/>
            <w:noWrap/>
            <w:vAlign w:val="center"/>
            <w:hideMark/>
          </w:tcPr>
          <w:p w14:paraId="2BB90AE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149,301</w:t>
            </w:r>
          </w:p>
        </w:tc>
        <w:tc>
          <w:tcPr>
            <w:tcW w:w="945" w:type="dxa"/>
            <w:tcBorders>
              <w:top w:val="nil"/>
              <w:left w:val="nil"/>
              <w:bottom w:val="nil"/>
            </w:tcBorders>
            <w:shd w:val="clear" w:color="auto" w:fill="auto"/>
            <w:noWrap/>
            <w:vAlign w:val="center"/>
            <w:hideMark/>
          </w:tcPr>
          <w:p w14:paraId="74E3F5A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1,228,977</w:t>
            </w:r>
          </w:p>
        </w:tc>
      </w:tr>
      <w:tr w:rsidR="0015649E" w:rsidRPr="0084045A" w14:paraId="4CF790C4" w14:textId="77777777" w:rsidTr="00C3352F">
        <w:trPr>
          <w:trHeight w:val="212"/>
          <w:jc w:val="center"/>
        </w:trPr>
        <w:tc>
          <w:tcPr>
            <w:tcW w:w="728" w:type="dxa"/>
            <w:vMerge/>
            <w:shd w:val="clear" w:color="auto" w:fill="auto"/>
            <w:noWrap/>
            <w:textDirection w:val="btLr"/>
            <w:vAlign w:val="center"/>
            <w:hideMark/>
          </w:tcPr>
          <w:p w14:paraId="651BA0E4"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6FF84AA7" w14:textId="07E6D0B6"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2354E43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25,559</w:t>
            </w:r>
          </w:p>
        </w:tc>
        <w:tc>
          <w:tcPr>
            <w:tcW w:w="768" w:type="dxa"/>
            <w:tcBorders>
              <w:top w:val="nil"/>
              <w:left w:val="nil"/>
              <w:bottom w:val="single" w:sz="4" w:space="0" w:color="auto"/>
              <w:right w:val="nil"/>
            </w:tcBorders>
            <w:shd w:val="clear" w:color="auto" w:fill="auto"/>
            <w:noWrap/>
            <w:vAlign w:val="center"/>
            <w:hideMark/>
          </w:tcPr>
          <w:p w14:paraId="0AC44CC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13,625</w:t>
            </w:r>
          </w:p>
        </w:tc>
        <w:tc>
          <w:tcPr>
            <w:tcW w:w="847" w:type="dxa"/>
            <w:tcBorders>
              <w:top w:val="nil"/>
              <w:left w:val="nil"/>
              <w:bottom w:val="single" w:sz="4" w:space="0" w:color="auto"/>
              <w:right w:val="nil"/>
            </w:tcBorders>
            <w:shd w:val="clear" w:color="auto" w:fill="auto"/>
            <w:noWrap/>
            <w:vAlign w:val="center"/>
            <w:hideMark/>
          </w:tcPr>
          <w:p w14:paraId="27C2419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58,571</w:t>
            </w:r>
          </w:p>
        </w:tc>
        <w:tc>
          <w:tcPr>
            <w:tcW w:w="847" w:type="dxa"/>
            <w:tcBorders>
              <w:top w:val="nil"/>
              <w:left w:val="nil"/>
              <w:bottom w:val="single" w:sz="4" w:space="0" w:color="auto"/>
              <w:right w:val="nil"/>
            </w:tcBorders>
            <w:shd w:val="clear" w:color="auto" w:fill="auto"/>
            <w:noWrap/>
            <w:vAlign w:val="center"/>
            <w:hideMark/>
          </w:tcPr>
          <w:p w14:paraId="625BFD4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23,801</w:t>
            </w:r>
          </w:p>
        </w:tc>
        <w:tc>
          <w:tcPr>
            <w:tcW w:w="880" w:type="dxa"/>
            <w:tcBorders>
              <w:top w:val="nil"/>
              <w:left w:val="nil"/>
              <w:bottom w:val="single" w:sz="4" w:space="0" w:color="auto"/>
              <w:right w:val="nil"/>
            </w:tcBorders>
            <w:shd w:val="clear" w:color="auto" w:fill="auto"/>
            <w:noWrap/>
            <w:vAlign w:val="center"/>
            <w:hideMark/>
          </w:tcPr>
          <w:p w14:paraId="7E104D1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65,140</w:t>
            </w:r>
          </w:p>
        </w:tc>
        <w:tc>
          <w:tcPr>
            <w:tcW w:w="768" w:type="dxa"/>
            <w:tcBorders>
              <w:top w:val="nil"/>
              <w:left w:val="nil"/>
              <w:bottom w:val="single" w:sz="4" w:space="0" w:color="auto"/>
              <w:right w:val="nil"/>
            </w:tcBorders>
            <w:shd w:val="clear" w:color="auto" w:fill="auto"/>
            <w:noWrap/>
            <w:vAlign w:val="center"/>
            <w:hideMark/>
          </w:tcPr>
          <w:p w14:paraId="5269F29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22,974</w:t>
            </w:r>
          </w:p>
        </w:tc>
        <w:tc>
          <w:tcPr>
            <w:tcW w:w="847" w:type="dxa"/>
            <w:tcBorders>
              <w:top w:val="nil"/>
              <w:left w:val="nil"/>
              <w:bottom w:val="single" w:sz="4" w:space="0" w:color="auto"/>
              <w:right w:val="nil"/>
            </w:tcBorders>
            <w:shd w:val="clear" w:color="auto" w:fill="auto"/>
            <w:noWrap/>
            <w:vAlign w:val="center"/>
            <w:hideMark/>
          </w:tcPr>
          <w:p w14:paraId="458DAF6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61,473</w:t>
            </w:r>
          </w:p>
        </w:tc>
        <w:tc>
          <w:tcPr>
            <w:tcW w:w="847" w:type="dxa"/>
            <w:tcBorders>
              <w:top w:val="nil"/>
              <w:left w:val="nil"/>
              <w:bottom w:val="single" w:sz="4" w:space="0" w:color="auto"/>
              <w:right w:val="nil"/>
            </w:tcBorders>
            <w:shd w:val="clear" w:color="auto" w:fill="auto"/>
            <w:noWrap/>
            <w:vAlign w:val="center"/>
            <w:hideMark/>
          </w:tcPr>
          <w:p w14:paraId="678FD77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100,790</w:t>
            </w:r>
          </w:p>
        </w:tc>
        <w:tc>
          <w:tcPr>
            <w:tcW w:w="847" w:type="dxa"/>
            <w:tcBorders>
              <w:top w:val="nil"/>
              <w:left w:val="nil"/>
              <w:bottom w:val="single" w:sz="4" w:space="0" w:color="auto"/>
              <w:right w:val="nil"/>
            </w:tcBorders>
            <w:shd w:val="clear" w:color="auto" w:fill="auto"/>
            <w:noWrap/>
            <w:vAlign w:val="center"/>
            <w:hideMark/>
          </w:tcPr>
          <w:p w14:paraId="144AD00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51,756</w:t>
            </w:r>
          </w:p>
        </w:tc>
        <w:tc>
          <w:tcPr>
            <w:tcW w:w="945" w:type="dxa"/>
            <w:tcBorders>
              <w:top w:val="nil"/>
              <w:left w:val="nil"/>
              <w:bottom w:val="single" w:sz="4" w:space="0" w:color="auto"/>
            </w:tcBorders>
            <w:shd w:val="clear" w:color="auto" w:fill="auto"/>
            <w:noWrap/>
            <w:vAlign w:val="center"/>
            <w:hideMark/>
          </w:tcPr>
          <w:p w14:paraId="151B2217"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423,688</w:t>
            </w:r>
          </w:p>
        </w:tc>
      </w:tr>
      <w:tr w:rsidR="0015649E" w:rsidRPr="0084045A" w14:paraId="07654C9C" w14:textId="77777777" w:rsidTr="00C3352F">
        <w:trPr>
          <w:trHeight w:val="212"/>
          <w:jc w:val="center"/>
        </w:trPr>
        <w:tc>
          <w:tcPr>
            <w:tcW w:w="728" w:type="dxa"/>
            <w:vMerge w:val="restart"/>
            <w:shd w:val="clear" w:color="auto" w:fill="auto"/>
            <w:noWrap/>
            <w:textDirection w:val="btLr"/>
            <w:vAlign w:val="center"/>
            <w:hideMark/>
          </w:tcPr>
          <w:p w14:paraId="507982D3"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C3352F">
              <w:rPr>
                <w:rFonts w:ascii="Arial" w:eastAsia="Times New Roman" w:hAnsi="Arial" w:cs="Arial"/>
                <w:b/>
                <w:bCs/>
                <w:noProof/>
                <w:color w:val="000000"/>
                <w:sz w:val="14"/>
                <w:szCs w:val="14"/>
                <w:lang w:val="en-GB" w:eastAsia="es-MX"/>
              </w:rPr>
              <w:t>Yucatán</w:t>
            </w:r>
          </w:p>
        </w:tc>
        <w:tc>
          <w:tcPr>
            <w:tcW w:w="753" w:type="dxa"/>
            <w:tcBorders>
              <w:bottom w:val="nil"/>
              <w:right w:val="nil"/>
            </w:tcBorders>
            <w:vAlign w:val="center"/>
          </w:tcPr>
          <w:p w14:paraId="609CA766" w14:textId="3CE1876C"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74CEF09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24,754</w:t>
            </w:r>
          </w:p>
        </w:tc>
        <w:tc>
          <w:tcPr>
            <w:tcW w:w="768" w:type="dxa"/>
            <w:tcBorders>
              <w:left w:val="nil"/>
              <w:bottom w:val="nil"/>
              <w:right w:val="nil"/>
            </w:tcBorders>
            <w:shd w:val="clear" w:color="auto" w:fill="auto"/>
            <w:noWrap/>
            <w:vAlign w:val="center"/>
            <w:hideMark/>
          </w:tcPr>
          <w:p w14:paraId="41F07FFC" w14:textId="2C839A71"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8449</w:t>
            </w:r>
          </w:p>
        </w:tc>
        <w:tc>
          <w:tcPr>
            <w:tcW w:w="847" w:type="dxa"/>
            <w:tcBorders>
              <w:left w:val="nil"/>
              <w:bottom w:val="nil"/>
              <w:right w:val="nil"/>
            </w:tcBorders>
            <w:shd w:val="clear" w:color="auto" w:fill="auto"/>
            <w:noWrap/>
            <w:vAlign w:val="center"/>
            <w:hideMark/>
          </w:tcPr>
          <w:p w14:paraId="426ACA2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31,978</w:t>
            </w:r>
          </w:p>
        </w:tc>
        <w:tc>
          <w:tcPr>
            <w:tcW w:w="847" w:type="dxa"/>
            <w:tcBorders>
              <w:left w:val="nil"/>
              <w:bottom w:val="nil"/>
              <w:right w:val="nil"/>
            </w:tcBorders>
            <w:shd w:val="clear" w:color="auto" w:fill="auto"/>
            <w:noWrap/>
            <w:vAlign w:val="center"/>
            <w:hideMark/>
          </w:tcPr>
          <w:p w14:paraId="15D916D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22,765</w:t>
            </w:r>
          </w:p>
        </w:tc>
        <w:tc>
          <w:tcPr>
            <w:tcW w:w="880" w:type="dxa"/>
            <w:tcBorders>
              <w:left w:val="nil"/>
              <w:bottom w:val="nil"/>
              <w:right w:val="nil"/>
            </w:tcBorders>
            <w:shd w:val="clear" w:color="auto" w:fill="auto"/>
            <w:noWrap/>
            <w:vAlign w:val="center"/>
            <w:hideMark/>
          </w:tcPr>
          <w:p w14:paraId="444D776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28,828</w:t>
            </w:r>
          </w:p>
        </w:tc>
        <w:tc>
          <w:tcPr>
            <w:tcW w:w="768" w:type="dxa"/>
            <w:tcBorders>
              <w:left w:val="nil"/>
              <w:bottom w:val="nil"/>
              <w:right w:val="nil"/>
            </w:tcBorders>
            <w:shd w:val="clear" w:color="auto" w:fill="auto"/>
            <w:noWrap/>
            <w:vAlign w:val="center"/>
            <w:hideMark/>
          </w:tcPr>
          <w:p w14:paraId="6AEA0FE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20,485</w:t>
            </w:r>
          </w:p>
        </w:tc>
        <w:tc>
          <w:tcPr>
            <w:tcW w:w="847" w:type="dxa"/>
            <w:tcBorders>
              <w:left w:val="nil"/>
              <w:bottom w:val="nil"/>
              <w:right w:val="nil"/>
            </w:tcBorders>
            <w:shd w:val="clear" w:color="auto" w:fill="auto"/>
            <w:noWrap/>
            <w:vAlign w:val="center"/>
            <w:hideMark/>
          </w:tcPr>
          <w:p w14:paraId="3070927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20,434</w:t>
            </w:r>
          </w:p>
        </w:tc>
        <w:tc>
          <w:tcPr>
            <w:tcW w:w="847" w:type="dxa"/>
            <w:tcBorders>
              <w:left w:val="nil"/>
              <w:bottom w:val="nil"/>
              <w:right w:val="nil"/>
            </w:tcBorders>
            <w:shd w:val="clear" w:color="auto" w:fill="auto"/>
            <w:noWrap/>
            <w:vAlign w:val="center"/>
            <w:hideMark/>
          </w:tcPr>
          <w:p w14:paraId="69B0BE9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35,527</w:t>
            </w:r>
          </w:p>
        </w:tc>
        <w:tc>
          <w:tcPr>
            <w:tcW w:w="847" w:type="dxa"/>
            <w:tcBorders>
              <w:left w:val="nil"/>
              <w:bottom w:val="nil"/>
              <w:right w:val="nil"/>
            </w:tcBorders>
            <w:shd w:val="clear" w:color="auto" w:fill="auto"/>
            <w:noWrap/>
            <w:vAlign w:val="center"/>
            <w:hideMark/>
          </w:tcPr>
          <w:p w14:paraId="3C8BB5D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23,983</w:t>
            </w:r>
          </w:p>
        </w:tc>
        <w:tc>
          <w:tcPr>
            <w:tcW w:w="945" w:type="dxa"/>
            <w:tcBorders>
              <w:left w:val="nil"/>
              <w:bottom w:val="nil"/>
            </w:tcBorders>
            <w:shd w:val="clear" w:color="auto" w:fill="auto"/>
            <w:noWrap/>
            <w:vAlign w:val="center"/>
            <w:hideMark/>
          </w:tcPr>
          <w:p w14:paraId="56CCBC6C"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217,202</w:t>
            </w:r>
          </w:p>
        </w:tc>
      </w:tr>
      <w:tr w:rsidR="0015649E" w:rsidRPr="0084045A" w14:paraId="6CEFF628" w14:textId="77777777" w:rsidTr="00C3352F">
        <w:trPr>
          <w:trHeight w:val="212"/>
          <w:jc w:val="center"/>
        </w:trPr>
        <w:tc>
          <w:tcPr>
            <w:tcW w:w="728" w:type="dxa"/>
            <w:vMerge/>
            <w:shd w:val="clear" w:color="auto" w:fill="auto"/>
            <w:noWrap/>
            <w:textDirection w:val="btLr"/>
            <w:vAlign w:val="center"/>
            <w:hideMark/>
          </w:tcPr>
          <w:p w14:paraId="5438BA30"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F4BA226" w14:textId="331501A4"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3398560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40,186</w:t>
            </w:r>
          </w:p>
        </w:tc>
        <w:tc>
          <w:tcPr>
            <w:tcW w:w="768" w:type="dxa"/>
            <w:tcBorders>
              <w:top w:val="nil"/>
              <w:left w:val="nil"/>
              <w:bottom w:val="nil"/>
              <w:right w:val="nil"/>
            </w:tcBorders>
            <w:shd w:val="clear" w:color="auto" w:fill="auto"/>
            <w:noWrap/>
            <w:vAlign w:val="center"/>
            <w:hideMark/>
          </w:tcPr>
          <w:p w14:paraId="762A578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18,174</w:t>
            </w:r>
          </w:p>
        </w:tc>
        <w:tc>
          <w:tcPr>
            <w:tcW w:w="847" w:type="dxa"/>
            <w:tcBorders>
              <w:top w:val="nil"/>
              <w:left w:val="nil"/>
              <w:bottom w:val="nil"/>
              <w:right w:val="nil"/>
            </w:tcBorders>
            <w:shd w:val="clear" w:color="auto" w:fill="auto"/>
            <w:noWrap/>
            <w:vAlign w:val="center"/>
            <w:hideMark/>
          </w:tcPr>
          <w:p w14:paraId="516C232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60,821</w:t>
            </w:r>
          </w:p>
        </w:tc>
        <w:tc>
          <w:tcPr>
            <w:tcW w:w="847" w:type="dxa"/>
            <w:tcBorders>
              <w:top w:val="nil"/>
              <w:left w:val="nil"/>
              <w:bottom w:val="nil"/>
              <w:right w:val="nil"/>
            </w:tcBorders>
            <w:shd w:val="clear" w:color="auto" w:fill="auto"/>
            <w:noWrap/>
            <w:vAlign w:val="center"/>
            <w:hideMark/>
          </w:tcPr>
          <w:p w14:paraId="3C8DF5B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36,333</w:t>
            </w:r>
          </w:p>
        </w:tc>
        <w:tc>
          <w:tcPr>
            <w:tcW w:w="880" w:type="dxa"/>
            <w:tcBorders>
              <w:top w:val="nil"/>
              <w:left w:val="nil"/>
              <w:bottom w:val="nil"/>
              <w:right w:val="nil"/>
            </w:tcBorders>
            <w:shd w:val="clear" w:color="auto" w:fill="auto"/>
            <w:noWrap/>
            <w:vAlign w:val="center"/>
            <w:hideMark/>
          </w:tcPr>
          <w:p w14:paraId="2D18908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58,284</w:t>
            </w:r>
          </w:p>
        </w:tc>
        <w:tc>
          <w:tcPr>
            <w:tcW w:w="768" w:type="dxa"/>
            <w:tcBorders>
              <w:top w:val="nil"/>
              <w:left w:val="nil"/>
              <w:bottom w:val="nil"/>
              <w:right w:val="nil"/>
            </w:tcBorders>
            <w:shd w:val="clear" w:color="auto" w:fill="auto"/>
            <w:noWrap/>
            <w:vAlign w:val="center"/>
            <w:hideMark/>
          </w:tcPr>
          <w:p w14:paraId="226D481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39,669</w:t>
            </w:r>
          </w:p>
        </w:tc>
        <w:tc>
          <w:tcPr>
            <w:tcW w:w="847" w:type="dxa"/>
            <w:tcBorders>
              <w:top w:val="nil"/>
              <w:left w:val="nil"/>
              <w:bottom w:val="nil"/>
              <w:right w:val="nil"/>
            </w:tcBorders>
            <w:shd w:val="clear" w:color="auto" w:fill="auto"/>
            <w:noWrap/>
            <w:vAlign w:val="center"/>
            <w:hideMark/>
          </w:tcPr>
          <w:p w14:paraId="5574356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54,092</w:t>
            </w:r>
          </w:p>
        </w:tc>
        <w:tc>
          <w:tcPr>
            <w:tcW w:w="847" w:type="dxa"/>
            <w:tcBorders>
              <w:top w:val="nil"/>
              <w:left w:val="nil"/>
              <w:bottom w:val="nil"/>
              <w:right w:val="nil"/>
            </w:tcBorders>
            <w:shd w:val="clear" w:color="auto" w:fill="auto"/>
            <w:noWrap/>
            <w:vAlign w:val="center"/>
            <w:hideMark/>
          </w:tcPr>
          <w:p w14:paraId="6632C64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67,979</w:t>
            </w:r>
          </w:p>
        </w:tc>
        <w:tc>
          <w:tcPr>
            <w:tcW w:w="847" w:type="dxa"/>
            <w:tcBorders>
              <w:top w:val="nil"/>
              <w:left w:val="nil"/>
              <w:bottom w:val="nil"/>
              <w:right w:val="nil"/>
            </w:tcBorders>
            <w:shd w:val="clear" w:color="auto" w:fill="auto"/>
            <w:noWrap/>
            <w:vAlign w:val="center"/>
            <w:hideMark/>
          </w:tcPr>
          <w:p w14:paraId="44EE762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46,485</w:t>
            </w:r>
          </w:p>
        </w:tc>
        <w:tc>
          <w:tcPr>
            <w:tcW w:w="945" w:type="dxa"/>
            <w:tcBorders>
              <w:top w:val="nil"/>
              <w:left w:val="nil"/>
              <w:bottom w:val="nil"/>
            </w:tcBorders>
            <w:shd w:val="clear" w:color="auto" w:fill="auto"/>
            <w:noWrap/>
            <w:vAlign w:val="center"/>
            <w:hideMark/>
          </w:tcPr>
          <w:p w14:paraId="0B378B8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422,024</w:t>
            </w:r>
          </w:p>
        </w:tc>
      </w:tr>
      <w:tr w:rsidR="0015649E" w:rsidRPr="0084045A" w14:paraId="53EC7A6C" w14:textId="77777777" w:rsidTr="00C3352F">
        <w:trPr>
          <w:trHeight w:val="212"/>
          <w:jc w:val="center"/>
        </w:trPr>
        <w:tc>
          <w:tcPr>
            <w:tcW w:w="728" w:type="dxa"/>
            <w:vMerge/>
            <w:shd w:val="clear" w:color="auto" w:fill="auto"/>
            <w:noWrap/>
            <w:textDirection w:val="btLr"/>
            <w:vAlign w:val="center"/>
            <w:hideMark/>
          </w:tcPr>
          <w:p w14:paraId="4CC34701"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7A87CF8B" w14:textId="47ECCE63"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4732141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52,498</w:t>
            </w:r>
          </w:p>
        </w:tc>
        <w:tc>
          <w:tcPr>
            <w:tcW w:w="768" w:type="dxa"/>
            <w:tcBorders>
              <w:top w:val="nil"/>
              <w:left w:val="nil"/>
              <w:bottom w:val="nil"/>
              <w:right w:val="nil"/>
            </w:tcBorders>
            <w:shd w:val="clear" w:color="auto" w:fill="auto"/>
            <w:noWrap/>
            <w:vAlign w:val="center"/>
            <w:hideMark/>
          </w:tcPr>
          <w:p w14:paraId="67387A5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25,134</w:t>
            </w:r>
          </w:p>
        </w:tc>
        <w:tc>
          <w:tcPr>
            <w:tcW w:w="847" w:type="dxa"/>
            <w:tcBorders>
              <w:top w:val="nil"/>
              <w:left w:val="nil"/>
              <w:bottom w:val="nil"/>
              <w:right w:val="nil"/>
            </w:tcBorders>
            <w:shd w:val="clear" w:color="auto" w:fill="auto"/>
            <w:noWrap/>
            <w:vAlign w:val="center"/>
            <w:hideMark/>
          </w:tcPr>
          <w:p w14:paraId="7CBAFF5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83,734</w:t>
            </w:r>
          </w:p>
        </w:tc>
        <w:tc>
          <w:tcPr>
            <w:tcW w:w="847" w:type="dxa"/>
            <w:tcBorders>
              <w:top w:val="nil"/>
              <w:left w:val="nil"/>
              <w:bottom w:val="nil"/>
              <w:right w:val="nil"/>
            </w:tcBorders>
            <w:shd w:val="clear" w:color="auto" w:fill="auto"/>
            <w:noWrap/>
            <w:vAlign w:val="center"/>
            <w:hideMark/>
          </w:tcPr>
          <w:p w14:paraId="2CE3EB8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97,559</w:t>
            </w:r>
          </w:p>
        </w:tc>
        <w:tc>
          <w:tcPr>
            <w:tcW w:w="880" w:type="dxa"/>
            <w:tcBorders>
              <w:top w:val="nil"/>
              <w:left w:val="nil"/>
              <w:bottom w:val="nil"/>
              <w:right w:val="nil"/>
            </w:tcBorders>
            <w:shd w:val="clear" w:color="auto" w:fill="auto"/>
            <w:noWrap/>
            <w:vAlign w:val="center"/>
            <w:hideMark/>
          </w:tcPr>
          <w:p w14:paraId="3ED06CC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65,282</w:t>
            </w:r>
          </w:p>
        </w:tc>
        <w:tc>
          <w:tcPr>
            <w:tcW w:w="768" w:type="dxa"/>
            <w:tcBorders>
              <w:top w:val="nil"/>
              <w:left w:val="nil"/>
              <w:bottom w:val="nil"/>
              <w:right w:val="nil"/>
            </w:tcBorders>
            <w:shd w:val="clear" w:color="auto" w:fill="auto"/>
            <w:noWrap/>
            <w:vAlign w:val="center"/>
            <w:hideMark/>
          </w:tcPr>
          <w:p w14:paraId="5CEA892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77,681</w:t>
            </w:r>
          </w:p>
        </w:tc>
        <w:tc>
          <w:tcPr>
            <w:tcW w:w="847" w:type="dxa"/>
            <w:tcBorders>
              <w:top w:val="nil"/>
              <w:left w:val="nil"/>
              <w:bottom w:val="nil"/>
              <w:right w:val="nil"/>
            </w:tcBorders>
            <w:shd w:val="clear" w:color="auto" w:fill="auto"/>
            <w:noWrap/>
            <w:vAlign w:val="center"/>
            <w:hideMark/>
          </w:tcPr>
          <w:p w14:paraId="2C9C7C1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66,393</w:t>
            </w:r>
          </w:p>
        </w:tc>
        <w:tc>
          <w:tcPr>
            <w:tcW w:w="847" w:type="dxa"/>
            <w:tcBorders>
              <w:top w:val="nil"/>
              <w:left w:val="nil"/>
              <w:bottom w:val="nil"/>
              <w:right w:val="nil"/>
            </w:tcBorders>
            <w:shd w:val="clear" w:color="auto" w:fill="auto"/>
            <w:noWrap/>
            <w:vAlign w:val="center"/>
            <w:hideMark/>
          </w:tcPr>
          <w:p w14:paraId="0A51D09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113,094</w:t>
            </w:r>
          </w:p>
        </w:tc>
        <w:tc>
          <w:tcPr>
            <w:tcW w:w="847" w:type="dxa"/>
            <w:tcBorders>
              <w:top w:val="nil"/>
              <w:left w:val="nil"/>
              <w:bottom w:val="nil"/>
              <w:right w:val="nil"/>
            </w:tcBorders>
            <w:shd w:val="clear" w:color="auto" w:fill="auto"/>
            <w:noWrap/>
            <w:vAlign w:val="center"/>
            <w:hideMark/>
          </w:tcPr>
          <w:p w14:paraId="7FBC980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77,100</w:t>
            </w:r>
          </w:p>
        </w:tc>
        <w:tc>
          <w:tcPr>
            <w:tcW w:w="945" w:type="dxa"/>
            <w:tcBorders>
              <w:top w:val="nil"/>
              <w:left w:val="nil"/>
              <w:bottom w:val="nil"/>
            </w:tcBorders>
            <w:shd w:val="clear" w:color="auto" w:fill="auto"/>
            <w:noWrap/>
            <w:vAlign w:val="center"/>
            <w:hideMark/>
          </w:tcPr>
          <w:p w14:paraId="01206C6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658,474</w:t>
            </w:r>
          </w:p>
        </w:tc>
      </w:tr>
      <w:tr w:rsidR="0015649E" w:rsidRPr="0084045A" w14:paraId="0B0EB171" w14:textId="77777777" w:rsidTr="00C3352F">
        <w:trPr>
          <w:trHeight w:val="212"/>
          <w:jc w:val="center"/>
        </w:trPr>
        <w:tc>
          <w:tcPr>
            <w:tcW w:w="728" w:type="dxa"/>
            <w:vMerge/>
            <w:shd w:val="clear" w:color="auto" w:fill="auto"/>
            <w:noWrap/>
            <w:textDirection w:val="btLr"/>
            <w:vAlign w:val="center"/>
            <w:hideMark/>
          </w:tcPr>
          <w:p w14:paraId="32215F7F"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5595D68" w14:textId="62B695B0"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1061498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18,847</w:t>
            </w:r>
          </w:p>
        </w:tc>
        <w:tc>
          <w:tcPr>
            <w:tcW w:w="768" w:type="dxa"/>
            <w:tcBorders>
              <w:top w:val="nil"/>
              <w:left w:val="nil"/>
              <w:bottom w:val="nil"/>
              <w:right w:val="nil"/>
            </w:tcBorders>
            <w:shd w:val="clear" w:color="auto" w:fill="auto"/>
            <w:noWrap/>
            <w:vAlign w:val="center"/>
            <w:hideMark/>
          </w:tcPr>
          <w:p w14:paraId="7F4FA034" w14:textId="4FC89F6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7519</w:t>
            </w:r>
          </w:p>
        </w:tc>
        <w:tc>
          <w:tcPr>
            <w:tcW w:w="847" w:type="dxa"/>
            <w:tcBorders>
              <w:top w:val="nil"/>
              <w:left w:val="nil"/>
              <w:bottom w:val="nil"/>
              <w:right w:val="nil"/>
            </w:tcBorders>
            <w:shd w:val="clear" w:color="auto" w:fill="auto"/>
            <w:noWrap/>
            <w:vAlign w:val="center"/>
            <w:hideMark/>
          </w:tcPr>
          <w:p w14:paraId="2CC1E00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31,348</w:t>
            </w:r>
          </w:p>
        </w:tc>
        <w:tc>
          <w:tcPr>
            <w:tcW w:w="847" w:type="dxa"/>
            <w:tcBorders>
              <w:top w:val="nil"/>
              <w:left w:val="nil"/>
              <w:bottom w:val="nil"/>
              <w:right w:val="nil"/>
            </w:tcBorders>
            <w:shd w:val="clear" w:color="auto" w:fill="auto"/>
            <w:noWrap/>
            <w:vAlign w:val="center"/>
            <w:hideMark/>
          </w:tcPr>
          <w:p w14:paraId="24BB5C9C"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34,492</w:t>
            </w:r>
          </w:p>
        </w:tc>
        <w:tc>
          <w:tcPr>
            <w:tcW w:w="880" w:type="dxa"/>
            <w:tcBorders>
              <w:top w:val="nil"/>
              <w:left w:val="nil"/>
              <w:bottom w:val="nil"/>
              <w:right w:val="nil"/>
            </w:tcBorders>
            <w:shd w:val="clear" w:color="auto" w:fill="auto"/>
            <w:noWrap/>
            <w:vAlign w:val="center"/>
            <w:hideMark/>
          </w:tcPr>
          <w:p w14:paraId="42DC82C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30,112</w:t>
            </w:r>
          </w:p>
        </w:tc>
        <w:tc>
          <w:tcPr>
            <w:tcW w:w="768" w:type="dxa"/>
            <w:tcBorders>
              <w:top w:val="nil"/>
              <w:left w:val="nil"/>
              <w:bottom w:val="nil"/>
              <w:right w:val="nil"/>
            </w:tcBorders>
            <w:shd w:val="clear" w:color="auto" w:fill="auto"/>
            <w:noWrap/>
            <w:vAlign w:val="center"/>
            <w:hideMark/>
          </w:tcPr>
          <w:p w14:paraId="20919EF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29,833</w:t>
            </w:r>
          </w:p>
        </w:tc>
        <w:tc>
          <w:tcPr>
            <w:tcW w:w="847" w:type="dxa"/>
            <w:tcBorders>
              <w:top w:val="nil"/>
              <w:left w:val="nil"/>
              <w:bottom w:val="nil"/>
              <w:right w:val="nil"/>
            </w:tcBorders>
            <w:shd w:val="clear" w:color="auto" w:fill="auto"/>
            <w:noWrap/>
            <w:vAlign w:val="center"/>
            <w:hideMark/>
          </w:tcPr>
          <w:p w14:paraId="0D8BB2E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37,574</w:t>
            </w:r>
          </w:p>
        </w:tc>
        <w:tc>
          <w:tcPr>
            <w:tcW w:w="847" w:type="dxa"/>
            <w:tcBorders>
              <w:top w:val="nil"/>
              <w:left w:val="nil"/>
              <w:bottom w:val="nil"/>
              <w:right w:val="nil"/>
            </w:tcBorders>
            <w:shd w:val="clear" w:color="auto" w:fill="auto"/>
            <w:noWrap/>
            <w:vAlign w:val="center"/>
            <w:hideMark/>
          </w:tcPr>
          <w:p w14:paraId="435A637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69,858</w:t>
            </w:r>
          </w:p>
        </w:tc>
        <w:tc>
          <w:tcPr>
            <w:tcW w:w="847" w:type="dxa"/>
            <w:tcBorders>
              <w:top w:val="nil"/>
              <w:left w:val="nil"/>
              <w:bottom w:val="nil"/>
              <w:right w:val="nil"/>
            </w:tcBorders>
            <w:shd w:val="clear" w:color="auto" w:fill="auto"/>
            <w:noWrap/>
            <w:vAlign w:val="center"/>
            <w:hideMark/>
          </w:tcPr>
          <w:p w14:paraId="7DA5A9A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36,309</w:t>
            </w:r>
          </w:p>
        </w:tc>
        <w:tc>
          <w:tcPr>
            <w:tcW w:w="945" w:type="dxa"/>
            <w:tcBorders>
              <w:top w:val="nil"/>
              <w:left w:val="nil"/>
              <w:bottom w:val="nil"/>
            </w:tcBorders>
            <w:shd w:val="clear" w:color="auto" w:fill="auto"/>
            <w:noWrap/>
            <w:vAlign w:val="center"/>
            <w:hideMark/>
          </w:tcPr>
          <w:p w14:paraId="5769A5E9"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295,893</w:t>
            </w:r>
          </w:p>
        </w:tc>
      </w:tr>
      <w:tr w:rsidR="0015649E" w:rsidRPr="0084045A" w14:paraId="6DC00496" w14:textId="77777777" w:rsidTr="00C3352F">
        <w:trPr>
          <w:trHeight w:val="212"/>
          <w:jc w:val="center"/>
        </w:trPr>
        <w:tc>
          <w:tcPr>
            <w:tcW w:w="728" w:type="dxa"/>
            <w:vMerge/>
            <w:shd w:val="clear" w:color="auto" w:fill="auto"/>
            <w:noWrap/>
            <w:textDirection w:val="btLr"/>
            <w:vAlign w:val="center"/>
            <w:hideMark/>
          </w:tcPr>
          <w:p w14:paraId="4DB9EEB4"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p>
        </w:tc>
        <w:tc>
          <w:tcPr>
            <w:tcW w:w="753" w:type="dxa"/>
            <w:tcBorders>
              <w:top w:val="nil"/>
              <w:bottom w:val="single" w:sz="4" w:space="0" w:color="auto"/>
              <w:right w:val="nil"/>
            </w:tcBorders>
            <w:vAlign w:val="center"/>
          </w:tcPr>
          <w:p w14:paraId="71074122" w14:textId="11996618"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bottom w:val="single" w:sz="4" w:space="0" w:color="auto"/>
              <w:right w:val="nil"/>
            </w:tcBorders>
            <w:shd w:val="clear" w:color="auto" w:fill="auto"/>
            <w:noWrap/>
            <w:vAlign w:val="center"/>
            <w:hideMark/>
          </w:tcPr>
          <w:p w14:paraId="3E5ABC13" w14:textId="5E97ABBF"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6184</w:t>
            </w:r>
          </w:p>
        </w:tc>
        <w:tc>
          <w:tcPr>
            <w:tcW w:w="768" w:type="dxa"/>
            <w:tcBorders>
              <w:top w:val="nil"/>
              <w:left w:val="nil"/>
              <w:bottom w:val="single" w:sz="4" w:space="0" w:color="auto"/>
              <w:right w:val="nil"/>
            </w:tcBorders>
            <w:shd w:val="clear" w:color="auto" w:fill="auto"/>
            <w:noWrap/>
            <w:vAlign w:val="center"/>
            <w:hideMark/>
          </w:tcPr>
          <w:p w14:paraId="39EDEF28" w14:textId="7BA4B838"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3281</w:t>
            </w:r>
          </w:p>
        </w:tc>
        <w:tc>
          <w:tcPr>
            <w:tcW w:w="847" w:type="dxa"/>
            <w:tcBorders>
              <w:top w:val="nil"/>
              <w:left w:val="nil"/>
              <w:bottom w:val="single" w:sz="4" w:space="0" w:color="auto"/>
              <w:right w:val="nil"/>
            </w:tcBorders>
            <w:shd w:val="clear" w:color="auto" w:fill="auto"/>
            <w:noWrap/>
            <w:vAlign w:val="center"/>
            <w:hideMark/>
          </w:tcPr>
          <w:p w14:paraId="77FCAB9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14,038</w:t>
            </w:r>
          </w:p>
        </w:tc>
        <w:tc>
          <w:tcPr>
            <w:tcW w:w="847" w:type="dxa"/>
            <w:tcBorders>
              <w:top w:val="nil"/>
              <w:left w:val="nil"/>
              <w:bottom w:val="single" w:sz="4" w:space="0" w:color="auto"/>
              <w:right w:val="nil"/>
            </w:tcBorders>
            <w:shd w:val="clear" w:color="auto" w:fill="auto"/>
            <w:noWrap/>
            <w:vAlign w:val="center"/>
            <w:hideMark/>
          </w:tcPr>
          <w:p w14:paraId="334FCCCC" w14:textId="793C2384"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5678</w:t>
            </w:r>
          </w:p>
        </w:tc>
        <w:tc>
          <w:tcPr>
            <w:tcW w:w="880" w:type="dxa"/>
            <w:tcBorders>
              <w:top w:val="nil"/>
              <w:left w:val="nil"/>
              <w:bottom w:val="single" w:sz="4" w:space="0" w:color="auto"/>
              <w:right w:val="nil"/>
            </w:tcBorders>
            <w:shd w:val="clear" w:color="auto" w:fill="auto"/>
            <w:noWrap/>
            <w:vAlign w:val="center"/>
            <w:hideMark/>
          </w:tcPr>
          <w:p w14:paraId="17707B3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15,465</w:t>
            </w:r>
          </w:p>
        </w:tc>
        <w:tc>
          <w:tcPr>
            <w:tcW w:w="768" w:type="dxa"/>
            <w:tcBorders>
              <w:top w:val="nil"/>
              <w:left w:val="nil"/>
              <w:bottom w:val="single" w:sz="4" w:space="0" w:color="auto"/>
              <w:right w:val="nil"/>
            </w:tcBorders>
            <w:shd w:val="clear" w:color="auto" w:fill="auto"/>
            <w:noWrap/>
            <w:vAlign w:val="center"/>
            <w:hideMark/>
          </w:tcPr>
          <w:p w14:paraId="51339CEF" w14:textId="132B83CE"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5428</w:t>
            </w:r>
          </w:p>
        </w:tc>
        <w:tc>
          <w:tcPr>
            <w:tcW w:w="847" w:type="dxa"/>
            <w:tcBorders>
              <w:top w:val="nil"/>
              <w:left w:val="nil"/>
              <w:bottom w:val="single" w:sz="4" w:space="0" w:color="auto"/>
              <w:right w:val="nil"/>
            </w:tcBorders>
            <w:shd w:val="clear" w:color="auto" w:fill="auto"/>
            <w:noWrap/>
            <w:vAlign w:val="center"/>
            <w:hideMark/>
          </w:tcPr>
          <w:p w14:paraId="4418604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14,588</w:t>
            </w:r>
          </w:p>
        </w:tc>
        <w:tc>
          <w:tcPr>
            <w:tcW w:w="847" w:type="dxa"/>
            <w:tcBorders>
              <w:top w:val="nil"/>
              <w:left w:val="nil"/>
              <w:bottom w:val="single" w:sz="4" w:space="0" w:color="auto"/>
              <w:right w:val="nil"/>
            </w:tcBorders>
            <w:shd w:val="clear" w:color="auto" w:fill="auto"/>
            <w:noWrap/>
            <w:vAlign w:val="center"/>
            <w:hideMark/>
          </w:tcPr>
          <w:p w14:paraId="763178D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24,017</w:t>
            </w:r>
          </w:p>
        </w:tc>
        <w:tc>
          <w:tcPr>
            <w:tcW w:w="847" w:type="dxa"/>
            <w:tcBorders>
              <w:top w:val="nil"/>
              <w:left w:val="nil"/>
              <w:bottom w:val="single" w:sz="4" w:space="0" w:color="auto"/>
              <w:right w:val="nil"/>
            </w:tcBorders>
            <w:shd w:val="clear" w:color="auto" w:fill="auto"/>
            <w:noWrap/>
            <w:vAlign w:val="center"/>
            <w:hideMark/>
          </w:tcPr>
          <w:p w14:paraId="62F70C5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12,381</w:t>
            </w:r>
          </w:p>
        </w:tc>
        <w:tc>
          <w:tcPr>
            <w:tcW w:w="945" w:type="dxa"/>
            <w:tcBorders>
              <w:top w:val="nil"/>
              <w:left w:val="nil"/>
              <w:bottom w:val="single" w:sz="4" w:space="0" w:color="auto"/>
            </w:tcBorders>
            <w:shd w:val="clear" w:color="auto" w:fill="auto"/>
            <w:noWrap/>
            <w:vAlign w:val="center"/>
            <w:hideMark/>
          </w:tcPr>
          <w:p w14:paraId="3AA1D6F3"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101,060</w:t>
            </w:r>
          </w:p>
        </w:tc>
      </w:tr>
      <w:tr w:rsidR="0015649E" w:rsidRPr="0084045A" w14:paraId="0A44AA80" w14:textId="77777777" w:rsidTr="00C3352F">
        <w:trPr>
          <w:trHeight w:val="212"/>
          <w:jc w:val="center"/>
        </w:trPr>
        <w:tc>
          <w:tcPr>
            <w:tcW w:w="728" w:type="dxa"/>
            <w:vMerge w:val="restart"/>
            <w:shd w:val="clear" w:color="auto" w:fill="auto"/>
            <w:noWrap/>
            <w:textDirection w:val="btLr"/>
            <w:vAlign w:val="center"/>
            <w:hideMark/>
          </w:tcPr>
          <w:p w14:paraId="7A7CE64D" w14:textId="77777777" w:rsidR="0015649E" w:rsidRPr="0084045A" w:rsidRDefault="0015649E" w:rsidP="0015649E">
            <w:pPr>
              <w:spacing w:after="0" w:line="240" w:lineRule="auto"/>
              <w:ind w:left="113" w:right="113"/>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Zacatecas</w:t>
            </w:r>
          </w:p>
        </w:tc>
        <w:tc>
          <w:tcPr>
            <w:tcW w:w="753" w:type="dxa"/>
            <w:tcBorders>
              <w:bottom w:val="nil"/>
              <w:right w:val="nil"/>
            </w:tcBorders>
            <w:vAlign w:val="center"/>
          </w:tcPr>
          <w:p w14:paraId="249C02E6" w14:textId="44EE6270"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w:t>
            </w:r>
          </w:p>
        </w:tc>
        <w:tc>
          <w:tcPr>
            <w:tcW w:w="768" w:type="dxa"/>
            <w:tcBorders>
              <w:left w:val="nil"/>
              <w:bottom w:val="nil"/>
              <w:right w:val="nil"/>
            </w:tcBorders>
            <w:shd w:val="clear" w:color="auto" w:fill="auto"/>
            <w:noWrap/>
            <w:vAlign w:val="center"/>
            <w:hideMark/>
          </w:tcPr>
          <w:p w14:paraId="1027ECD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22,043</w:t>
            </w:r>
          </w:p>
        </w:tc>
        <w:tc>
          <w:tcPr>
            <w:tcW w:w="768" w:type="dxa"/>
            <w:tcBorders>
              <w:left w:val="nil"/>
              <w:bottom w:val="nil"/>
              <w:right w:val="nil"/>
            </w:tcBorders>
            <w:shd w:val="clear" w:color="auto" w:fill="auto"/>
            <w:noWrap/>
            <w:vAlign w:val="center"/>
            <w:hideMark/>
          </w:tcPr>
          <w:p w14:paraId="66B52820" w14:textId="076C2B43"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7563</w:t>
            </w:r>
          </w:p>
        </w:tc>
        <w:tc>
          <w:tcPr>
            <w:tcW w:w="847" w:type="dxa"/>
            <w:tcBorders>
              <w:left w:val="nil"/>
              <w:bottom w:val="nil"/>
              <w:right w:val="nil"/>
            </w:tcBorders>
            <w:shd w:val="clear" w:color="auto" w:fill="auto"/>
            <w:noWrap/>
            <w:vAlign w:val="center"/>
            <w:hideMark/>
          </w:tcPr>
          <w:p w14:paraId="4ED14CC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28,774</w:t>
            </w:r>
          </w:p>
        </w:tc>
        <w:tc>
          <w:tcPr>
            <w:tcW w:w="847" w:type="dxa"/>
            <w:tcBorders>
              <w:left w:val="nil"/>
              <w:bottom w:val="nil"/>
              <w:right w:val="nil"/>
            </w:tcBorders>
            <w:shd w:val="clear" w:color="auto" w:fill="auto"/>
            <w:noWrap/>
            <w:vAlign w:val="center"/>
            <w:hideMark/>
          </w:tcPr>
          <w:p w14:paraId="4E7B89D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20,590</w:t>
            </w:r>
          </w:p>
        </w:tc>
        <w:tc>
          <w:tcPr>
            <w:tcW w:w="880" w:type="dxa"/>
            <w:tcBorders>
              <w:left w:val="nil"/>
              <w:bottom w:val="nil"/>
              <w:right w:val="nil"/>
            </w:tcBorders>
            <w:shd w:val="clear" w:color="auto" w:fill="auto"/>
            <w:noWrap/>
            <w:vAlign w:val="center"/>
            <w:hideMark/>
          </w:tcPr>
          <w:p w14:paraId="7464009A"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26,208</w:t>
            </w:r>
          </w:p>
        </w:tc>
        <w:tc>
          <w:tcPr>
            <w:tcW w:w="768" w:type="dxa"/>
            <w:tcBorders>
              <w:left w:val="nil"/>
              <w:bottom w:val="nil"/>
              <w:right w:val="nil"/>
            </w:tcBorders>
            <w:shd w:val="clear" w:color="auto" w:fill="auto"/>
            <w:noWrap/>
            <w:vAlign w:val="center"/>
            <w:hideMark/>
          </w:tcPr>
          <w:p w14:paraId="3B780BA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18,718</w:t>
            </w:r>
          </w:p>
        </w:tc>
        <w:tc>
          <w:tcPr>
            <w:tcW w:w="847" w:type="dxa"/>
            <w:tcBorders>
              <w:left w:val="nil"/>
              <w:bottom w:val="nil"/>
              <w:right w:val="nil"/>
            </w:tcBorders>
            <w:shd w:val="clear" w:color="auto" w:fill="auto"/>
            <w:noWrap/>
            <w:vAlign w:val="center"/>
            <w:hideMark/>
          </w:tcPr>
          <w:p w14:paraId="0764F63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18,562</w:t>
            </w:r>
          </w:p>
        </w:tc>
        <w:tc>
          <w:tcPr>
            <w:tcW w:w="847" w:type="dxa"/>
            <w:tcBorders>
              <w:left w:val="nil"/>
              <w:bottom w:val="nil"/>
              <w:right w:val="nil"/>
            </w:tcBorders>
            <w:shd w:val="clear" w:color="auto" w:fill="auto"/>
            <w:noWrap/>
            <w:vAlign w:val="center"/>
            <w:hideMark/>
          </w:tcPr>
          <w:p w14:paraId="47476EC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32,044</w:t>
            </w:r>
          </w:p>
        </w:tc>
        <w:tc>
          <w:tcPr>
            <w:tcW w:w="847" w:type="dxa"/>
            <w:tcBorders>
              <w:left w:val="nil"/>
              <w:bottom w:val="nil"/>
              <w:right w:val="nil"/>
            </w:tcBorders>
            <w:shd w:val="clear" w:color="auto" w:fill="auto"/>
            <w:noWrap/>
            <w:vAlign w:val="center"/>
            <w:hideMark/>
          </w:tcPr>
          <w:p w14:paraId="1A72BD3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21,449</w:t>
            </w:r>
          </w:p>
        </w:tc>
        <w:tc>
          <w:tcPr>
            <w:tcW w:w="945" w:type="dxa"/>
            <w:tcBorders>
              <w:left w:val="nil"/>
              <w:bottom w:val="nil"/>
            </w:tcBorders>
            <w:shd w:val="clear" w:color="auto" w:fill="auto"/>
            <w:noWrap/>
            <w:vAlign w:val="center"/>
            <w:hideMark/>
          </w:tcPr>
          <w:p w14:paraId="3ED19B6E"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195,951</w:t>
            </w:r>
          </w:p>
        </w:tc>
      </w:tr>
      <w:tr w:rsidR="0015649E" w:rsidRPr="0084045A" w14:paraId="279EE184" w14:textId="77777777" w:rsidTr="00C3352F">
        <w:trPr>
          <w:trHeight w:val="212"/>
          <w:jc w:val="center"/>
        </w:trPr>
        <w:tc>
          <w:tcPr>
            <w:tcW w:w="728" w:type="dxa"/>
            <w:vMerge/>
            <w:shd w:val="clear" w:color="auto" w:fill="auto"/>
            <w:noWrap/>
            <w:vAlign w:val="center"/>
            <w:hideMark/>
          </w:tcPr>
          <w:p w14:paraId="074D9452" w14:textId="77777777" w:rsidR="0015649E" w:rsidRPr="0084045A" w:rsidRDefault="0015649E" w:rsidP="0015649E">
            <w:pPr>
              <w:spacing w:after="0" w:line="240" w:lineRule="auto"/>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463FBA85" w14:textId="0843339D"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17</w:t>
            </w:r>
          </w:p>
        </w:tc>
        <w:tc>
          <w:tcPr>
            <w:tcW w:w="768" w:type="dxa"/>
            <w:tcBorders>
              <w:top w:val="nil"/>
              <w:left w:val="nil"/>
              <w:bottom w:val="nil"/>
              <w:right w:val="nil"/>
            </w:tcBorders>
            <w:shd w:val="clear" w:color="auto" w:fill="auto"/>
            <w:noWrap/>
            <w:vAlign w:val="center"/>
            <w:hideMark/>
          </w:tcPr>
          <w:p w14:paraId="15E36B0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32,950</w:t>
            </w:r>
          </w:p>
        </w:tc>
        <w:tc>
          <w:tcPr>
            <w:tcW w:w="768" w:type="dxa"/>
            <w:tcBorders>
              <w:top w:val="nil"/>
              <w:left w:val="nil"/>
              <w:bottom w:val="nil"/>
              <w:right w:val="nil"/>
            </w:tcBorders>
            <w:shd w:val="clear" w:color="auto" w:fill="auto"/>
            <w:noWrap/>
            <w:vAlign w:val="center"/>
            <w:hideMark/>
          </w:tcPr>
          <w:p w14:paraId="508D451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14,910</w:t>
            </w:r>
          </w:p>
        </w:tc>
        <w:tc>
          <w:tcPr>
            <w:tcW w:w="847" w:type="dxa"/>
            <w:tcBorders>
              <w:top w:val="nil"/>
              <w:left w:val="nil"/>
              <w:bottom w:val="nil"/>
              <w:right w:val="nil"/>
            </w:tcBorders>
            <w:shd w:val="clear" w:color="auto" w:fill="auto"/>
            <w:noWrap/>
            <w:vAlign w:val="center"/>
            <w:hideMark/>
          </w:tcPr>
          <w:p w14:paraId="56A0EFA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49,928</w:t>
            </w:r>
          </w:p>
        </w:tc>
        <w:tc>
          <w:tcPr>
            <w:tcW w:w="847" w:type="dxa"/>
            <w:tcBorders>
              <w:top w:val="nil"/>
              <w:left w:val="nil"/>
              <w:bottom w:val="nil"/>
              <w:right w:val="nil"/>
            </w:tcBorders>
            <w:shd w:val="clear" w:color="auto" w:fill="auto"/>
            <w:noWrap/>
            <w:vAlign w:val="center"/>
            <w:hideMark/>
          </w:tcPr>
          <w:p w14:paraId="7717BC0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29,843</w:t>
            </w:r>
          </w:p>
        </w:tc>
        <w:tc>
          <w:tcPr>
            <w:tcW w:w="880" w:type="dxa"/>
            <w:tcBorders>
              <w:top w:val="nil"/>
              <w:left w:val="nil"/>
              <w:bottom w:val="nil"/>
              <w:right w:val="nil"/>
            </w:tcBorders>
            <w:shd w:val="clear" w:color="auto" w:fill="auto"/>
            <w:noWrap/>
            <w:vAlign w:val="center"/>
            <w:hideMark/>
          </w:tcPr>
          <w:p w14:paraId="64944B6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47,899</w:t>
            </w:r>
          </w:p>
        </w:tc>
        <w:tc>
          <w:tcPr>
            <w:tcW w:w="768" w:type="dxa"/>
            <w:tcBorders>
              <w:top w:val="nil"/>
              <w:left w:val="nil"/>
              <w:bottom w:val="nil"/>
              <w:right w:val="nil"/>
            </w:tcBorders>
            <w:shd w:val="clear" w:color="auto" w:fill="auto"/>
            <w:noWrap/>
            <w:vAlign w:val="center"/>
            <w:hideMark/>
          </w:tcPr>
          <w:p w14:paraId="281C99F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32,617</w:t>
            </w:r>
          </w:p>
        </w:tc>
        <w:tc>
          <w:tcPr>
            <w:tcW w:w="847" w:type="dxa"/>
            <w:tcBorders>
              <w:top w:val="nil"/>
              <w:left w:val="nil"/>
              <w:bottom w:val="nil"/>
              <w:right w:val="nil"/>
            </w:tcBorders>
            <w:shd w:val="clear" w:color="auto" w:fill="auto"/>
            <w:noWrap/>
            <w:vAlign w:val="center"/>
            <w:hideMark/>
          </w:tcPr>
          <w:p w14:paraId="6C4C38E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44,753</w:t>
            </w:r>
          </w:p>
        </w:tc>
        <w:tc>
          <w:tcPr>
            <w:tcW w:w="847" w:type="dxa"/>
            <w:tcBorders>
              <w:top w:val="nil"/>
              <w:left w:val="nil"/>
              <w:bottom w:val="nil"/>
              <w:right w:val="nil"/>
            </w:tcBorders>
            <w:shd w:val="clear" w:color="auto" w:fill="auto"/>
            <w:noWrap/>
            <w:vAlign w:val="center"/>
            <w:hideMark/>
          </w:tcPr>
          <w:p w14:paraId="432FE66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56,604</w:t>
            </w:r>
          </w:p>
        </w:tc>
        <w:tc>
          <w:tcPr>
            <w:tcW w:w="847" w:type="dxa"/>
            <w:tcBorders>
              <w:top w:val="nil"/>
              <w:left w:val="nil"/>
              <w:bottom w:val="nil"/>
              <w:right w:val="nil"/>
            </w:tcBorders>
            <w:shd w:val="clear" w:color="auto" w:fill="auto"/>
            <w:noWrap/>
            <w:vAlign w:val="center"/>
            <w:hideMark/>
          </w:tcPr>
          <w:p w14:paraId="1FA6302B"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38,953</w:t>
            </w:r>
          </w:p>
        </w:tc>
        <w:tc>
          <w:tcPr>
            <w:tcW w:w="945" w:type="dxa"/>
            <w:tcBorders>
              <w:top w:val="nil"/>
              <w:left w:val="nil"/>
              <w:bottom w:val="nil"/>
            </w:tcBorders>
            <w:shd w:val="clear" w:color="auto" w:fill="auto"/>
            <w:noWrap/>
            <w:vAlign w:val="center"/>
            <w:hideMark/>
          </w:tcPr>
          <w:p w14:paraId="4592B10C"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348,456</w:t>
            </w:r>
          </w:p>
        </w:tc>
      </w:tr>
      <w:tr w:rsidR="0015649E" w:rsidRPr="0084045A" w14:paraId="3BFB85D9" w14:textId="77777777" w:rsidTr="00C3352F">
        <w:trPr>
          <w:trHeight w:val="212"/>
          <w:jc w:val="center"/>
        </w:trPr>
        <w:tc>
          <w:tcPr>
            <w:tcW w:w="728" w:type="dxa"/>
            <w:vMerge/>
            <w:shd w:val="clear" w:color="auto" w:fill="auto"/>
            <w:noWrap/>
            <w:vAlign w:val="center"/>
            <w:hideMark/>
          </w:tcPr>
          <w:p w14:paraId="153E5BB9" w14:textId="77777777" w:rsidR="0015649E" w:rsidRPr="0084045A" w:rsidRDefault="0015649E" w:rsidP="0015649E">
            <w:pPr>
              <w:spacing w:after="0" w:line="240" w:lineRule="auto"/>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145188B9" w14:textId="151FC81C"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18</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49</w:t>
            </w:r>
          </w:p>
        </w:tc>
        <w:tc>
          <w:tcPr>
            <w:tcW w:w="768" w:type="dxa"/>
            <w:tcBorders>
              <w:top w:val="nil"/>
              <w:left w:val="nil"/>
              <w:bottom w:val="nil"/>
              <w:right w:val="nil"/>
            </w:tcBorders>
            <w:shd w:val="clear" w:color="auto" w:fill="auto"/>
            <w:noWrap/>
            <w:vAlign w:val="center"/>
            <w:hideMark/>
          </w:tcPr>
          <w:p w14:paraId="16F6E3BF"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37,644</w:t>
            </w:r>
          </w:p>
        </w:tc>
        <w:tc>
          <w:tcPr>
            <w:tcW w:w="768" w:type="dxa"/>
            <w:tcBorders>
              <w:top w:val="nil"/>
              <w:left w:val="nil"/>
              <w:bottom w:val="nil"/>
              <w:right w:val="nil"/>
            </w:tcBorders>
            <w:shd w:val="clear" w:color="auto" w:fill="auto"/>
            <w:noWrap/>
            <w:vAlign w:val="center"/>
            <w:hideMark/>
          </w:tcPr>
          <w:p w14:paraId="188BD54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17,936</w:t>
            </w:r>
          </w:p>
        </w:tc>
        <w:tc>
          <w:tcPr>
            <w:tcW w:w="847" w:type="dxa"/>
            <w:tcBorders>
              <w:top w:val="nil"/>
              <w:left w:val="nil"/>
              <w:bottom w:val="nil"/>
              <w:right w:val="nil"/>
            </w:tcBorders>
            <w:shd w:val="clear" w:color="auto" w:fill="auto"/>
            <w:noWrap/>
            <w:vAlign w:val="center"/>
            <w:hideMark/>
          </w:tcPr>
          <w:p w14:paraId="4780E14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59,467</w:t>
            </w:r>
          </w:p>
        </w:tc>
        <w:tc>
          <w:tcPr>
            <w:tcW w:w="847" w:type="dxa"/>
            <w:tcBorders>
              <w:top w:val="nil"/>
              <w:left w:val="nil"/>
              <w:bottom w:val="nil"/>
              <w:right w:val="nil"/>
            </w:tcBorders>
            <w:shd w:val="clear" w:color="auto" w:fill="auto"/>
            <w:noWrap/>
            <w:vAlign w:val="center"/>
            <w:hideMark/>
          </w:tcPr>
          <w:p w14:paraId="365013C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68,953</w:t>
            </w:r>
          </w:p>
        </w:tc>
        <w:tc>
          <w:tcPr>
            <w:tcW w:w="880" w:type="dxa"/>
            <w:tcBorders>
              <w:top w:val="nil"/>
              <w:left w:val="nil"/>
              <w:bottom w:val="nil"/>
              <w:right w:val="nil"/>
            </w:tcBorders>
            <w:shd w:val="clear" w:color="auto" w:fill="auto"/>
            <w:noWrap/>
            <w:vAlign w:val="center"/>
            <w:hideMark/>
          </w:tcPr>
          <w:p w14:paraId="391373BD"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45,919</w:t>
            </w:r>
          </w:p>
        </w:tc>
        <w:tc>
          <w:tcPr>
            <w:tcW w:w="768" w:type="dxa"/>
            <w:tcBorders>
              <w:top w:val="nil"/>
              <w:left w:val="nil"/>
              <w:bottom w:val="nil"/>
              <w:right w:val="nil"/>
            </w:tcBorders>
            <w:shd w:val="clear" w:color="auto" w:fill="auto"/>
            <w:noWrap/>
            <w:vAlign w:val="center"/>
            <w:hideMark/>
          </w:tcPr>
          <w:p w14:paraId="3A4BE736"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54,377</w:t>
            </w:r>
          </w:p>
        </w:tc>
        <w:tc>
          <w:tcPr>
            <w:tcW w:w="847" w:type="dxa"/>
            <w:tcBorders>
              <w:top w:val="nil"/>
              <w:left w:val="nil"/>
              <w:bottom w:val="nil"/>
              <w:right w:val="nil"/>
            </w:tcBorders>
            <w:shd w:val="clear" w:color="auto" w:fill="auto"/>
            <w:noWrap/>
            <w:vAlign w:val="center"/>
            <w:hideMark/>
          </w:tcPr>
          <w:p w14:paraId="0CF1DC6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46,165</w:t>
            </w:r>
          </w:p>
        </w:tc>
        <w:tc>
          <w:tcPr>
            <w:tcW w:w="847" w:type="dxa"/>
            <w:tcBorders>
              <w:top w:val="nil"/>
              <w:left w:val="nil"/>
              <w:bottom w:val="nil"/>
              <w:right w:val="nil"/>
            </w:tcBorders>
            <w:shd w:val="clear" w:color="auto" w:fill="auto"/>
            <w:noWrap/>
            <w:vAlign w:val="center"/>
            <w:hideMark/>
          </w:tcPr>
          <w:p w14:paraId="35A0664E"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78,126</w:t>
            </w:r>
          </w:p>
        </w:tc>
        <w:tc>
          <w:tcPr>
            <w:tcW w:w="847" w:type="dxa"/>
            <w:tcBorders>
              <w:top w:val="nil"/>
              <w:left w:val="nil"/>
              <w:bottom w:val="nil"/>
              <w:right w:val="nil"/>
            </w:tcBorders>
            <w:shd w:val="clear" w:color="auto" w:fill="auto"/>
            <w:noWrap/>
            <w:vAlign w:val="center"/>
            <w:hideMark/>
          </w:tcPr>
          <w:p w14:paraId="65819BD8"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52,934</w:t>
            </w:r>
          </w:p>
        </w:tc>
        <w:tc>
          <w:tcPr>
            <w:tcW w:w="945" w:type="dxa"/>
            <w:tcBorders>
              <w:top w:val="nil"/>
              <w:left w:val="nil"/>
              <w:bottom w:val="nil"/>
            </w:tcBorders>
            <w:shd w:val="clear" w:color="auto" w:fill="auto"/>
            <w:noWrap/>
            <w:vAlign w:val="center"/>
            <w:hideMark/>
          </w:tcPr>
          <w:p w14:paraId="3844A1A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461,522</w:t>
            </w:r>
          </w:p>
        </w:tc>
      </w:tr>
      <w:tr w:rsidR="0015649E" w:rsidRPr="0084045A" w14:paraId="5397981B" w14:textId="77777777" w:rsidTr="00C3352F">
        <w:trPr>
          <w:trHeight w:val="212"/>
          <w:jc w:val="center"/>
        </w:trPr>
        <w:tc>
          <w:tcPr>
            <w:tcW w:w="728" w:type="dxa"/>
            <w:vMerge/>
            <w:shd w:val="clear" w:color="auto" w:fill="auto"/>
            <w:noWrap/>
            <w:vAlign w:val="center"/>
            <w:hideMark/>
          </w:tcPr>
          <w:p w14:paraId="3B4AB66A" w14:textId="77777777" w:rsidR="0015649E" w:rsidRPr="0084045A" w:rsidRDefault="0015649E" w:rsidP="0015649E">
            <w:pPr>
              <w:spacing w:after="0" w:line="240" w:lineRule="auto"/>
              <w:jc w:val="center"/>
              <w:rPr>
                <w:rFonts w:ascii="Arial" w:eastAsia="Times New Roman" w:hAnsi="Arial" w:cs="Arial"/>
                <w:b/>
                <w:bCs/>
                <w:noProof/>
                <w:color w:val="000000"/>
                <w:sz w:val="14"/>
                <w:szCs w:val="14"/>
                <w:lang w:val="en-GB" w:eastAsia="es-MX"/>
              </w:rPr>
            </w:pPr>
          </w:p>
        </w:tc>
        <w:tc>
          <w:tcPr>
            <w:tcW w:w="753" w:type="dxa"/>
            <w:tcBorders>
              <w:top w:val="nil"/>
              <w:bottom w:val="nil"/>
              <w:right w:val="nil"/>
            </w:tcBorders>
            <w:vAlign w:val="center"/>
          </w:tcPr>
          <w:p w14:paraId="3C44DF84" w14:textId="7F4C84E1" w:rsidR="0015649E" w:rsidRPr="0084045A" w:rsidRDefault="0015649E"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50</w:t>
            </w:r>
            <w:r w:rsidR="001B1B04" w:rsidRPr="0084045A">
              <w:rPr>
                <w:rFonts w:ascii="Arial" w:eastAsia="Times New Roman" w:hAnsi="Arial" w:cs="Arial"/>
                <w:noProof/>
                <w:color w:val="000000"/>
                <w:sz w:val="14"/>
                <w:szCs w:val="14"/>
                <w:lang w:val="en-GB" w:eastAsia="es-MX"/>
              </w:rPr>
              <w:t>–</w:t>
            </w:r>
            <w:r w:rsidRPr="0084045A">
              <w:rPr>
                <w:rFonts w:ascii="Arial" w:eastAsia="Times New Roman" w:hAnsi="Arial" w:cs="Arial"/>
                <w:noProof/>
                <w:color w:val="000000"/>
                <w:sz w:val="14"/>
                <w:szCs w:val="14"/>
                <w:lang w:val="en-GB" w:eastAsia="es-MX"/>
              </w:rPr>
              <w:t>64</w:t>
            </w:r>
          </w:p>
        </w:tc>
        <w:tc>
          <w:tcPr>
            <w:tcW w:w="768" w:type="dxa"/>
            <w:tcBorders>
              <w:top w:val="nil"/>
              <w:left w:val="nil"/>
              <w:bottom w:val="nil"/>
              <w:right w:val="nil"/>
            </w:tcBorders>
            <w:shd w:val="clear" w:color="auto" w:fill="auto"/>
            <w:noWrap/>
            <w:vAlign w:val="center"/>
            <w:hideMark/>
          </w:tcPr>
          <w:p w14:paraId="393FB115"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13,146</w:t>
            </w:r>
          </w:p>
        </w:tc>
        <w:tc>
          <w:tcPr>
            <w:tcW w:w="768" w:type="dxa"/>
            <w:tcBorders>
              <w:top w:val="nil"/>
              <w:left w:val="nil"/>
              <w:bottom w:val="nil"/>
              <w:right w:val="nil"/>
            </w:tcBorders>
            <w:shd w:val="clear" w:color="auto" w:fill="auto"/>
            <w:noWrap/>
            <w:vAlign w:val="center"/>
            <w:hideMark/>
          </w:tcPr>
          <w:p w14:paraId="5B793C35" w14:textId="5BC4705F"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5262</w:t>
            </w:r>
          </w:p>
        </w:tc>
        <w:tc>
          <w:tcPr>
            <w:tcW w:w="847" w:type="dxa"/>
            <w:tcBorders>
              <w:top w:val="nil"/>
              <w:left w:val="nil"/>
              <w:bottom w:val="nil"/>
              <w:right w:val="nil"/>
            </w:tcBorders>
            <w:shd w:val="clear" w:color="auto" w:fill="auto"/>
            <w:noWrap/>
            <w:vAlign w:val="center"/>
            <w:hideMark/>
          </w:tcPr>
          <w:p w14:paraId="5507A55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22,008</w:t>
            </w:r>
          </w:p>
        </w:tc>
        <w:tc>
          <w:tcPr>
            <w:tcW w:w="847" w:type="dxa"/>
            <w:tcBorders>
              <w:top w:val="nil"/>
              <w:left w:val="nil"/>
              <w:bottom w:val="nil"/>
              <w:right w:val="nil"/>
            </w:tcBorders>
            <w:shd w:val="clear" w:color="auto" w:fill="auto"/>
            <w:noWrap/>
            <w:vAlign w:val="center"/>
            <w:hideMark/>
          </w:tcPr>
          <w:p w14:paraId="215E6CD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24,295</w:t>
            </w:r>
          </w:p>
        </w:tc>
        <w:tc>
          <w:tcPr>
            <w:tcW w:w="880" w:type="dxa"/>
            <w:tcBorders>
              <w:top w:val="nil"/>
              <w:left w:val="nil"/>
              <w:bottom w:val="nil"/>
              <w:right w:val="nil"/>
            </w:tcBorders>
            <w:shd w:val="clear" w:color="auto" w:fill="auto"/>
            <w:noWrap/>
            <w:vAlign w:val="center"/>
            <w:hideMark/>
          </w:tcPr>
          <w:p w14:paraId="3E817DF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21,281</w:t>
            </w:r>
          </w:p>
        </w:tc>
        <w:tc>
          <w:tcPr>
            <w:tcW w:w="768" w:type="dxa"/>
            <w:tcBorders>
              <w:top w:val="nil"/>
              <w:left w:val="nil"/>
              <w:bottom w:val="nil"/>
              <w:right w:val="nil"/>
            </w:tcBorders>
            <w:shd w:val="clear" w:color="auto" w:fill="auto"/>
            <w:noWrap/>
            <w:vAlign w:val="center"/>
            <w:hideMark/>
          </w:tcPr>
          <w:p w14:paraId="08C97599"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21,153</w:t>
            </w:r>
          </w:p>
        </w:tc>
        <w:tc>
          <w:tcPr>
            <w:tcW w:w="847" w:type="dxa"/>
            <w:tcBorders>
              <w:top w:val="nil"/>
              <w:left w:val="nil"/>
              <w:bottom w:val="nil"/>
              <w:right w:val="nil"/>
            </w:tcBorders>
            <w:shd w:val="clear" w:color="auto" w:fill="auto"/>
            <w:noWrap/>
            <w:vAlign w:val="center"/>
            <w:hideMark/>
          </w:tcPr>
          <w:p w14:paraId="33B12967"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26,566</w:t>
            </w:r>
          </w:p>
        </w:tc>
        <w:tc>
          <w:tcPr>
            <w:tcW w:w="847" w:type="dxa"/>
            <w:tcBorders>
              <w:top w:val="nil"/>
              <w:left w:val="nil"/>
              <w:bottom w:val="nil"/>
              <w:right w:val="nil"/>
            </w:tcBorders>
            <w:shd w:val="clear" w:color="auto" w:fill="auto"/>
            <w:noWrap/>
            <w:vAlign w:val="center"/>
            <w:hideMark/>
          </w:tcPr>
          <w:p w14:paraId="2E8E1E7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49,229</w:t>
            </w:r>
          </w:p>
        </w:tc>
        <w:tc>
          <w:tcPr>
            <w:tcW w:w="847" w:type="dxa"/>
            <w:tcBorders>
              <w:top w:val="nil"/>
              <w:left w:val="nil"/>
              <w:bottom w:val="nil"/>
              <w:right w:val="nil"/>
            </w:tcBorders>
            <w:shd w:val="clear" w:color="auto" w:fill="auto"/>
            <w:noWrap/>
            <w:vAlign w:val="center"/>
            <w:hideMark/>
          </w:tcPr>
          <w:p w14:paraId="1D32E6F0"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25,492</w:t>
            </w:r>
          </w:p>
        </w:tc>
        <w:tc>
          <w:tcPr>
            <w:tcW w:w="945" w:type="dxa"/>
            <w:tcBorders>
              <w:top w:val="nil"/>
              <w:left w:val="nil"/>
              <w:bottom w:val="nil"/>
            </w:tcBorders>
            <w:shd w:val="clear" w:color="auto" w:fill="auto"/>
            <w:noWrap/>
            <w:vAlign w:val="center"/>
            <w:hideMark/>
          </w:tcPr>
          <w:p w14:paraId="44D251C4"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208,432</w:t>
            </w:r>
          </w:p>
        </w:tc>
      </w:tr>
      <w:tr w:rsidR="0015649E" w:rsidRPr="0084045A" w14:paraId="60E9F47B" w14:textId="77777777" w:rsidTr="00C3352F">
        <w:trPr>
          <w:trHeight w:val="212"/>
          <w:jc w:val="center"/>
        </w:trPr>
        <w:tc>
          <w:tcPr>
            <w:tcW w:w="728" w:type="dxa"/>
            <w:vMerge/>
            <w:shd w:val="clear" w:color="auto" w:fill="auto"/>
            <w:noWrap/>
            <w:vAlign w:val="center"/>
            <w:hideMark/>
          </w:tcPr>
          <w:p w14:paraId="79B31DB8" w14:textId="77777777" w:rsidR="0015649E" w:rsidRPr="0084045A" w:rsidRDefault="0015649E" w:rsidP="0015649E">
            <w:pPr>
              <w:spacing w:after="0" w:line="240" w:lineRule="auto"/>
              <w:jc w:val="center"/>
              <w:rPr>
                <w:rFonts w:ascii="Arial" w:eastAsia="Times New Roman" w:hAnsi="Arial" w:cs="Arial"/>
                <w:b/>
                <w:bCs/>
                <w:noProof/>
                <w:color w:val="000000"/>
                <w:sz w:val="14"/>
                <w:szCs w:val="14"/>
                <w:lang w:val="en-GB" w:eastAsia="es-MX"/>
              </w:rPr>
            </w:pPr>
          </w:p>
        </w:tc>
        <w:tc>
          <w:tcPr>
            <w:tcW w:w="753" w:type="dxa"/>
            <w:tcBorders>
              <w:top w:val="nil"/>
              <w:right w:val="nil"/>
            </w:tcBorders>
            <w:vAlign w:val="center"/>
          </w:tcPr>
          <w:p w14:paraId="67881AD8" w14:textId="35929A1C" w:rsidR="0015649E" w:rsidRPr="0084045A" w:rsidRDefault="001B1B04" w:rsidP="0015649E">
            <w:pPr>
              <w:spacing w:after="0" w:line="240" w:lineRule="auto"/>
              <w:rPr>
                <w:rFonts w:ascii="Arial" w:eastAsia="Times New Roman" w:hAnsi="Arial" w:cs="Arial"/>
                <w:noProof/>
                <w:color w:val="000000"/>
                <w:sz w:val="14"/>
                <w:szCs w:val="14"/>
                <w:lang w:val="en-GB" w:eastAsia="es-MX"/>
              </w:rPr>
            </w:pPr>
            <w:r w:rsidRPr="0084045A">
              <w:rPr>
                <w:rFonts w:ascii="Arial" w:eastAsia="Times New Roman" w:hAnsi="Arial" w:cs="Arial"/>
                <w:noProof/>
                <w:color w:val="000000"/>
                <w:sz w:val="14"/>
                <w:szCs w:val="14"/>
                <w:lang w:val="en-GB" w:eastAsia="es-MX"/>
              </w:rPr>
              <w:t>≥65</w:t>
            </w:r>
          </w:p>
        </w:tc>
        <w:tc>
          <w:tcPr>
            <w:tcW w:w="768" w:type="dxa"/>
            <w:tcBorders>
              <w:top w:val="nil"/>
              <w:left w:val="nil"/>
              <w:right w:val="nil"/>
            </w:tcBorders>
            <w:shd w:val="clear" w:color="auto" w:fill="auto"/>
            <w:noWrap/>
            <w:vAlign w:val="center"/>
            <w:hideMark/>
          </w:tcPr>
          <w:p w14:paraId="6B7ACC2C" w14:textId="1A17CDD9"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4926</w:t>
            </w:r>
          </w:p>
        </w:tc>
        <w:tc>
          <w:tcPr>
            <w:tcW w:w="768" w:type="dxa"/>
            <w:tcBorders>
              <w:top w:val="nil"/>
              <w:left w:val="nil"/>
              <w:right w:val="nil"/>
            </w:tcBorders>
            <w:shd w:val="clear" w:color="auto" w:fill="auto"/>
            <w:noWrap/>
            <w:vAlign w:val="center"/>
            <w:hideMark/>
          </w:tcPr>
          <w:p w14:paraId="60F7AFEA" w14:textId="1E40AF70"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2592</w:t>
            </w:r>
          </w:p>
        </w:tc>
        <w:tc>
          <w:tcPr>
            <w:tcW w:w="847" w:type="dxa"/>
            <w:tcBorders>
              <w:top w:val="nil"/>
              <w:left w:val="nil"/>
              <w:right w:val="nil"/>
            </w:tcBorders>
            <w:shd w:val="clear" w:color="auto" w:fill="auto"/>
            <w:noWrap/>
            <w:vAlign w:val="center"/>
            <w:hideMark/>
          </w:tcPr>
          <w:p w14:paraId="19248EA2"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10,995</w:t>
            </w:r>
          </w:p>
        </w:tc>
        <w:tc>
          <w:tcPr>
            <w:tcW w:w="847" w:type="dxa"/>
            <w:tcBorders>
              <w:top w:val="nil"/>
              <w:left w:val="nil"/>
              <w:right w:val="nil"/>
            </w:tcBorders>
            <w:shd w:val="clear" w:color="auto" w:fill="auto"/>
            <w:noWrap/>
            <w:vAlign w:val="center"/>
            <w:hideMark/>
          </w:tcPr>
          <w:p w14:paraId="2A80A289" w14:textId="3297189B"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4407</w:t>
            </w:r>
          </w:p>
        </w:tc>
        <w:tc>
          <w:tcPr>
            <w:tcW w:w="880" w:type="dxa"/>
            <w:tcBorders>
              <w:top w:val="nil"/>
              <w:left w:val="nil"/>
              <w:right w:val="nil"/>
            </w:tcBorders>
            <w:shd w:val="clear" w:color="auto" w:fill="auto"/>
            <w:noWrap/>
            <w:vAlign w:val="center"/>
            <w:hideMark/>
          </w:tcPr>
          <w:p w14:paraId="23E838C3"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11,898</w:t>
            </w:r>
          </w:p>
        </w:tc>
        <w:tc>
          <w:tcPr>
            <w:tcW w:w="768" w:type="dxa"/>
            <w:tcBorders>
              <w:top w:val="nil"/>
              <w:left w:val="nil"/>
              <w:right w:val="nil"/>
            </w:tcBorders>
            <w:shd w:val="clear" w:color="auto" w:fill="auto"/>
            <w:noWrap/>
            <w:vAlign w:val="center"/>
            <w:hideMark/>
          </w:tcPr>
          <w:p w14:paraId="1ED66643" w14:textId="6997BFA2"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4137</w:t>
            </w:r>
          </w:p>
        </w:tc>
        <w:tc>
          <w:tcPr>
            <w:tcW w:w="847" w:type="dxa"/>
            <w:tcBorders>
              <w:top w:val="nil"/>
              <w:left w:val="nil"/>
              <w:right w:val="nil"/>
            </w:tcBorders>
            <w:shd w:val="clear" w:color="auto" w:fill="auto"/>
            <w:noWrap/>
            <w:vAlign w:val="center"/>
            <w:hideMark/>
          </w:tcPr>
          <w:p w14:paraId="221DCE84"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10,997</w:t>
            </w:r>
          </w:p>
        </w:tc>
        <w:tc>
          <w:tcPr>
            <w:tcW w:w="847" w:type="dxa"/>
            <w:tcBorders>
              <w:top w:val="nil"/>
              <w:left w:val="nil"/>
              <w:right w:val="nil"/>
            </w:tcBorders>
            <w:shd w:val="clear" w:color="auto" w:fill="auto"/>
            <w:noWrap/>
            <w:vAlign w:val="center"/>
            <w:hideMark/>
          </w:tcPr>
          <w:p w14:paraId="6C885DF1" w14:textId="77777777"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17,911</w:t>
            </w:r>
          </w:p>
        </w:tc>
        <w:tc>
          <w:tcPr>
            <w:tcW w:w="847" w:type="dxa"/>
            <w:tcBorders>
              <w:top w:val="nil"/>
              <w:left w:val="nil"/>
              <w:right w:val="nil"/>
            </w:tcBorders>
            <w:shd w:val="clear" w:color="auto" w:fill="auto"/>
            <w:noWrap/>
            <w:vAlign w:val="center"/>
            <w:hideMark/>
          </w:tcPr>
          <w:p w14:paraId="4688C509" w14:textId="7D9F9512" w:rsidR="0015649E" w:rsidRPr="0084045A" w:rsidRDefault="0015649E" w:rsidP="0015649E">
            <w:pPr>
              <w:spacing w:after="0" w:line="240" w:lineRule="auto"/>
              <w:jc w:val="right"/>
              <w:rPr>
                <w:rFonts w:ascii="Arial" w:eastAsia="Times New Roman" w:hAnsi="Arial" w:cs="Arial"/>
                <w:noProof/>
                <w:color w:val="000000"/>
                <w:sz w:val="14"/>
                <w:szCs w:val="14"/>
                <w:lang w:val="en-GB" w:eastAsia="es-MX"/>
              </w:rPr>
            </w:pPr>
            <w:r w:rsidRPr="0084045A">
              <w:rPr>
                <w:rFonts w:ascii="Arial" w:hAnsi="Arial" w:cs="Arial"/>
                <w:noProof/>
                <w:color w:val="000000"/>
                <w:sz w:val="14"/>
                <w:szCs w:val="14"/>
                <w:lang w:val="en-GB"/>
              </w:rPr>
              <w:t>9138</w:t>
            </w:r>
          </w:p>
        </w:tc>
        <w:tc>
          <w:tcPr>
            <w:tcW w:w="945" w:type="dxa"/>
            <w:tcBorders>
              <w:top w:val="nil"/>
              <w:left w:val="nil"/>
            </w:tcBorders>
            <w:shd w:val="clear" w:color="auto" w:fill="auto"/>
            <w:noWrap/>
            <w:vAlign w:val="center"/>
            <w:hideMark/>
          </w:tcPr>
          <w:p w14:paraId="07FBC60F" w14:textId="77777777" w:rsidR="0015649E" w:rsidRPr="0084045A" w:rsidRDefault="0015649E" w:rsidP="0015649E">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77,000</w:t>
            </w:r>
          </w:p>
        </w:tc>
      </w:tr>
      <w:tr w:rsidR="0015649E" w:rsidRPr="0084045A" w14:paraId="262EF856" w14:textId="77777777" w:rsidTr="00C3352F">
        <w:trPr>
          <w:trHeight w:val="212"/>
          <w:jc w:val="center"/>
        </w:trPr>
        <w:tc>
          <w:tcPr>
            <w:tcW w:w="1482" w:type="dxa"/>
            <w:gridSpan w:val="2"/>
            <w:shd w:val="clear" w:color="auto" w:fill="auto"/>
            <w:noWrap/>
            <w:vAlign w:val="center"/>
            <w:hideMark/>
          </w:tcPr>
          <w:p w14:paraId="0A54F405" w14:textId="77777777" w:rsidR="00364C3E" w:rsidRPr="0084045A" w:rsidRDefault="00364C3E" w:rsidP="00F82804">
            <w:pPr>
              <w:spacing w:after="0" w:line="240" w:lineRule="auto"/>
              <w:jc w:val="center"/>
              <w:rPr>
                <w:rFonts w:ascii="Arial" w:eastAsia="Times New Roman" w:hAnsi="Arial" w:cs="Arial"/>
                <w:b/>
                <w:bCs/>
                <w:noProof/>
                <w:color w:val="000000"/>
                <w:sz w:val="14"/>
                <w:szCs w:val="14"/>
                <w:lang w:val="en-GB" w:eastAsia="es-MX"/>
              </w:rPr>
            </w:pPr>
            <w:r w:rsidRPr="0084045A">
              <w:rPr>
                <w:rFonts w:ascii="Arial" w:eastAsia="Times New Roman" w:hAnsi="Arial" w:cs="Arial"/>
                <w:b/>
                <w:bCs/>
                <w:noProof/>
                <w:color w:val="000000"/>
                <w:sz w:val="14"/>
                <w:szCs w:val="14"/>
                <w:lang w:val="en-GB" w:eastAsia="es-MX"/>
              </w:rPr>
              <w:t>TOTAL</w:t>
            </w:r>
          </w:p>
        </w:tc>
        <w:tc>
          <w:tcPr>
            <w:tcW w:w="768" w:type="dxa"/>
            <w:shd w:val="clear" w:color="auto" w:fill="auto"/>
            <w:noWrap/>
            <w:vAlign w:val="center"/>
            <w:hideMark/>
          </w:tcPr>
          <w:p w14:paraId="7822156A"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8,275,119</w:t>
            </w:r>
          </w:p>
        </w:tc>
        <w:tc>
          <w:tcPr>
            <w:tcW w:w="768" w:type="dxa"/>
            <w:shd w:val="clear" w:color="auto" w:fill="auto"/>
            <w:noWrap/>
            <w:vAlign w:val="center"/>
            <w:hideMark/>
          </w:tcPr>
          <w:p w14:paraId="4E9C8D27"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3,616,140</w:t>
            </w:r>
          </w:p>
        </w:tc>
        <w:tc>
          <w:tcPr>
            <w:tcW w:w="847" w:type="dxa"/>
            <w:shd w:val="clear" w:color="auto" w:fill="auto"/>
            <w:noWrap/>
            <w:vAlign w:val="center"/>
            <w:hideMark/>
          </w:tcPr>
          <w:p w14:paraId="66DFDE91"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12,803,672</w:t>
            </w:r>
          </w:p>
        </w:tc>
        <w:tc>
          <w:tcPr>
            <w:tcW w:w="847" w:type="dxa"/>
            <w:shd w:val="clear" w:color="auto" w:fill="auto"/>
            <w:noWrap/>
            <w:vAlign w:val="center"/>
            <w:hideMark/>
          </w:tcPr>
          <w:p w14:paraId="356A52DE"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11,281,198</w:t>
            </w:r>
          </w:p>
        </w:tc>
        <w:tc>
          <w:tcPr>
            <w:tcW w:w="880" w:type="dxa"/>
            <w:shd w:val="clear" w:color="auto" w:fill="auto"/>
            <w:noWrap/>
            <w:vAlign w:val="center"/>
            <w:hideMark/>
          </w:tcPr>
          <w:p w14:paraId="4AF9E198"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11,413,739</w:t>
            </w:r>
          </w:p>
        </w:tc>
        <w:tc>
          <w:tcPr>
            <w:tcW w:w="768" w:type="dxa"/>
            <w:shd w:val="clear" w:color="auto" w:fill="auto"/>
            <w:noWrap/>
            <w:vAlign w:val="center"/>
            <w:hideMark/>
          </w:tcPr>
          <w:p w14:paraId="6F5060FA"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9,928,898</w:t>
            </w:r>
          </w:p>
        </w:tc>
        <w:tc>
          <w:tcPr>
            <w:tcW w:w="847" w:type="dxa"/>
            <w:shd w:val="clear" w:color="auto" w:fill="auto"/>
            <w:noWrap/>
            <w:vAlign w:val="center"/>
            <w:hideMark/>
          </w:tcPr>
          <w:p w14:paraId="79A55213"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11,074,556</w:t>
            </w:r>
          </w:p>
        </w:tc>
        <w:tc>
          <w:tcPr>
            <w:tcW w:w="847" w:type="dxa"/>
            <w:shd w:val="clear" w:color="auto" w:fill="auto"/>
            <w:noWrap/>
            <w:vAlign w:val="center"/>
            <w:hideMark/>
          </w:tcPr>
          <w:p w14:paraId="564A9B76"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17,749,078</w:t>
            </w:r>
          </w:p>
        </w:tc>
        <w:tc>
          <w:tcPr>
            <w:tcW w:w="847" w:type="dxa"/>
            <w:shd w:val="clear" w:color="auto" w:fill="auto"/>
            <w:noWrap/>
            <w:vAlign w:val="center"/>
            <w:hideMark/>
          </w:tcPr>
          <w:p w14:paraId="073AE1C0"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11,223,972</w:t>
            </w:r>
          </w:p>
        </w:tc>
        <w:tc>
          <w:tcPr>
            <w:tcW w:w="945" w:type="dxa"/>
            <w:shd w:val="clear" w:color="auto" w:fill="auto"/>
            <w:noWrap/>
            <w:vAlign w:val="center"/>
            <w:hideMark/>
          </w:tcPr>
          <w:p w14:paraId="78F33B18" w14:textId="77777777" w:rsidR="00364C3E" w:rsidRPr="0084045A" w:rsidRDefault="00364C3E" w:rsidP="00F82804">
            <w:pPr>
              <w:spacing w:after="0" w:line="240" w:lineRule="auto"/>
              <w:jc w:val="right"/>
              <w:rPr>
                <w:rFonts w:ascii="Arial" w:eastAsia="Times New Roman" w:hAnsi="Arial" w:cs="Arial"/>
                <w:b/>
                <w:bCs/>
                <w:noProof/>
                <w:color w:val="000000"/>
                <w:sz w:val="14"/>
                <w:szCs w:val="14"/>
                <w:lang w:val="en-GB" w:eastAsia="es-MX"/>
              </w:rPr>
            </w:pPr>
            <w:r w:rsidRPr="0084045A">
              <w:rPr>
                <w:rFonts w:ascii="Arial" w:hAnsi="Arial" w:cs="Arial"/>
                <w:b/>
                <w:bCs/>
                <w:noProof/>
                <w:color w:val="000000"/>
                <w:sz w:val="14"/>
                <w:szCs w:val="14"/>
                <w:lang w:val="en-GB"/>
              </w:rPr>
              <w:t>97,366,372</w:t>
            </w:r>
          </w:p>
        </w:tc>
      </w:tr>
    </w:tbl>
    <w:p w14:paraId="72F9D561" w14:textId="77777777" w:rsidR="00364C3E" w:rsidRPr="0084045A" w:rsidRDefault="00364C3E" w:rsidP="00364C3E">
      <w:pPr>
        <w:jc w:val="both"/>
        <w:rPr>
          <w:rFonts w:ascii="Arial" w:hAnsi="Arial" w:cs="Arial"/>
          <w:noProof/>
          <w:lang w:val="en-GB"/>
        </w:rPr>
      </w:pPr>
    </w:p>
    <w:p w14:paraId="4241FE0A" w14:textId="77777777" w:rsidR="00B03DAF" w:rsidRPr="0084045A" w:rsidRDefault="00B03DAF" w:rsidP="00B03DAF">
      <w:pPr>
        <w:rPr>
          <w:noProof/>
          <w:lang w:val="en-GB"/>
        </w:rPr>
      </w:pPr>
    </w:p>
    <w:p w14:paraId="757BD7C8" w14:textId="24FF60CE" w:rsidR="0023683E" w:rsidRPr="0084045A" w:rsidRDefault="00B03DAF" w:rsidP="00132EE1">
      <w:pPr>
        <w:tabs>
          <w:tab w:val="left" w:pos="649"/>
        </w:tabs>
        <w:rPr>
          <w:rFonts w:cs="Arial"/>
          <w:noProof/>
          <w:sz w:val="24"/>
          <w:szCs w:val="24"/>
          <w:lang w:val="en-GB"/>
        </w:rPr>
        <w:sectPr w:rsidR="0023683E" w:rsidRPr="0084045A" w:rsidSect="00645F53">
          <w:pgSz w:w="12240" w:h="15840" w:code="1"/>
          <w:pgMar w:top="1418" w:right="1418" w:bottom="1418" w:left="1418" w:header="709" w:footer="709" w:gutter="0"/>
          <w:cols w:space="708"/>
          <w:docGrid w:linePitch="360"/>
        </w:sectPr>
      </w:pPr>
      <w:r w:rsidRPr="0084045A">
        <w:rPr>
          <w:rFonts w:ascii="Arial" w:hAnsi="Arial" w:cs="Arial"/>
          <w:noProof/>
          <w:sz w:val="24"/>
          <w:szCs w:val="24"/>
          <w:lang w:val="en-GB"/>
        </w:rPr>
        <w:tab/>
      </w:r>
    </w:p>
    <w:p w14:paraId="354D807B" w14:textId="64B661F5" w:rsidR="00FB6B80" w:rsidRPr="003B2744" w:rsidRDefault="00FB6B80" w:rsidP="0026691C">
      <w:pPr>
        <w:pStyle w:val="Ttulo1"/>
        <w:rPr>
          <w:noProof/>
          <w:sz w:val="26"/>
          <w:szCs w:val="26"/>
          <w:lang w:val="en-GB"/>
        </w:rPr>
      </w:pPr>
      <w:r w:rsidRPr="003B2744">
        <w:rPr>
          <w:noProof/>
          <w:sz w:val="26"/>
          <w:szCs w:val="26"/>
          <w:lang w:val="en-GB"/>
        </w:rPr>
        <w:lastRenderedPageBreak/>
        <w:t>Supplement 2</w:t>
      </w:r>
    </w:p>
    <w:p w14:paraId="43D8E6B8" w14:textId="77777777" w:rsidR="00626DDA" w:rsidRPr="003B2744" w:rsidRDefault="00626DDA" w:rsidP="003B2744">
      <w:pPr>
        <w:rPr>
          <w:lang w:val="en-GB"/>
        </w:rPr>
      </w:pPr>
    </w:p>
    <w:p w14:paraId="7946AEAB" w14:textId="77777777" w:rsidR="00FB6B80" w:rsidRPr="0084045A" w:rsidRDefault="00FB6B80" w:rsidP="0026691C">
      <w:pPr>
        <w:pStyle w:val="Ttulo2"/>
        <w:rPr>
          <w:noProof/>
          <w:lang w:val="en-GB"/>
        </w:rPr>
      </w:pPr>
      <w:r w:rsidRPr="0084045A">
        <w:rPr>
          <w:noProof/>
          <w:lang w:val="en-GB"/>
        </w:rPr>
        <w:t>Text S2. Methodology for the estimation of different scenarios</w:t>
      </w:r>
    </w:p>
    <w:p w14:paraId="27A7DAF9" w14:textId="6B44B0E8" w:rsidR="00FB6B80" w:rsidRPr="0084045A" w:rsidRDefault="00FB6B80" w:rsidP="00FB6B80">
      <w:pPr>
        <w:rPr>
          <w:rFonts w:ascii="Arial" w:hAnsi="Arial" w:cs="Arial"/>
          <w:b/>
          <w:bCs/>
          <w:noProof/>
          <w:u w:val="single"/>
          <w:lang w:val="en-GB"/>
        </w:rPr>
      </w:pPr>
      <w:r w:rsidRPr="0084045A">
        <w:rPr>
          <w:rFonts w:ascii="Arial" w:hAnsi="Arial" w:cs="Arial"/>
          <w:noProof/>
          <w:lang w:val="en-GB"/>
        </w:rPr>
        <w:t xml:space="preserve">From seasons 2009–2010 to 2017–2018, health monitoring units registered 50,467 confirmed cases of influenza. These cases were distributed between the different institutions of Mexico’s Health System as shown in </w:t>
      </w:r>
      <w:r w:rsidRPr="0084045A">
        <w:rPr>
          <w:rFonts w:ascii="Arial" w:hAnsi="Arial" w:cs="Arial"/>
          <w:b/>
          <w:bCs/>
          <w:noProof/>
          <w:lang w:val="en-GB"/>
        </w:rPr>
        <w:t>Table S2.1</w:t>
      </w:r>
      <w:r w:rsidRPr="0084045A">
        <w:rPr>
          <w:rFonts w:ascii="Arial" w:hAnsi="Arial" w:cs="Arial"/>
          <w:noProof/>
          <w:lang w:val="en-GB"/>
        </w:rPr>
        <w:t>.</w:t>
      </w:r>
    </w:p>
    <w:p w14:paraId="6D8837E1" w14:textId="77777777" w:rsidR="00FB6B80" w:rsidRPr="0084045A" w:rsidRDefault="00FB6B80" w:rsidP="00FB6B80">
      <w:pPr>
        <w:rPr>
          <w:rFonts w:ascii="Arial" w:hAnsi="Arial" w:cs="Arial"/>
          <w:noProof/>
          <w:lang w:val="en-GB"/>
        </w:rPr>
      </w:pPr>
      <w:r w:rsidRPr="0084045A">
        <w:rPr>
          <w:rFonts w:ascii="Arial" w:hAnsi="Arial" w:cs="Arial"/>
          <w:noProof/>
          <w:lang w:val="en-GB"/>
        </w:rPr>
        <w:t>Given that SISVEFLU cases were recorded from monitoring facilities and the data are not defined as sentinel, data cannot be extrapolated directly to population-wide estimates. Therefore, the total number of influenza cases in Mexico were estimated by indirectly standardising reported values of influenza incidence in the United States for each season and age group (</w:t>
      </w:r>
      <w:r w:rsidRPr="0084045A">
        <w:rPr>
          <w:rFonts w:ascii="Arial" w:hAnsi="Arial" w:cs="Arial"/>
          <w:b/>
          <w:bCs/>
          <w:noProof/>
          <w:lang w:val="en-GB"/>
        </w:rPr>
        <w:t>Table S2.2</w:t>
      </w:r>
      <w:r w:rsidRPr="0084045A">
        <w:rPr>
          <w:rFonts w:ascii="Arial" w:hAnsi="Arial" w:cs="Arial"/>
          <w:noProof/>
          <w:lang w:val="en-GB"/>
        </w:rPr>
        <w:t xml:space="preserve">) into the Mexican population structure according to official population projections. </w:t>
      </w:r>
    </w:p>
    <w:p w14:paraId="1DD4A023" w14:textId="77777777" w:rsidR="00FB6B80" w:rsidRPr="0084045A" w:rsidRDefault="00FB6B80" w:rsidP="00FB6B80">
      <w:pPr>
        <w:rPr>
          <w:rFonts w:ascii="Arial" w:hAnsi="Arial" w:cs="Arial"/>
          <w:noProof/>
          <w:lang w:val="en-GB"/>
        </w:rPr>
      </w:pPr>
      <w:r w:rsidRPr="0084045A">
        <w:rPr>
          <w:rFonts w:ascii="Arial" w:hAnsi="Arial" w:cs="Arial"/>
          <w:b/>
          <w:bCs/>
          <w:noProof/>
          <w:lang w:val="en-GB"/>
        </w:rPr>
        <w:t>Table S2.3</w:t>
      </w:r>
      <w:r w:rsidRPr="0084045A">
        <w:rPr>
          <w:rFonts w:ascii="Arial" w:hAnsi="Arial" w:cs="Arial"/>
          <w:noProof/>
          <w:lang w:val="en-GB"/>
        </w:rPr>
        <w:t xml:space="preserve"> shows estimated cases of influenza in Mexico per season, considering both official population projections and influenza incidence from the United States.</w:t>
      </w:r>
    </w:p>
    <w:p w14:paraId="011019B0" w14:textId="3AD57D49" w:rsidR="00FB6B80" w:rsidRPr="0084045A" w:rsidRDefault="00FB6B80" w:rsidP="00FB6B80">
      <w:pPr>
        <w:rPr>
          <w:rFonts w:ascii="Arial" w:hAnsi="Arial" w:cs="Arial"/>
          <w:noProof/>
          <w:lang w:val="en-GB"/>
        </w:rPr>
      </w:pPr>
      <w:r w:rsidRPr="0084045A">
        <w:rPr>
          <w:rFonts w:ascii="Arial" w:hAnsi="Arial" w:cs="Arial"/>
          <w:b/>
          <w:bCs/>
          <w:noProof/>
          <w:lang w:val="en-GB"/>
        </w:rPr>
        <w:t>Table S2.4</w:t>
      </w:r>
      <w:r w:rsidRPr="0084045A">
        <w:rPr>
          <w:rFonts w:ascii="Arial" w:hAnsi="Arial" w:cs="Arial"/>
          <w:noProof/>
          <w:lang w:val="en-GB"/>
        </w:rPr>
        <w:t xml:space="preserve"> shows estimated cases of influenza per age group. Disaggregated data from</w:t>
      </w:r>
      <w:r w:rsidR="006215FB" w:rsidRPr="0084045A">
        <w:rPr>
          <w:rFonts w:ascii="Arial" w:hAnsi="Arial" w:cs="Arial"/>
          <w:noProof/>
          <w:lang w:val="en-GB"/>
        </w:rPr>
        <w:t xml:space="preserve"> each</w:t>
      </w:r>
      <w:r w:rsidRPr="0084045A">
        <w:rPr>
          <w:rFonts w:ascii="Arial" w:hAnsi="Arial" w:cs="Arial"/>
          <w:noProof/>
          <w:lang w:val="en-GB"/>
        </w:rPr>
        <w:t xml:space="preserve"> age group allows us to capture differences in health outcomes more accurately; it also enables us to estimate herd effect, especially in those who are not vaccinated under the current schedule.</w:t>
      </w:r>
    </w:p>
    <w:p w14:paraId="61B6268A" w14:textId="2B341AEF" w:rsidR="00FB6B80" w:rsidRPr="0084045A" w:rsidRDefault="00FB6B80" w:rsidP="00FB6B80">
      <w:pPr>
        <w:rPr>
          <w:rFonts w:ascii="Arial" w:hAnsi="Arial" w:cs="Arial"/>
          <w:noProof/>
          <w:lang w:val="en-GB"/>
        </w:rPr>
      </w:pPr>
      <w:r w:rsidRPr="0084045A">
        <w:rPr>
          <w:rFonts w:ascii="Arial" w:hAnsi="Arial" w:cs="Arial"/>
          <w:noProof/>
          <w:lang w:val="en-GB"/>
        </w:rPr>
        <w:t xml:space="preserve">Estimated cases were then allocated into eight different scenarios, considering 1) the probability of not demanding medical care (scenario 0), as reported by Molinari et al. [1] for different age groups, 2) where cases were diagnosed according to the SISVEFLU database (outpatient clinic or hospital), and 3) likelihood of occurrence of </w:t>
      </w:r>
      <w:r w:rsidR="006215FB" w:rsidRPr="0084045A">
        <w:rPr>
          <w:rFonts w:ascii="Arial" w:hAnsi="Arial" w:cs="Arial"/>
          <w:noProof/>
          <w:lang w:val="en-GB"/>
        </w:rPr>
        <w:t xml:space="preserve">a </w:t>
      </w:r>
      <w:r w:rsidRPr="0084045A">
        <w:rPr>
          <w:rFonts w:ascii="Arial" w:hAnsi="Arial" w:cs="Arial"/>
          <w:noProof/>
          <w:lang w:val="en-GB"/>
        </w:rPr>
        <w:t xml:space="preserve">health outcome (ambulatory discharge, hospitalisation and subsequent discharge, or death). </w:t>
      </w:r>
    </w:p>
    <w:p w14:paraId="23F15F6A" w14:textId="77777777" w:rsidR="00FB6B80" w:rsidRPr="0084045A" w:rsidRDefault="00FB6B80" w:rsidP="00FB6B80">
      <w:pPr>
        <w:rPr>
          <w:rFonts w:ascii="Arial" w:hAnsi="Arial" w:cs="Arial"/>
          <w:noProof/>
          <w:lang w:val="en-GB"/>
        </w:rPr>
      </w:pPr>
    </w:p>
    <w:p w14:paraId="7DE63E4B" w14:textId="08FA0C42" w:rsidR="00FB6B80" w:rsidRPr="0084045A" w:rsidRDefault="00FB6B80" w:rsidP="00FB6B80">
      <w:pPr>
        <w:pStyle w:val="Prrafodelista"/>
        <w:numPr>
          <w:ilvl w:val="0"/>
          <w:numId w:val="64"/>
        </w:numPr>
        <w:rPr>
          <w:rFonts w:ascii="Arial" w:hAnsi="Arial" w:cs="Arial"/>
          <w:noProof/>
          <w:lang w:val="en-GB"/>
        </w:rPr>
      </w:pPr>
      <w:r w:rsidRPr="0084045A">
        <w:rPr>
          <w:rFonts w:ascii="Arial" w:hAnsi="Arial" w:cs="Arial"/>
          <w:noProof/>
          <w:lang w:val="en-GB"/>
        </w:rPr>
        <w:t>Scenario 0: Symptomatic individual who does not seek medical care, and self-medicate</w:t>
      </w:r>
      <w:r w:rsidR="006215FB" w:rsidRPr="0084045A">
        <w:rPr>
          <w:rFonts w:ascii="Arial" w:hAnsi="Arial" w:cs="Arial"/>
          <w:noProof/>
          <w:lang w:val="en-GB"/>
        </w:rPr>
        <w:t>s</w:t>
      </w:r>
      <w:r w:rsidRPr="0084045A">
        <w:rPr>
          <w:rFonts w:ascii="Arial" w:hAnsi="Arial" w:cs="Arial"/>
          <w:noProof/>
          <w:lang w:val="en-GB"/>
        </w:rPr>
        <w:t xml:space="preserve"> with over-the-counter drugs.</w:t>
      </w:r>
    </w:p>
    <w:p w14:paraId="04F0CCD2" w14:textId="64688529" w:rsidR="00FB6B80" w:rsidRPr="0084045A" w:rsidRDefault="00FB6B80" w:rsidP="00FB6B80">
      <w:pPr>
        <w:pStyle w:val="Prrafodelista"/>
        <w:numPr>
          <w:ilvl w:val="0"/>
          <w:numId w:val="64"/>
        </w:numPr>
        <w:rPr>
          <w:rFonts w:ascii="Arial" w:hAnsi="Arial" w:cs="Arial"/>
          <w:noProof/>
          <w:lang w:val="en-GB"/>
        </w:rPr>
      </w:pPr>
      <w:r w:rsidRPr="0084045A">
        <w:rPr>
          <w:rFonts w:ascii="Arial" w:hAnsi="Arial" w:cs="Arial"/>
          <w:noProof/>
          <w:lang w:val="en-GB"/>
        </w:rPr>
        <w:t xml:space="preserve">Scenario 1: Symptomatic individual visited an outpatient clinic, had a positive </w:t>
      </w:r>
      <w:r w:rsidR="00083A8E" w:rsidRPr="0084045A">
        <w:rPr>
          <w:rFonts w:ascii="Arial" w:hAnsi="Arial" w:cs="Arial"/>
          <w:noProof/>
          <w:lang w:val="en-GB"/>
        </w:rPr>
        <w:t>polymerase chain reaction (</w:t>
      </w:r>
      <w:r w:rsidRPr="0084045A">
        <w:rPr>
          <w:rFonts w:ascii="Arial" w:hAnsi="Arial" w:cs="Arial"/>
          <w:noProof/>
          <w:lang w:val="en-GB"/>
        </w:rPr>
        <w:t>PCR</w:t>
      </w:r>
      <w:r w:rsidR="00083A8E" w:rsidRPr="0084045A">
        <w:rPr>
          <w:rFonts w:ascii="Arial" w:hAnsi="Arial" w:cs="Arial"/>
          <w:noProof/>
          <w:lang w:val="en-GB"/>
        </w:rPr>
        <w:t>)</w:t>
      </w:r>
      <w:r w:rsidRPr="0084045A">
        <w:rPr>
          <w:rFonts w:ascii="Arial" w:hAnsi="Arial" w:cs="Arial"/>
          <w:noProof/>
          <w:lang w:val="en-GB"/>
        </w:rPr>
        <w:t xml:space="preserve"> result for influenza, was managed only in ambulatory care</w:t>
      </w:r>
      <w:r w:rsidR="00083A8E" w:rsidRPr="0084045A">
        <w:rPr>
          <w:rFonts w:ascii="Arial" w:hAnsi="Arial" w:cs="Arial"/>
          <w:noProof/>
          <w:lang w:val="en-GB"/>
        </w:rPr>
        <w:t>,</w:t>
      </w:r>
      <w:r w:rsidRPr="0084045A">
        <w:rPr>
          <w:rFonts w:ascii="Arial" w:hAnsi="Arial" w:cs="Arial"/>
          <w:noProof/>
          <w:lang w:val="en-GB"/>
        </w:rPr>
        <w:t xml:space="preserve"> and had a complete recovery.</w:t>
      </w:r>
    </w:p>
    <w:p w14:paraId="24EE3449" w14:textId="18C953DB" w:rsidR="00FB6B80" w:rsidRPr="0084045A" w:rsidRDefault="00FB6B80" w:rsidP="00FB6B80">
      <w:pPr>
        <w:pStyle w:val="Prrafodelista"/>
        <w:numPr>
          <w:ilvl w:val="0"/>
          <w:numId w:val="64"/>
        </w:numPr>
        <w:rPr>
          <w:rFonts w:ascii="Arial" w:hAnsi="Arial" w:cs="Arial"/>
          <w:noProof/>
          <w:lang w:val="en-GB"/>
        </w:rPr>
      </w:pPr>
      <w:r w:rsidRPr="0084045A">
        <w:rPr>
          <w:rFonts w:ascii="Arial" w:hAnsi="Arial" w:cs="Arial"/>
          <w:noProof/>
          <w:lang w:val="en-GB"/>
        </w:rPr>
        <w:t>Scenario 2: Symptomatic individual visited an outpatient clinic, had a positive PCR result for influenza for which, due to the severity, they were referred for hospital care where they had a complete recovery</w:t>
      </w:r>
      <w:r w:rsidR="00083A8E" w:rsidRPr="0084045A">
        <w:rPr>
          <w:rFonts w:ascii="Arial" w:hAnsi="Arial" w:cs="Arial"/>
          <w:noProof/>
          <w:lang w:val="en-GB"/>
        </w:rPr>
        <w:t>,</w:t>
      </w:r>
      <w:r w:rsidRPr="0084045A">
        <w:rPr>
          <w:rFonts w:ascii="Arial" w:hAnsi="Arial" w:cs="Arial"/>
          <w:noProof/>
          <w:lang w:val="en-GB"/>
        </w:rPr>
        <w:t xml:space="preserve"> and were discharged.</w:t>
      </w:r>
    </w:p>
    <w:p w14:paraId="61589D7F" w14:textId="7EA2C9DA" w:rsidR="00FB6B80" w:rsidRPr="0084045A" w:rsidRDefault="00FB6B80" w:rsidP="00FB6B80">
      <w:pPr>
        <w:pStyle w:val="Prrafodelista"/>
        <w:numPr>
          <w:ilvl w:val="0"/>
          <w:numId w:val="64"/>
        </w:numPr>
        <w:rPr>
          <w:rFonts w:ascii="Arial" w:hAnsi="Arial" w:cs="Arial"/>
          <w:noProof/>
          <w:lang w:val="en-GB"/>
        </w:rPr>
      </w:pPr>
      <w:r w:rsidRPr="0084045A">
        <w:rPr>
          <w:rFonts w:ascii="Arial" w:hAnsi="Arial" w:cs="Arial"/>
          <w:noProof/>
          <w:lang w:val="en-GB"/>
        </w:rPr>
        <w:t>Scenario 3: Symptomatic individual visited an outpatient clinic, had a positive PCR result for influenza and, due to severity, was referred for hospital care</w:t>
      </w:r>
      <w:r w:rsidR="00083A8E" w:rsidRPr="0084045A">
        <w:rPr>
          <w:rFonts w:ascii="Arial" w:hAnsi="Arial" w:cs="Arial"/>
          <w:noProof/>
          <w:lang w:val="en-GB"/>
        </w:rPr>
        <w:t>,</w:t>
      </w:r>
      <w:r w:rsidRPr="0084045A">
        <w:rPr>
          <w:rFonts w:ascii="Arial" w:hAnsi="Arial" w:cs="Arial"/>
          <w:noProof/>
          <w:lang w:val="en-GB"/>
        </w:rPr>
        <w:t xml:space="preserve"> and died.</w:t>
      </w:r>
    </w:p>
    <w:p w14:paraId="1F9F0E32" w14:textId="75619919" w:rsidR="00FB6B80" w:rsidRPr="0084045A" w:rsidRDefault="00FB6B80" w:rsidP="00FB6B80">
      <w:pPr>
        <w:pStyle w:val="Prrafodelista"/>
        <w:numPr>
          <w:ilvl w:val="0"/>
          <w:numId w:val="64"/>
        </w:numPr>
        <w:rPr>
          <w:rFonts w:ascii="Arial" w:hAnsi="Arial" w:cs="Arial"/>
          <w:noProof/>
          <w:lang w:val="en-GB"/>
        </w:rPr>
      </w:pPr>
      <w:r w:rsidRPr="0084045A">
        <w:rPr>
          <w:rFonts w:ascii="Arial" w:hAnsi="Arial" w:cs="Arial"/>
          <w:noProof/>
          <w:lang w:val="en-GB"/>
        </w:rPr>
        <w:t xml:space="preserve">Scenario 4: Symptomatic individual visited a hospital </w:t>
      </w:r>
      <w:r w:rsidR="00083A8E" w:rsidRPr="0084045A">
        <w:rPr>
          <w:rFonts w:ascii="Arial" w:hAnsi="Arial" w:cs="Arial"/>
          <w:noProof/>
          <w:lang w:val="en-GB"/>
        </w:rPr>
        <w:t>emergency room (</w:t>
      </w:r>
      <w:r w:rsidRPr="0084045A">
        <w:rPr>
          <w:rFonts w:ascii="Arial" w:hAnsi="Arial" w:cs="Arial"/>
          <w:noProof/>
          <w:lang w:val="en-GB"/>
        </w:rPr>
        <w:t>ER</w:t>
      </w:r>
      <w:r w:rsidR="00083A8E" w:rsidRPr="0084045A">
        <w:rPr>
          <w:rFonts w:ascii="Arial" w:hAnsi="Arial" w:cs="Arial"/>
          <w:noProof/>
          <w:lang w:val="en-GB"/>
        </w:rPr>
        <w:t>)</w:t>
      </w:r>
      <w:r w:rsidRPr="0084045A">
        <w:rPr>
          <w:rFonts w:ascii="Arial" w:hAnsi="Arial" w:cs="Arial"/>
          <w:noProof/>
          <w:lang w:val="en-GB"/>
        </w:rPr>
        <w:t>, had a positive PCR result for influenza, was discharged to an outpatient clinic for follow-up</w:t>
      </w:r>
      <w:r w:rsidR="00083A8E" w:rsidRPr="0084045A">
        <w:rPr>
          <w:rFonts w:ascii="Arial" w:hAnsi="Arial" w:cs="Arial"/>
          <w:noProof/>
          <w:lang w:val="en-GB"/>
        </w:rPr>
        <w:t>,</w:t>
      </w:r>
      <w:r w:rsidRPr="0084045A">
        <w:rPr>
          <w:rFonts w:ascii="Arial" w:hAnsi="Arial" w:cs="Arial"/>
          <w:noProof/>
          <w:lang w:val="en-GB"/>
        </w:rPr>
        <w:t xml:space="preserve"> and had a complete recovery. </w:t>
      </w:r>
    </w:p>
    <w:p w14:paraId="33F04DB6" w14:textId="3C3B4A52" w:rsidR="00FB6B80" w:rsidRPr="0084045A" w:rsidRDefault="00FB6B80" w:rsidP="00FB6B80">
      <w:pPr>
        <w:pStyle w:val="Prrafodelista"/>
        <w:numPr>
          <w:ilvl w:val="0"/>
          <w:numId w:val="64"/>
        </w:numPr>
        <w:rPr>
          <w:rFonts w:ascii="Arial" w:hAnsi="Arial" w:cs="Arial"/>
          <w:noProof/>
          <w:lang w:val="en-GB"/>
        </w:rPr>
      </w:pPr>
      <w:r w:rsidRPr="0084045A">
        <w:rPr>
          <w:rFonts w:ascii="Arial" w:hAnsi="Arial" w:cs="Arial"/>
          <w:noProof/>
          <w:lang w:val="en-GB"/>
        </w:rPr>
        <w:t>Scenario 5: Symptomatic individual visited a hospital ER, had a positive PCR result for influenza, was admitted to hospital for follow-up with non-severe clinical status</w:t>
      </w:r>
      <w:r w:rsidR="00083A8E" w:rsidRPr="0084045A">
        <w:rPr>
          <w:rFonts w:ascii="Arial" w:hAnsi="Arial" w:cs="Arial"/>
          <w:noProof/>
          <w:lang w:val="en-GB"/>
        </w:rPr>
        <w:t>,</w:t>
      </w:r>
      <w:r w:rsidRPr="0084045A">
        <w:rPr>
          <w:rFonts w:ascii="Arial" w:hAnsi="Arial" w:cs="Arial"/>
          <w:noProof/>
          <w:lang w:val="en-GB"/>
        </w:rPr>
        <w:t xml:space="preserve"> and had a complete recovery.</w:t>
      </w:r>
    </w:p>
    <w:p w14:paraId="24E205C7" w14:textId="499EF78B" w:rsidR="00FB6B80" w:rsidRPr="0084045A" w:rsidRDefault="00FB6B80" w:rsidP="00FB6B80">
      <w:pPr>
        <w:pStyle w:val="Prrafodelista"/>
        <w:numPr>
          <w:ilvl w:val="0"/>
          <w:numId w:val="64"/>
        </w:numPr>
        <w:rPr>
          <w:rFonts w:ascii="Arial" w:hAnsi="Arial" w:cs="Arial"/>
          <w:noProof/>
          <w:lang w:val="en-GB"/>
        </w:rPr>
      </w:pPr>
      <w:r w:rsidRPr="0084045A">
        <w:rPr>
          <w:rFonts w:ascii="Arial" w:hAnsi="Arial" w:cs="Arial"/>
          <w:noProof/>
          <w:lang w:val="en-GB"/>
        </w:rPr>
        <w:lastRenderedPageBreak/>
        <w:t>Scenario 6: Symptomatic individual visited a hospital ER, had a positive PCR result for influenza, was admitted for follow-up with severe clinical status</w:t>
      </w:r>
      <w:r w:rsidR="00083A8E" w:rsidRPr="0084045A">
        <w:rPr>
          <w:rFonts w:ascii="Arial" w:hAnsi="Arial" w:cs="Arial"/>
          <w:noProof/>
          <w:lang w:val="en-GB"/>
        </w:rPr>
        <w:t>,</w:t>
      </w:r>
      <w:r w:rsidRPr="0084045A">
        <w:rPr>
          <w:rFonts w:ascii="Arial" w:hAnsi="Arial" w:cs="Arial"/>
          <w:noProof/>
          <w:lang w:val="en-GB"/>
        </w:rPr>
        <w:t xml:space="preserve"> and had a complete recovery.</w:t>
      </w:r>
    </w:p>
    <w:p w14:paraId="0E0461C9" w14:textId="728B5B78" w:rsidR="00FB6B80" w:rsidRPr="0084045A" w:rsidRDefault="00FB6B80" w:rsidP="00FB6B80">
      <w:pPr>
        <w:pStyle w:val="Prrafodelista"/>
        <w:numPr>
          <w:ilvl w:val="0"/>
          <w:numId w:val="64"/>
        </w:numPr>
        <w:rPr>
          <w:rFonts w:ascii="Arial" w:hAnsi="Arial" w:cs="Arial"/>
          <w:noProof/>
          <w:lang w:val="en-GB"/>
        </w:rPr>
      </w:pPr>
      <w:r w:rsidRPr="0084045A">
        <w:rPr>
          <w:rFonts w:ascii="Arial" w:hAnsi="Arial" w:cs="Arial"/>
          <w:noProof/>
          <w:lang w:val="en-GB"/>
        </w:rPr>
        <w:t>Scenario 7: Symptomatic individual visited a hospital ER, had a positive PCR result for influenza, was admitted for hospital follow-up</w:t>
      </w:r>
      <w:r w:rsidR="00083A8E" w:rsidRPr="0084045A">
        <w:rPr>
          <w:rFonts w:ascii="Arial" w:hAnsi="Arial" w:cs="Arial"/>
          <w:noProof/>
          <w:lang w:val="en-GB"/>
        </w:rPr>
        <w:t>,</w:t>
      </w:r>
      <w:r w:rsidRPr="0084045A">
        <w:rPr>
          <w:rFonts w:ascii="Arial" w:hAnsi="Arial" w:cs="Arial"/>
          <w:noProof/>
          <w:lang w:val="en-GB"/>
        </w:rPr>
        <w:t xml:space="preserve"> and died.</w:t>
      </w:r>
    </w:p>
    <w:p w14:paraId="253DE342" w14:textId="68FD6D87" w:rsidR="00FB6B80" w:rsidRPr="0084045A" w:rsidRDefault="004E182D" w:rsidP="00FB6B80">
      <w:pPr>
        <w:rPr>
          <w:rFonts w:ascii="Arial" w:hAnsi="Arial" w:cs="Arial"/>
          <w:noProof/>
          <w:lang w:val="en-GB"/>
        </w:rPr>
      </w:pPr>
      <w:r>
        <w:rPr>
          <w:rFonts w:ascii="Arial" w:hAnsi="Arial" w:cs="Arial"/>
          <w:noProof/>
          <w:lang w:val="en-GB"/>
        </w:rPr>
        <w:t>T</w:t>
      </w:r>
      <w:r w:rsidR="00FB6B80" w:rsidRPr="0084045A">
        <w:rPr>
          <w:rFonts w:ascii="Arial" w:hAnsi="Arial" w:cs="Arial"/>
          <w:noProof/>
          <w:lang w:val="en-GB"/>
        </w:rPr>
        <w:t>he decision-</w:t>
      </w:r>
      <w:r w:rsidR="00D504CB" w:rsidRPr="0084045A">
        <w:rPr>
          <w:rFonts w:ascii="Arial" w:hAnsi="Arial" w:cs="Arial"/>
          <w:noProof/>
          <w:lang w:val="en-GB"/>
        </w:rPr>
        <w:t>analytic model</w:t>
      </w:r>
      <w:r w:rsidR="00FB6B80" w:rsidRPr="0084045A">
        <w:rPr>
          <w:rFonts w:ascii="Arial" w:hAnsi="Arial" w:cs="Arial"/>
          <w:noProof/>
          <w:lang w:val="en-GB"/>
        </w:rPr>
        <w:t xml:space="preserve"> used</w:t>
      </w:r>
      <w:r>
        <w:rPr>
          <w:rFonts w:ascii="Arial" w:hAnsi="Arial" w:cs="Arial"/>
          <w:noProof/>
          <w:lang w:val="en-GB"/>
        </w:rPr>
        <w:t xml:space="preserve"> was shown in </w:t>
      </w:r>
      <w:r w:rsidRPr="00DD713D">
        <w:rPr>
          <w:rFonts w:ascii="Arial" w:hAnsi="Arial" w:cs="Arial"/>
          <w:b/>
          <w:bCs/>
          <w:noProof/>
          <w:lang w:val="en-GB"/>
        </w:rPr>
        <w:t>Figure 1</w:t>
      </w:r>
      <w:r>
        <w:rPr>
          <w:rFonts w:ascii="Arial" w:hAnsi="Arial" w:cs="Arial"/>
          <w:noProof/>
          <w:lang w:val="en-GB"/>
        </w:rPr>
        <w:t xml:space="preserve"> of the main content</w:t>
      </w:r>
      <w:r w:rsidR="00FB6B80" w:rsidRPr="0084045A">
        <w:rPr>
          <w:rFonts w:ascii="Arial" w:hAnsi="Arial" w:cs="Arial"/>
          <w:noProof/>
          <w:lang w:val="en-GB"/>
        </w:rPr>
        <w:t>.</w:t>
      </w:r>
    </w:p>
    <w:p w14:paraId="524413D9" w14:textId="77777777" w:rsidR="00FB6B80" w:rsidRPr="0084045A" w:rsidRDefault="00FB6B80" w:rsidP="00FB6B80">
      <w:pPr>
        <w:rPr>
          <w:rFonts w:ascii="Arial" w:hAnsi="Arial" w:cs="Arial"/>
          <w:noProof/>
          <w:lang w:val="en-GB"/>
        </w:rPr>
      </w:pPr>
      <w:r w:rsidRPr="0084045A">
        <w:rPr>
          <w:rFonts w:ascii="Arial" w:hAnsi="Arial" w:cs="Arial"/>
          <w:noProof/>
          <w:lang w:val="en-GB"/>
        </w:rPr>
        <w:t>For cases from scenario 0 (symptomatic individuals who do not seek medical care), we followed the method of Molinari et al. [1], and considered the likelihood of seeking medical care for patients with low risk (</w:t>
      </w:r>
      <w:r w:rsidRPr="0084045A">
        <w:rPr>
          <w:rFonts w:ascii="Arial" w:hAnsi="Arial" w:cs="Arial"/>
          <w:b/>
          <w:bCs/>
          <w:noProof/>
          <w:lang w:val="en-GB"/>
        </w:rPr>
        <w:t>Table S2.5</w:t>
      </w:r>
      <w:r w:rsidRPr="0084045A">
        <w:rPr>
          <w:rFonts w:ascii="Arial" w:hAnsi="Arial" w:cs="Arial"/>
          <w:noProof/>
          <w:lang w:val="en-GB"/>
        </w:rPr>
        <w:t>).</w:t>
      </w:r>
    </w:p>
    <w:p w14:paraId="18BA4081" w14:textId="674111D6" w:rsidR="00FB6B80" w:rsidRPr="0084045A" w:rsidRDefault="00FB6B80" w:rsidP="00FB6B80">
      <w:pPr>
        <w:rPr>
          <w:rFonts w:ascii="Arial" w:hAnsi="Arial" w:cs="Arial"/>
          <w:noProof/>
          <w:lang w:val="en-GB"/>
        </w:rPr>
      </w:pPr>
      <w:r w:rsidRPr="0084045A">
        <w:rPr>
          <w:rFonts w:ascii="Arial" w:hAnsi="Arial" w:cs="Arial"/>
          <w:noProof/>
          <w:lang w:val="en-GB"/>
        </w:rPr>
        <w:t>For estimation of cases for scenarios either from ambulatory or inpatient care that do not end in death (1, 2, 4, 5</w:t>
      </w:r>
      <w:r w:rsidR="00083A8E" w:rsidRPr="0084045A">
        <w:rPr>
          <w:rFonts w:ascii="Arial" w:hAnsi="Arial" w:cs="Arial"/>
          <w:noProof/>
          <w:lang w:val="en-GB"/>
        </w:rPr>
        <w:t>,</w:t>
      </w:r>
      <w:r w:rsidRPr="0084045A">
        <w:rPr>
          <w:rFonts w:ascii="Arial" w:hAnsi="Arial" w:cs="Arial"/>
          <w:noProof/>
          <w:lang w:val="en-GB"/>
        </w:rPr>
        <w:t xml:space="preserve"> and 6), the likelihood of each scenario was calculated using data registered from health monitoring units at SISVEFLU. Within this database, there is a variable named “Evolution” where health professionals from monitoring units register, for each case, the code that corresponds to the health outcome of that case. </w:t>
      </w:r>
      <w:r w:rsidRPr="0084045A">
        <w:rPr>
          <w:rFonts w:ascii="Arial" w:hAnsi="Arial" w:cs="Arial"/>
          <w:b/>
          <w:bCs/>
          <w:noProof/>
          <w:lang w:val="en-GB"/>
        </w:rPr>
        <w:t>Table S2.6</w:t>
      </w:r>
      <w:r w:rsidRPr="0084045A">
        <w:rPr>
          <w:rFonts w:ascii="Arial" w:hAnsi="Arial" w:cs="Arial"/>
          <w:noProof/>
          <w:lang w:val="en-GB"/>
        </w:rPr>
        <w:t xml:space="preserve"> shows the different codes that were found in the database, and the scenario to which they were allocated.</w:t>
      </w:r>
    </w:p>
    <w:p w14:paraId="3C495215" w14:textId="7964A8B2" w:rsidR="00FB6B80" w:rsidRPr="0084045A" w:rsidRDefault="00FB6B80" w:rsidP="00FB6B80">
      <w:pPr>
        <w:rPr>
          <w:rFonts w:ascii="Arial" w:hAnsi="Arial" w:cs="Arial"/>
          <w:noProof/>
          <w:lang w:val="en-GB"/>
        </w:rPr>
      </w:pPr>
      <w:r w:rsidRPr="0084045A">
        <w:rPr>
          <w:rFonts w:ascii="Arial" w:hAnsi="Arial" w:cs="Arial"/>
          <w:noProof/>
          <w:lang w:val="en-GB"/>
        </w:rPr>
        <w:t xml:space="preserve">For scenarios either from ambulatory or inpatient care that resulted in death (3 and 7), the number of deaths was obtained directly from SISVEFLU. Hence, following this classification, all 50,900 cases from </w:t>
      </w:r>
      <w:r w:rsidR="00653C45" w:rsidRPr="0084045A">
        <w:rPr>
          <w:rFonts w:ascii="Arial" w:hAnsi="Arial" w:cs="Arial"/>
          <w:noProof/>
          <w:lang w:val="en-GB"/>
        </w:rPr>
        <w:t xml:space="preserve">9 seasons between 2009 and 2018 </w:t>
      </w:r>
      <w:r w:rsidRPr="0084045A">
        <w:rPr>
          <w:rFonts w:ascii="Arial" w:hAnsi="Arial" w:cs="Arial"/>
          <w:noProof/>
          <w:lang w:val="en-GB"/>
        </w:rPr>
        <w:t>were allocated to a single scenario and</w:t>
      </w:r>
      <w:r w:rsidR="00066DA9" w:rsidRPr="0084045A">
        <w:rPr>
          <w:rFonts w:ascii="Arial" w:hAnsi="Arial" w:cs="Arial"/>
          <w:noProof/>
          <w:lang w:val="en-GB"/>
        </w:rPr>
        <w:t>,</w:t>
      </w:r>
      <w:r w:rsidRPr="0084045A">
        <w:rPr>
          <w:rFonts w:ascii="Arial" w:hAnsi="Arial" w:cs="Arial"/>
          <w:noProof/>
          <w:lang w:val="en-GB"/>
        </w:rPr>
        <w:t xml:space="preserve"> based on the date of each case, they were allocated to the appropriate season (from 2009–2010 to 2017–2018; 433 cases that would correspond to season 2018–2019 were not used). Based on that, the likelihood of occurrence of each scenario for a typical influenza season was estimated, and these likelihoods were used to project national estimates of influenza. </w:t>
      </w:r>
      <w:r w:rsidRPr="0084045A">
        <w:rPr>
          <w:rFonts w:ascii="Arial" w:hAnsi="Arial" w:cs="Arial"/>
          <w:b/>
          <w:bCs/>
          <w:noProof/>
          <w:lang w:val="en-GB"/>
        </w:rPr>
        <w:t>Table S2.7</w:t>
      </w:r>
      <w:r w:rsidRPr="0084045A">
        <w:rPr>
          <w:rFonts w:ascii="Arial" w:hAnsi="Arial" w:cs="Arial"/>
          <w:noProof/>
          <w:lang w:val="en-GB"/>
        </w:rPr>
        <w:t xml:space="preserve"> shows classification of cases for each of the SISVEFLU codes previously described, whereas </w:t>
      </w:r>
      <w:r w:rsidRPr="0084045A">
        <w:rPr>
          <w:rFonts w:ascii="Arial" w:hAnsi="Arial" w:cs="Arial"/>
          <w:b/>
          <w:bCs/>
          <w:noProof/>
          <w:lang w:val="en-GB"/>
        </w:rPr>
        <w:t>Table S2.8</w:t>
      </w:r>
      <w:r w:rsidRPr="0084045A">
        <w:rPr>
          <w:rFonts w:ascii="Arial" w:hAnsi="Arial" w:cs="Arial"/>
          <w:noProof/>
          <w:lang w:val="en-GB"/>
        </w:rPr>
        <w:t xml:space="preserve"> shows the estimated number of cases per scenario and season.</w:t>
      </w:r>
    </w:p>
    <w:p w14:paraId="63DEB277" w14:textId="77777777" w:rsidR="00FB6B80" w:rsidRPr="0084045A" w:rsidRDefault="00FB6B80" w:rsidP="00FB6B80">
      <w:pPr>
        <w:rPr>
          <w:rFonts w:ascii="Arial" w:hAnsi="Arial" w:cs="Arial"/>
          <w:noProof/>
          <w:lang w:val="en-GB"/>
        </w:rPr>
      </w:pPr>
      <w:r w:rsidRPr="0084045A">
        <w:rPr>
          <w:rFonts w:ascii="Arial" w:hAnsi="Arial" w:cs="Arial"/>
          <w:noProof/>
          <w:lang w:val="en-GB"/>
        </w:rPr>
        <w:t xml:space="preserve">Finally, </w:t>
      </w:r>
      <w:r w:rsidRPr="0084045A">
        <w:rPr>
          <w:rFonts w:ascii="Arial" w:hAnsi="Arial" w:cs="Arial"/>
          <w:b/>
          <w:bCs/>
          <w:noProof/>
          <w:lang w:val="en-GB"/>
        </w:rPr>
        <w:t>Table S2.9</w:t>
      </w:r>
      <w:r w:rsidRPr="0084045A">
        <w:rPr>
          <w:rFonts w:ascii="Arial" w:hAnsi="Arial" w:cs="Arial"/>
          <w:noProof/>
          <w:lang w:val="en-GB"/>
        </w:rPr>
        <w:t xml:space="preserve"> shows the likelihood of occurrence of each scenario for a typical season. </w:t>
      </w:r>
    </w:p>
    <w:p w14:paraId="717159F7" w14:textId="77777777" w:rsidR="00FB6B80" w:rsidRPr="0084045A" w:rsidRDefault="00FB6B80" w:rsidP="00FB6B80">
      <w:pPr>
        <w:spacing w:after="0" w:line="480" w:lineRule="auto"/>
        <w:rPr>
          <w:rFonts w:ascii="Arial" w:hAnsi="Arial" w:cs="Arial"/>
          <w:b/>
          <w:bCs/>
          <w:noProof/>
          <w:sz w:val="24"/>
          <w:szCs w:val="24"/>
          <w:lang w:val="en-GB"/>
        </w:rPr>
      </w:pPr>
      <w:r w:rsidRPr="0084045A">
        <w:rPr>
          <w:rFonts w:ascii="Arial" w:hAnsi="Arial" w:cs="Arial"/>
          <w:b/>
          <w:bCs/>
          <w:noProof/>
          <w:sz w:val="24"/>
          <w:szCs w:val="24"/>
          <w:lang w:val="en-GB"/>
        </w:rPr>
        <w:t>Reference for Text S2</w:t>
      </w:r>
    </w:p>
    <w:p w14:paraId="249557A9" w14:textId="77777777" w:rsidR="00FB6B80" w:rsidRPr="0084045A" w:rsidRDefault="00FB6B80" w:rsidP="00333403">
      <w:pPr>
        <w:pStyle w:val="Prrafodelista"/>
        <w:numPr>
          <w:ilvl w:val="0"/>
          <w:numId w:val="65"/>
        </w:numPr>
        <w:spacing w:after="0" w:line="240" w:lineRule="auto"/>
        <w:ind w:left="1066" w:hanging="706"/>
        <w:rPr>
          <w:rFonts w:ascii="Arial" w:hAnsi="Arial" w:cs="Arial"/>
          <w:noProof/>
          <w:sz w:val="24"/>
          <w:szCs w:val="24"/>
          <w:lang w:val="en-GB"/>
        </w:rPr>
      </w:pPr>
      <w:r w:rsidRPr="0084045A">
        <w:rPr>
          <w:rFonts w:ascii="Arial" w:hAnsi="Arial" w:cs="Arial"/>
          <w:noProof/>
          <w:sz w:val="24"/>
          <w:szCs w:val="24"/>
          <w:lang w:val="en-GB"/>
        </w:rPr>
        <w:t>Molinari NA, Ortega-Sanchez IR, Messonnier ML, Thompson WW, Wortley PM, Weintraub E, Bridges CB. The annual impact of seasonal influenza in the US: Measuring disease burden and costs. Vaccine. 2007;25:5086-96.</w:t>
      </w:r>
    </w:p>
    <w:p w14:paraId="1050BCD9" w14:textId="77777777" w:rsidR="00FB6B80" w:rsidRPr="0084045A" w:rsidRDefault="00FB6B80" w:rsidP="00FB6B80">
      <w:pPr>
        <w:pStyle w:val="Prrafodelista"/>
        <w:spacing w:after="0" w:line="480" w:lineRule="auto"/>
        <w:ind w:left="1065"/>
        <w:rPr>
          <w:rFonts w:ascii="Arial" w:hAnsi="Arial" w:cs="Arial"/>
          <w:noProof/>
          <w:sz w:val="24"/>
          <w:szCs w:val="24"/>
          <w:lang w:val="en-GB"/>
        </w:rPr>
      </w:pPr>
    </w:p>
    <w:p w14:paraId="6F1CFF04" w14:textId="77777777" w:rsidR="00091A14" w:rsidRPr="0084045A" w:rsidRDefault="00091A14">
      <w:pPr>
        <w:rPr>
          <w:rFonts w:ascii="Arial" w:hAnsi="Arial" w:cs="Arial"/>
          <w:b/>
          <w:i/>
          <w:iCs/>
          <w:noProof/>
          <w:color w:val="000000" w:themeColor="text1"/>
          <w:lang w:val="en-GB"/>
        </w:rPr>
      </w:pPr>
      <w:r w:rsidRPr="0084045A">
        <w:rPr>
          <w:rFonts w:ascii="Arial" w:hAnsi="Arial" w:cs="Arial"/>
          <w:b/>
          <w:i/>
          <w:iCs/>
          <w:noProof/>
          <w:color w:val="000000" w:themeColor="text1"/>
          <w:lang w:val="en-GB"/>
        </w:rPr>
        <w:br w:type="page"/>
      </w:r>
    </w:p>
    <w:p w14:paraId="04698B21" w14:textId="23EDA699" w:rsidR="00FB6B80" w:rsidRPr="0084045A" w:rsidRDefault="00FB6B80" w:rsidP="0026691C">
      <w:pPr>
        <w:pStyle w:val="Ttulo2"/>
        <w:rPr>
          <w:noProof/>
          <w:lang w:val="en-GB"/>
        </w:rPr>
      </w:pPr>
      <w:r w:rsidRPr="0084045A">
        <w:rPr>
          <w:noProof/>
          <w:lang w:val="en-GB"/>
        </w:rPr>
        <w:lastRenderedPageBreak/>
        <w:t>Table S2.1. Confirmed cases of influenza per season and institution, all ages</w:t>
      </w:r>
    </w:p>
    <w:tbl>
      <w:tblPr>
        <w:tblW w:w="8505" w:type="dxa"/>
        <w:tblCellMar>
          <w:left w:w="70" w:type="dxa"/>
          <w:right w:w="70" w:type="dxa"/>
        </w:tblCellMar>
        <w:tblLook w:val="04A0" w:firstRow="1" w:lastRow="0" w:firstColumn="1" w:lastColumn="0" w:noHBand="0" w:noVBand="1"/>
      </w:tblPr>
      <w:tblGrid>
        <w:gridCol w:w="2300"/>
        <w:gridCol w:w="591"/>
        <w:gridCol w:w="653"/>
        <w:gridCol w:w="591"/>
        <w:gridCol w:w="591"/>
        <w:gridCol w:w="591"/>
        <w:gridCol w:w="591"/>
        <w:gridCol w:w="591"/>
        <w:gridCol w:w="591"/>
        <w:gridCol w:w="591"/>
        <w:gridCol w:w="824"/>
      </w:tblGrid>
      <w:tr w:rsidR="00FB6B80" w:rsidRPr="0084045A" w14:paraId="79BEDCD6" w14:textId="77777777" w:rsidTr="00333403">
        <w:trPr>
          <w:trHeight w:val="1157"/>
        </w:trPr>
        <w:tc>
          <w:tcPr>
            <w:tcW w:w="2300" w:type="dxa"/>
            <w:tcBorders>
              <w:top w:val="nil"/>
              <w:left w:val="nil"/>
              <w:bottom w:val="single" w:sz="8" w:space="0" w:color="auto"/>
              <w:right w:val="nil"/>
            </w:tcBorders>
            <w:shd w:val="clear" w:color="auto" w:fill="auto"/>
            <w:noWrap/>
            <w:vAlign w:val="center"/>
            <w:hideMark/>
          </w:tcPr>
          <w:p w14:paraId="600B309A" w14:textId="77777777" w:rsidR="00FB6B80" w:rsidRPr="0084045A" w:rsidRDefault="00FB6B80" w:rsidP="00333403">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INSTITUTION</w:t>
            </w:r>
          </w:p>
        </w:tc>
        <w:tc>
          <w:tcPr>
            <w:tcW w:w="591" w:type="dxa"/>
            <w:tcBorders>
              <w:top w:val="nil"/>
              <w:left w:val="nil"/>
              <w:bottom w:val="single" w:sz="8" w:space="0" w:color="auto"/>
              <w:right w:val="nil"/>
            </w:tcBorders>
            <w:shd w:val="clear" w:color="auto" w:fill="auto"/>
            <w:noWrap/>
            <w:textDirection w:val="btLr"/>
            <w:vAlign w:val="center"/>
            <w:hideMark/>
          </w:tcPr>
          <w:p w14:paraId="285465F4" w14:textId="4543B6A8"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2009</w:t>
            </w:r>
            <w:r w:rsidR="006453EA"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010</w:t>
            </w:r>
          </w:p>
        </w:tc>
        <w:tc>
          <w:tcPr>
            <w:tcW w:w="653" w:type="dxa"/>
            <w:tcBorders>
              <w:top w:val="nil"/>
              <w:left w:val="nil"/>
              <w:bottom w:val="single" w:sz="8" w:space="0" w:color="auto"/>
              <w:right w:val="nil"/>
            </w:tcBorders>
            <w:shd w:val="clear" w:color="auto" w:fill="auto"/>
            <w:noWrap/>
            <w:textDirection w:val="btLr"/>
            <w:vAlign w:val="center"/>
            <w:hideMark/>
          </w:tcPr>
          <w:p w14:paraId="48D80B98" w14:textId="51C326F8"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2010</w:t>
            </w:r>
            <w:r w:rsidR="006453EA"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2011</w:t>
            </w:r>
          </w:p>
        </w:tc>
        <w:tc>
          <w:tcPr>
            <w:tcW w:w="591" w:type="dxa"/>
            <w:tcBorders>
              <w:top w:val="nil"/>
              <w:left w:val="nil"/>
              <w:bottom w:val="single" w:sz="8" w:space="0" w:color="auto"/>
              <w:right w:val="nil"/>
            </w:tcBorders>
            <w:shd w:val="clear" w:color="auto" w:fill="auto"/>
            <w:noWrap/>
            <w:textDirection w:val="btLr"/>
            <w:vAlign w:val="center"/>
            <w:hideMark/>
          </w:tcPr>
          <w:p w14:paraId="2341AAC6" w14:textId="46BACD10"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2011</w:t>
            </w:r>
            <w:r w:rsidR="006453EA"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2012</w:t>
            </w:r>
          </w:p>
        </w:tc>
        <w:tc>
          <w:tcPr>
            <w:tcW w:w="591" w:type="dxa"/>
            <w:tcBorders>
              <w:top w:val="nil"/>
              <w:left w:val="nil"/>
              <w:bottom w:val="single" w:sz="8" w:space="0" w:color="auto"/>
              <w:right w:val="nil"/>
            </w:tcBorders>
            <w:shd w:val="clear" w:color="auto" w:fill="auto"/>
            <w:noWrap/>
            <w:textDirection w:val="btLr"/>
            <w:vAlign w:val="center"/>
            <w:hideMark/>
          </w:tcPr>
          <w:p w14:paraId="29413EA1" w14:textId="0759B7E8"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2012</w:t>
            </w:r>
            <w:r w:rsidR="006453EA"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2013</w:t>
            </w:r>
          </w:p>
        </w:tc>
        <w:tc>
          <w:tcPr>
            <w:tcW w:w="591" w:type="dxa"/>
            <w:tcBorders>
              <w:top w:val="nil"/>
              <w:left w:val="nil"/>
              <w:bottom w:val="single" w:sz="8" w:space="0" w:color="auto"/>
              <w:right w:val="nil"/>
            </w:tcBorders>
            <w:shd w:val="clear" w:color="auto" w:fill="auto"/>
            <w:noWrap/>
            <w:textDirection w:val="btLr"/>
            <w:vAlign w:val="center"/>
            <w:hideMark/>
          </w:tcPr>
          <w:p w14:paraId="470C7204" w14:textId="17F0F1A3"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2013</w:t>
            </w:r>
            <w:r w:rsidR="006453EA"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2014</w:t>
            </w:r>
          </w:p>
        </w:tc>
        <w:tc>
          <w:tcPr>
            <w:tcW w:w="591" w:type="dxa"/>
            <w:tcBorders>
              <w:top w:val="nil"/>
              <w:left w:val="nil"/>
              <w:bottom w:val="single" w:sz="8" w:space="0" w:color="auto"/>
              <w:right w:val="nil"/>
            </w:tcBorders>
            <w:shd w:val="clear" w:color="auto" w:fill="auto"/>
            <w:noWrap/>
            <w:textDirection w:val="btLr"/>
            <w:vAlign w:val="center"/>
            <w:hideMark/>
          </w:tcPr>
          <w:p w14:paraId="437EE0E4" w14:textId="1172B01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2014</w:t>
            </w:r>
            <w:r w:rsidR="006453EA"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2015</w:t>
            </w:r>
          </w:p>
        </w:tc>
        <w:tc>
          <w:tcPr>
            <w:tcW w:w="591" w:type="dxa"/>
            <w:tcBorders>
              <w:top w:val="nil"/>
              <w:left w:val="nil"/>
              <w:bottom w:val="single" w:sz="8" w:space="0" w:color="auto"/>
              <w:right w:val="nil"/>
            </w:tcBorders>
            <w:shd w:val="clear" w:color="auto" w:fill="auto"/>
            <w:noWrap/>
            <w:textDirection w:val="btLr"/>
            <w:vAlign w:val="center"/>
            <w:hideMark/>
          </w:tcPr>
          <w:p w14:paraId="758651B5" w14:textId="77DA2CD5"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2015</w:t>
            </w:r>
            <w:r w:rsidR="006453EA"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2016</w:t>
            </w:r>
          </w:p>
        </w:tc>
        <w:tc>
          <w:tcPr>
            <w:tcW w:w="591" w:type="dxa"/>
            <w:tcBorders>
              <w:top w:val="nil"/>
              <w:left w:val="nil"/>
              <w:bottom w:val="single" w:sz="8" w:space="0" w:color="auto"/>
              <w:right w:val="nil"/>
            </w:tcBorders>
            <w:shd w:val="clear" w:color="auto" w:fill="auto"/>
            <w:noWrap/>
            <w:textDirection w:val="btLr"/>
            <w:vAlign w:val="center"/>
            <w:hideMark/>
          </w:tcPr>
          <w:p w14:paraId="3CF98683" w14:textId="07F6D65A"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2016</w:t>
            </w:r>
            <w:r w:rsidR="006453EA"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2017</w:t>
            </w:r>
          </w:p>
        </w:tc>
        <w:tc>
          <w:tcPr>
            <w:tcW w:w="591" w:type="dxa"/>
            <w:tcBorders>
              <w:top w:val="nil"/>
              <w:left w:val="nil"/>
              <w:bottom w:val="single" w:sz="8" w:space="0" w:color="auto"/>
              <w:right w:val="nil"/>
            </w:tcBorders>
            <w:shd w:val="clear" w:color="auto" w:fill="auto"/>
            <w:noWrap/>
            <w:textDirection w:val="btLr"/>
            <w:vAlign w:val="center"/>
            <w:hideMark/>
          </w:tcPr>
          <w:p w14:paraId="4BAA2FDF" w14:textId="2389EE9F"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2017</w:t>
            </w:r>
            <w:r w:rsidR="006453EA"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2018</w:t>
            </w:r>
          </w:p>
        </w:tc>
        <w:tc>
          <w:tcPr>
            <w:tcW w:w="824" w:type="dxa"/>
            <w:tcBorders>
              <w:top w:val="nil"/>
              <w:left w:val="nil"/>
              <w:bottom w:val="single" w:sz="8" w:space="0" w:color="auto"/>
              <w:right w:val="nil"/>
            </w:tcBorders>
            <w:textDirection w:val="btLr"/>
            <w:vAlign w:val="center"/>
          </w:tcPr>
          <w:p w14:paraId="5AFB6782"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TOTAL PER INSTITUTION</w:t>
            </w:r>
          </w:p>
        </w:tc>
      </w:tr>
      <w:tr w:rsidR="00FB6B80" w:rsidRPr="0084045A" w14:paraId="6C368725"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2A2AEC30"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SSA</w:t>
            </w:r>
          </w:p>
        </w:tc>
        <w:tc>
          <w:tcPr>
            <w:tcW w:w="591" w:type="dxa"/>
            <w:tcBorders>
              <w:top w:val="nil"/>
              <w:left w:val="nil"/>
              <w:bottom w:val="single" w:sz="4" w:space="0" w:color="auto"/>
              <w:right w:val="nil"/>
            </w:tcBorders>
            <w:shd w:val="clear" w:color="auto" w:fill="auto"/>
            <w:noWrap/>
            <w:vAlign w:val="center"/>
            <w:hideMark/>
          </w:tcPr>
          <w:p w14:paraId="4BB3BD63" w14:textId="7D941EE0"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1447</w:t>
            </w:r>
          </w:p>
        </w:tc>
        <w:tc>
          <w:tcPr>
            <w:tcW w:w="653" w:type="dxa"/>
            <w:tcBorders>
              <w:top w:val="nil"/>
              <w:left w:val="nil"/>
              <w:bottom w:val="single" w:sz="4" w:space="0" w:color="auto"/>
              <w:right w:val="nil"/>
            </w:tcBorders>
            <w:shd w:val="clear" w:color="auto" w:fill="auto"/>
            <w:noWrap/>
            <w:vAlign w:val="center"/>
            <w:hideMark/>
          </w:tcPr>
          <w:p w14:paraId="49755189" w14:textId="367184C4"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2379</w:t>
            </w:r>
          </w:p>
        </w:tc>
        <w:tc>
          <w:tcPr>
            <w:tcW w:w="591" w:type="dxa"/>
            <w:tcBorders>
              <w:top w:val="nil"/>
              <w:left w:val="nil"/>
              <w:bottom w:val="single" w:sz="4" w:space="0" w:color="auto"/>
              <w:right w:val="nil"/>
            </w:tcBorders>
            <w:shd w:val="clear" w:color="auto" w:fill="auto"/>
            <w:noWrap/>
            <w:vAlign w:val="center"/>
            <w:hideMark/>
          </w:tcPr>
          <w:p w14:paraId="34C5D50E" w14:textId="3BFF23C0"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4677</w:t>
            </w:r>
          </w:p>
        </w:tc>
        <w:tc>
          <w:tcPr>
            <w:tcW w:w="591" w:type="dxa"/>
            <w:tcBorders>
              <w:top w:val="nil"/>
              <w:left w:val="nil"/>
              <w:bottom w:val="single" w:sz="4" w:space="0" w:color="auto"/>
              <w:right w:val="nil"/>
            </w:tcBorders>
            <w:shd w:val="clear" w:color="auto" w:fill="auto"/>
            <w:noWrap/>
            <w:vAlign w:val="center"/>
            <w:hideMark/>
          </w:tcPr>
          <w:p w14:paraId="248B3D39" w14:textId="460B60B4"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2292</w:t>
            </w:r>
          </w:p>
        </w:tc>
        <w:tc>
          <w:tcPr>
            <w:tcW w:w="591" w:type="dxa"/>
            <w:tcBorders>
              <w:top w:val="nil"/>
              <w:left w:val="nil"/>
              <w:bottom w:val="single" w:sz="4" w:space="0" w:color="auto"/>
              <w:right w:val="nil"/>
            </w:tcBorders>
            <w:shd w:val="clear" w:color="auto" w:fill="auto"/>
            <w:noWrap/>
            <w:vAlign w:val="center"/>
            <w:hideMark/>
          </w:tcPr>
          <w:p w14:paraId="0CB883F5" w14:textId="3D89BF12"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4775</w:t>
            </w:r>
          </w:p>
        </w:tc>
        <w:tc>
          <w:tcPr>
            <w:tcW w:w="591" w:type="dxa"/>
            <w:tcBorders>
              <w:top w:val="nil"/>
              <w:left w:val="nil"/>
              <w:bottom w:val="single" w:sz="4" w:space="0" w:color="auto"/>
              <w:right w:val="nil"/>
            </w:tcBorders>
            <w:shd w:val="clear" w:color="auto" w:fill="auto"/>
            <w:noWrap/>
            <w:vAlign w:val="center"/>
            <w:hideMark/>
          </w:tcPr>
          <w:p w14:paraId="1DAB1616" w14:textId="6873DBAB"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1838</w:t>
            </w:r>
          </w:p>
        </w:tc>
        <w:tc>
          <w:tcPr>
            <w:tcW w:w="591" w:type="dxa"/>
            <w:tcBorders>
              <w:top w:val="nil"/>
              <w:left w:val="nil"/>
              <w:bottom w:val="single" w:sz="4" w:space="0" w:color="auto"/>
              <w:right w:val="nil"/>
            </w:tcBorders>
            <w:shd w:val="clear" w:color="auto" w:fill="auto"/>
            <w:noWrap/>
            <w:vAlign w:val="center"/>
            <w:hideMark/>
          </w:tcPr>
          <w:p w14:paraId="477B19CA" w14:textId="3FBF2FEC"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5155</w:t>
            </w:r>
          </w:p>
        </w:tc>
        <w:tc>
          <w:tcPr>
            <w:tcW w:w="591" w:type="dxa"/>
            <w:tcBorders>
              <w:top w:val="nil"/>
              <w:left w:val="nil"/>
              <w:bottom w:val="single" w:sz="4" w:space="0" w:color="auto"/>
              <w:right w:val="nil"/>
            </w:tcBorders>
            <w:shd w:val="clear" w:color="auto" w:fill="auto"/>
            <w:noWrap/>
            <w:vAlign w:val="center"/>
            <w:hideMark/>
          </w:tcPr>
          <w:p w14:paraId="58994561" w14:textId="249E53CB"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3068</w:t>
            </w:r>
          </w:p>
        </w:tc>
        <w:tc>
          <w:tcPr>
            <w:tcW w:w="591" w:type="dxa"/>
            <w:tcBorders>
              <w:top w:val="nil"/>
              <w:left w:val="nil"/>
              <w:bottom w:val="single" w:sz="4" w:space="0" w:color="auto"/>
              <w:right w:val="nil"/>
            </w:tcBorders>
            <w:shd w:val="clear" w:color="auto" w:fill="auto"/>
            <w:noWrap/>
            <w:vAlign w:val="center"/>
            <w:hideMark/>
          </w:tcPr>
          <w:p w14:paraId="0B0782C4" w14:textId="69014B2A"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2173</w:t>
            </w:r>
          </w:p>
        </w:tc>
        <w:tc>
          <w:tcPr>
            <w:tcW w:w="824" w:type="dxa"/>
            <w:tcBorders>
              <w:top w:val="nil"/>
              <w:left w:val="nil"/>
              <w:bottom w:val="single" w:sz="4" w:space="0" w:color="auto"/>
              <w:right w:val="nil"/>
            </w:tcBorders>
            <w:vAlign w:val="center"/>
          </w:tcPr>
          <w:p w14:paraId="3A305B9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27,804</w:t>
            </w:r>
          </w:p>
        </w:tc>
      </w:tr>
      <w:tr w:rsidR="00FB6B80" w:rsidRPr="0084045A" w14:paraId="323125FF"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02EB87BD"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IMSS</w:t>
            </w:r>
          </w:p>
        </w:tc>
        <w:tc>
          <w:tcPr>
            <w:tcW w:w="591" w:type="dxa"/>
            <w:tcBorders>
              <w:top w:val="nil"/>
              <w:left w:val="nil"/>
              <w:bottom w:val="single" w:sz="4" w:space="0" w:color="auto"/>
              <w:right w:val="nil"/>
            </w:tcBorders>
            <w:shd w:val="clear" w:color="auto" w:fill="auto"/>
            <w:noWrap/>
            <w:vAlign w:val="center"/>
            <w:hideMark/>
          </w:tcPr>
          <w:p w14:paraId="20C3035A" w14:textId="71AD81D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1008</w:t>
            </w:r>
          </w:p>
        </w:tc>
        <w:tc>
          <w:tcPr>
            <w:tcW w:w="653" w:type="dxa"/>
            <w:tcBorders>
              <w:top w:val="nil"/>
              <w:left w:val="nil"/>
              <w:bottom w:val="single" w:sz="4" w:space="0" w:color="auto"/>
              <w:right w:val="nil"/>
            </w:tcBorders>
            <w:shd w:val="clear" w:color="auto" w:fill="auto"/>
            <w:noWrap/>
            <w:vAlign w:val="center"/>
            <w:hideMark/>
          </w:tcPr>
          <w:p w14:paraId="7464552F" w14:textId="285B116A"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1675</w:t>
            </w:r>
          </w:p>
        </w:tc>
        <w:tc>
          <w:tcPr>
            <w:tcW w:w="591" w:type="dxa"/>
            <w:tcBorders>
              <w:top w:val="nil"/>
              <w:left w:val="nil"/>
              <w:bottom w:val="single" w:sz="4" w:space="0" w:color="auto"/>
              <w:right w:val="nil"/>
            </w:tcBorders>
            <w:shd w:val="clear" w:color="auto" w:fill="auto"/>
            <w:noWrap/>
            <w:vAlign w:val="center"/>
            <w:hideMark/>
          </w:tcPr>
          <w:p w14:paraId="4824D37A" w14:textId="48B7D02C"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1809</w:t>
            </w:r>
          </w:p>
        </w:tc>
        <w:tc>
          <w:tcPr>
            <w:tcW w:w="591" w:type="dxa"/>
            <w:tcBorders>
              <w:top w:val="nil"/>
              <w:left w:val="nil"/>
              <w:bottom w:val="single" w:sz="4" w:space="0" w:color="auto"/>
              <w:right w:val="nil"/>
            </w:tcBorders>
            <w:shd w:val="clear" w:color="auto" w:fill="auto"/>
            <w:noWrap/>
            <w:vAlign w:val="center"/>
            <w:hideMark/>
          </w:tcPr>
          <w:p w14:paraId="47D1BC46" w14:textId="4EB9F875"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1000</w:t>
            </w:r>
          </w:p>
        </w:tc>
        <w:tc>
          <w:tcPr>
            <w:tcW w:w="591" w:type="dxa"/>
            <w:tcBorders>
              <w:top w:val="nil"/>
              <w:left w:val="nil"/>
              <w:bottom w:val="single" w:sz="4" w:space="0" w:color="auto"/>
              <w:right w:val="nil"/>
            </w:tcBorders>
            <w:shd w:val="clear" w:color="auto" w:fill="auto"/>
            <w:noWrap/>
            <w:vAlign w:val="center"/>
            <w:hideMark/>
          </w:tcPr>
          <w:p w14:paraId="543091CF" w14:textId="4F7D7D7D"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3210</w:t>
            </w:r>
          </w:p>
        </w:tc>
        <w:tc>
          <w:tcPr>
            <w:tcW w:w="591" w:type="dxa"/>
            <w:tcBorders>
              <w:top w:val="nil"/>
              <w:left w:val="nil"/>
              <w:bottom w:val="single" w:sz="4" w:space="0" w:color="auto"/>
              <w:right w:val="nil"/>
            </w:tcBorders>
            <w:shd w:val="clear" w:color="auto" w:fill="auto"/>
            <w:noWrap/>
            <w:vAlign w:val="center"/>
            <w:hideMark/>
          </w:tcPr>
          <w:p w14:paraId="66569DDF" w14:textId="1C440E36"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1075</w:t>
            </w:r>
          </w:p>
        </w:tc>
        <w:tc>
          <w:tcPr>
            <w:tcW w:w="591" w:type="dxa"/>
            <w:tcBorders>
              <w:top w:val="nil"/>
              <w:left w:val="nil"/>
              <w:bottom w:val="single" w:sz="4" w:space="0" w:color="auto"/>
              <w:right w:val="nil"/>
            </w:tcBorders>
            <w:shd w:val="clear" w:color="auto" w:fill="auto"/>
            <w:noWrap/>
            <w:vAlign w:val="center"/>
            <w:hideMark/>
          </w:tcPr>
          <w:p w14:paraId="23F34E87" w14:textId="79E1F35F"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3470</w:t>
            </w:r>
          </w:p>
        </w:tc>
        <w:tc>
          <w:tcPr>
            <w:tcW w:w="591" w:type="dxa"/>
            <w:tcBorders>
              <w:top w:val="nil"/>
              <w:left w:val="nil"/>
              <w:bottom w:val="single" w:sz="4" w:space="0" w:color="auto"/>
              <w:right w:val="nil"/>
            </w:tcBorders>
            <w:shd w:val="clear" w:color="auto" w:fill="auto"/>
            <w:noWrap/>
            <w:vAlign w:val="center"/>
            <w:hideMark/>
          </w:tcPr>
          <w:p w14:paraId="481854B4" w14:textId="6C4287D5"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2605</w:t>
            </w:r>
          </w:p>
        </w:tc>
        <w:tc>
          <w:tcPr>
            <w:tcW w:w="591" w:type="dxa"/>
            <w:tcBorders>
              <w:top w:val="nil"/>
              <w:left w:val="nil"/>
              <w:bottom w:val="single" w:sz="4" w:space="0" w:color="auto"/>
              <w:right w:val="nil"/>
            </w:tcBorders>
            <w:shd w:val="clear" w:color="auto" w:fill="auto"/>
            <w:noWrap/>
            <w:vAlign w:val="center"/>
            <w:hideMark/>
          </w:tcPr>
          <w:p w14:paraId="6876580D" w14:textId="4F61EE0A"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1688</w:t>
            </w:r>
          </w:p>
        </w:tc>
        <w:tc>
          <w:tcPr>
            <w:tcW w:w="824" w:type="dxa"/>
            <w:tcBorders>
              <w:top w:val="nil"/>
              <w:left w:val="nil"/>
              <w:bottom w:val="single" w:sz="4" w:space="0" w:color="auto"/>
              <w:right w:val="nil"/>
            </w:tcBorders>
            <w:vAlign w:val="center"/>
          </w:tcPr>
          <w:p w14:paraId="1F1CE2A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17,540</w:t>
            </w:r>
          </w:p>
        </w:tc>
      </w:tr>
      <w:tr w:rsidR="00FB6B80" w:rsidRPr="0084045A" w14:paraId="03110BA1"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228B79FC"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ISSSTE</w:t>
            </w:r>
          </w:p>
        </w:tc>
        <w:tc>
          <w:tcPr>
            <w:tcW w:w="591" w:type="dxa"/>
            <w:tcBorders>
              <w:top w:val="nil"/>
              <w:left w:val="nil"/>
              <w:bottom w:val="single" w:sz="4" w:space="0" w:color="auto"/>
              <w:right w:val="nil"/>
            </w:tcBorders>
            <w:shd w:val="clear" w:color="auto" w:fill="auto"/>
            <w:noWrap/>
            <w:vAlign w:val="center"/>
            <w:hideMark/>
          </w:tcPr>
          <w:p w14:paraId="5BD383E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97</w:t>
            </w:r>
          </w:p>
        </w:tc>
        <w:tc>
          <w:tcPr>
            <w:tcW w:w="653" w:type="dxa"/>
            <w:tcBorders>
              <w:top w:val="nil"/>
              <w:left w:val="nil"/>
              <w:bottom w:val="single" w:sz="4" w:space="0" w:color="auto"/>
              <w:right w:val="nil"/>
            </w:tcBorders>
            <w:shd w:val="clear" w:color="auto" w:fill="auto"/>
            <w:noWrap/>
            <w:vAlign w:val="center"/>
            <w:hideMark/>
          </w:tcPr>
          <w:p w14:paraId="5C78EA9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45</w:t>
            </w:r>
          </w:p>
        </w:tc>
        <w:tc>
          <w:tcPr>
            <w:tcW w:w="591" w:type="dxa"/>
            <w:tcBorders>
              <w:top w:val="nil"/>
              <w:left w:val="nil"/>
              <w:bottom w:val="single" w:sz="4" w:space="0" w:color="auto"/>
              <w:right w:val="nil"/>
            </w:tcBorders>
            <w:shd w:val="clear" w:color="auto" w:fill="auto"/>
            <w:noWrap/>
            <w:vAlign w:val="center"/>
            <w:hideMark/>
          </w:tcPr>
          <w:p w14:paraId="25CCBEB5"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346</w:t>
            </w:r>
          </w:p>
        </w:tc>
        <w:tc>
          <w:tcPr>
            <w:tcW w:w="591" w:type="dxa"/>
            <w:tcBorders>
              <w:top w:val="nil"/>
              <w:left w:val="nil"/>
              <w:bottom w:val="single" w:sz="4" w:space="0" w:color="auto"/>
              <w:right w:val="nil"/>
            </w:tcBorders>
            <w:shd w:val="clear" w:color="auto" w:fill="auto"/>
            <w:noWrap/>
            <w:vAlign w:val="center"/>
            <w:hideMark/>
          </w:tcPr>
          <w:p w14:paraId="3ABCF86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133</w:t>
            </w:r>
          </w:p>
        </w:tc>
        <w:tc>
          <w:tcPr>
            <w:tcW w:w="591" w:type="dxa"/>
            <w:tcBorders>
              <w:top w:val="nil"/>
              <w:left w:val="nil"/>
              <w:bottom w:val="single" w:sz="4" w:space="0" w:color="auto"/>
              <w:right w:val="nil"/>
            </w:tcBorders>
            <w:shd w:val="clear" w:color="auto" w:fill="auto"/>
            <w:noWrap/>
            <w:vAlign w:val="center"/>
            <w:hideMark/>
          </w:tcPr>
          <w:p w14:paraId="7E92484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818</w:t>
            </w:r>
          </w:p>
        </w:tc>
        <w:tc>
          <w:tcPr>
            <w:tcW w:w="591" w:type="dxa"/>
            <w:tcBorders>
              <w:top w:val="nil"/>
              <w:left w:val="nil"/>
              <w:bottom w:val="single" w:sz="4" w:space="0" w:color="auto"/>
              <w:right w:val="nil"/>
            </w:tcBorders>
            <w:shd w:val="clear" w:color="auto" w:fill="auto"/>
            <w:noWrap/>
            <w:vAlign w:val="center"/>
            <w:hideMark/>
          </w:tcPr>
          <w:p w14:paraId="4CECBDB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189</w:t>
            </w:r>
          </w:p>
        </w:tc>
        <w:tc>
          <w:tcPr>
            <w:tcW w:w="591" w:type="dxa"/>
            <w:tcBorders>
              <w:top w:val="nil"/>
              <w:left w:val="nil"/>
              <w:bottom w:val="single" w:sz="4" w:space="0" w:color="auto"/>
              <w:right w:val="nil"/>
            </w:tcBorders>
            <w:shd w:val="clear" w:color="auto" w:fill="auto"/>
            <w:noWrap/>
            <w:vAlign w:val="center"/>
            <w:hideMark/>
          </w:tcPr>
          <w:p w14:paraId="3136E62E"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656</w:t>
            </w:r>
          </w:p>
        </w:tc>
        <w:tc>
          <w:tcPr>
            <w:tcW w:w="591" w:type="dxa"/>
            <w:tcBorders>
              <w:top w:val="nil"/>
              <w:left w:val="nil"/>
              <w:bottom w:val="single" w:sz="4" w:space="0" w:color="auto"/>
              <w:right w:val="nil"/>
            </w:tcBorders>
            <w:shd w:val="clear" w:color="auto" w:fill="auto"/>
            <w:noWrap/>
            <w:vAlign w:val="center"/>
            <w:hideMark/>
          </w:tcPr>
          <w:p w14:paraId="22293E3E"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550</w:t>
            </w:r>
          </w:p>
        </w:tc>
        <w:tc>
          <w:tcPr>
            <w:tcW w:w="591" w:type="dxa"/>
            <w:tcBorders>
              <w:top w:val="nil"/>
              <w:left w:val="nil"/>
              <w:bottom w:val="single" w:sz="4" w:space="0" w:color="auto"/>
              <w:right w:val="nil"/>
            </w:tcBorders>
            <w:shd w:val="clear" w:color="auto" w:fill="auto"/>
            <w:noWrap/>
            <w:vAlign w:val="center"/>
            <w:hideMark/>
          </w:tcPr>
          <w:p w14:paraId="2345879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316</w:t>
            </w:r>
          </w:p>
        </w:tc>
        <w:tc>
          <w:tcPr>
            <w:tcW w:w="824" w:type="dxa"/>
            <w:tcBorders>
              <w:top w:val="nil"/>
              <w:left w:val="nil"/>
              <w:bottom w:val="single" w:sz="4" w:space="0" w:color="auto"/>
              <w:right w:val="nil"/>
            </w:tcBorders>
            <w:vAlign w:val="center"/>
          </w:tcPr>
          <w:p w14:paraId="3D6FBF77" w14:textId="7AF5D29E"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3150</w:t>
            </w:r>
          </w:p>
        </w:tc>
      </w:tr>
      <w:tr w:rsidR="00FB6B80" w:rsidRPr="0084045A" w14:paraId="15AAABF9"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3FF7D955"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IMSS-OPORTUNIDADES</w:t>
            </w:r>
          </w:p>
        </w:tc>
        <w:tc>
          <w:tcPr>
            <w:tcW w:w="591" w:type="dxa"/>
            <w:tcBorders>
              <w:top w:val="nil"/>
              <w:left w:val="nil"/>
              <w:bottom w:val="single" w:sz="4" w:space="0" w:color="auto"/>
              <w:right w:val="nil"/>
            </w:tcBorders>
            <w:shd w:val="clear" w:color="auto" w:fill="auto"/>
            <w:noWrap/>
            <w:vAlign w:val="center"/>
            <w:hideMark/>
          </w:tcPr>
          <w:p w14:paraId="2259746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w:t>
            </w:r>
          </w:p>
        </w:tc>
        <w:tc>
          <w:tcPr>
            <w:tcW w:w="653" w:type="dxa"/>
            <w:tcBorders>
              <w:top w:val="nil"/>
              <w:left w:val="nil"/>
              <w:bottom w:val="single" w:sz="4" w:space="0" w:color="auto"/>
              <w:right w:val="nil"/>
            </w:tcBorders>
            <w:shd w:val="clear" w:color="auto" w:fill="auto"/>
            <w:noWrap/>
            <w:vAlign w:val="center"/>
            <w:hideMark/>
          </w:tcPr>
          <w:p w14:paraId="5CD3CB84"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28</w:t>
            </w:r>
          </w:p>
        </w:tc>
        <w:tc>
          <w:tcPr>
            <w:tcW w:w="591" w:type="dxa"/>
            <w:tcBorders>
              <w:top w:val="nil"/>
              <w:left w:val="nil"/>
              <w:bottom w:val="single" w:sz="4" w:space="0" w:color="auto"/>
              <w:right w:val="nil"/>
            </w:tcBorders>
            <w:shd w:val="clear" w:color="auto" w:fill="auto"/>
            <w:noWrap/>
            <w:vAlign w:val="center"/>
            <w:hideMark/>
          </w:tcPr>
          <w:p w14:paraId="44336BF5"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48</w:t>
            </w:r>
          </w:p>
        </w:tc>
        <w:tc>
          <w:tcPr>
            <w:tcW w:w="591" w:type="dxa"/>
            <w:tcBorders>
              <w:top w:val="nil"/>
              <w:left w:val="nil"/>
              <w:bottom w:val="single" w:sz="4" w:space="0" w:color="auto"/>
              <w:right w:val="nil"/>
            </w:tcBorders>
            <w:shd w:val="clear" w:color="auto" w:fill="auto"/>
            <w:noWrap/>
            <w:vAlign w:val="center"/>
            <w:hideMark/>
          </w:tcPr>
          <w:p w14:paraId="03C16A2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36</w:t>
            </w:r>
          </w:p>
        </w:tc>
        <w:tc>
          <w:tcPr>
            <w:tcW w:w="591" w:type="dxa"/>
            <w:tcBorders>
              <w:top w:val="nil"/>
              <w:left w:val="nil"/>
              <w:bottom w:val="single" w:sz="4" w:space="0" w:color="auto"/>
              <w:right w:val="nil"/>
            </w:tcBorders>
            <w:shd w:val="clear" w:color="auto" w:fill="auto"/>
            <w:noWrap/>
            <w:vAlign w:val="center"/>
            <w:hideMark/>
          </w:tcPr>
          <w:p w14:paraId="2E120CF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49</w:t>
            </w:r>
          </w:p>
        </w:tc>
        <w:tc>
          <w:tcPr>
            <w:tcW w:w="591" w:type="dxa"/>
            <w:tcBorders>
              <w:top w:val="nil"/>
              <w:left w:val="nil"/>
              <w:bottom w:val="single" w:sz="4" w:space="0" w:color="auto"/>
              <w:right w:val="nil"/>
            </w:tcBorders>
            <w:shd w:val="clear" w:color="auto" w:fill="auto"/>
            <w:noWrap/>
            <w:vAlign w:val="center"/>
            <w:hideMark/>
          </w:tcPr>
          <w:p w14:paraId="058865C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33</w:t>
            </w:r>
          </w:p>
        </w:tc>
        <w:tc>
          <w:tcPr>
            <w:tcW w:w="591" w:type="dxa"/>
            <w:tcBorders>
              <w:top w:val="nil"/>
              <w:left w:val="nil"/>
              <w:bottom w:val="single" w:sz="4" w:space="0" w:color="auto"/>
              <w:right w:val="nil"/>
            </w:tcBorders>
            <w:shd w:val="clear" w:color="auto" w:fill="auto"/>
            <w:noWrap/>
            <w:vAlign w:val="center"/>
            <w:hideMark/>
          </w:tcPr>
          <w:p w14:paraId="5CB55B6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63</w:t>
            </w:r>
          </w:p>
        </w:tc>
        <w:tc>
          <w:tcPr>
            <w:tcW w:w="591" w:type="dxa"/>
            <w:tcBorders>
              <w:top w:val="nil"/>
              <w:left w:val="nil"/>
              <w:bottom w:val="single" w:sz="4" w:space="0" w:color="auto"/>
              <w:right w:val="nil"/>
            </w:tcBorders>
            <w:shd w:val="clear" w:color="auto" w:fill="auto"/>
            <w:noWrap/>
            <w:vAlign w:val="center"/>
            <w:hideMark/>
          </w:tcPr>
          <w:p w14:paraId="3480960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38</w:t>
            </w:r>
          </w:p>
        </w:tc>
        <w:tc>
          <w:tcPr>
            <w:tcW w:w="591" w:type="dxa"/>
            <w:tcBorders>
              <w:top w:val="nil"/>
              <w:left w:val="nil"/>
              <w:bottom w:val="single" w:sz="4" w:space="0" w:color="auto"/>
              <w:right w:val="nil"/>
            </w:tcBorders>
            <w:shd w:val="clear" w:color="auto" w:fill="auto"/>
            <w:noWrap/>
            <w:vAlign w:val="center"/>
            <w:hideMark/>
          </w:tcPr>
          <w:p w14:paraId="44074315"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27</w:t>
            </w:r>
          </w:p>
        </w:tc>
        <w:tc>
          <w:tcPr>
            <w:tcW w:w="824" w:type="dxa"/>
            <w:tcBorders>
              <w:top w:val="nil"/>
              <w:left w:val="nil"/>
              <w:bottom w:val="single" w:sz="4" w:space="0" w:color="auto"/>
              <w:right w:val="nil"/>
            </w:tcBorders>
            <w:vAlign w:val="center"/>
          </w:tcPr>
          <w:p w14:paraId="65A5689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324</w:t>
            </w:r>
          </w:p>
        </w:tc>
      </w:tr>
      <w:tr w:rsidR="00FB6B80" w:rsidRPr="0084045A" w14:paraId="6ABA55BD"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4F9422A2"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PEMEX</w:t>
            </w:r>
          </w:p>
        </w:tc>
        <w:tc>
          <w:tcPr>
            <w:tcW w:w="591" w:type="dxa"/>
            <w:tcBorders>
              <w:top w:val="nil"/>
              <w:left w:val="nil"/>
              <w:bottom w:val="single" w:sz="4" w:space="0" w:color="auto"/>
              <w:right w:val="nil"/>
            </w:tcBorders>
            <w:shd w:val="clear" w:color="auto" w:fill="auto"/>
            <w:noWrap/>
            <w:vAlign w:val="center"/>
            <w:hideMark/>
          </w:tcPr>
          <w:p w14:paraId="01017D04"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14</w:t>
            </w:r>
          </w:p>
        </w:tc>
        <w:tc>
          <w:tcPr>
            <w:tcW w:w="653" w:type="dxa"/>
            <w:tcBorders>
              <w:top w:val="nil"/>
              <w:left w:val="nil"/>
              <w:bottom w:val="single" w:sz="4" w:space="0" w:color="auto"/>
              <w:right w:val="nil"/>
            </w:tcBorders>
            <w:shd w:val="clear" w:color="auto" w:fill="auto"/>
            <w:noWrap/>
            <w:vAlign w:val="center"/>
            <w:hideMark/>
          </w:tcPr>
          <w:p w14:paraId="3125C5F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18</w:t>
            </w:r>
          </w:p>
        </w:tc>
        <w:tc>
          <w:tcPr>
            <w:tcW w:w="591" w:type="dxa"/>
            <w:tcBorders>
              <w:top w:val="nil"/>
              <w:left w:val="nil"/>
              <w:bottom w:val="single" w:sz="4" w:space="0" w:color="auto"/>
              <w:right w:val="nil"/>
            </w:tcBorders>
            <w:shd w:val="clear" w:color="auto" w:fill="auto"/>
            <w:noWrap/>
            <w:vAlign w:val="center"/>
            <w:hideMark/>
          </w:tcPr>
          <w:p w14:paraId="1128617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w:t>
            </w:r>
          </w:p>
        </w:tc>
        <w:tc>
          <w:tcPr>
            <w:tcW w:w="591" w:type="dxa"/>
            <w:tcBorders>
              <w:top w:val="nil"/>
              <w:left w:val="nil"/>
              <w:bottom w:val="single" w:sz="4" w:space="0" w:color="auto"/>
              <w:right w:val="nil"/>
            </w:tcBorders>
            <w:shd w:val="clear" w:color="auto" w:fill="auto"/>
            <w:noWrap/>
            <w:vAlign w:val="center"/>
            <w:hideMark/>
          </w:tcPr>
          <w:p w14:paraId="552FAAD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w:t>
            </w:r>
          </w:p>
        </w:tc>
        <w:tc>
          <w:tcPr>
            <w:tcW w:w="591" w:type="dxa"/>
            <w:tcBorders>
              <w:top w:val="nil"/>
              <w:left w:val="nil"/>
              <w:bottom w:val="single" w:sz="4" w:space="0" w:color="auto"/>
              <w:right w:val="nil"/>
            </w:tcBorders>
            <w:shd w:val="clear" w:color="auto" w:fill="auto"/>
            <w:noWrap/>
            <w:vAlign w:val="center"/>
            <w:hideMark/>
          </w:tcPr>
          <w:p w14:paraId="20BA00C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26</w:t>
            </w:r>
          </w:p>
        </w:tc>
        <w:tc>
          <w:tcPr>
            <w:tcW w:w="591" w:type="dxa"/>
            <w:tcBorders>
              <w:top w:val="nil"/>
              <w:left w:val="nil"/>
              <w:bottom w:val="single" w:sz="4" w:space="0" w:color="auto"/>
              <w:right w:val="nil"/>
            </w:tcBorders>
            <w:shd w:val="clear" w:color="auto" w:fill="auto"/>
            <w:noWrap/>
            <w:vAlign w:val="center"/>
            <w:hideMark/>
          </w:tcPr>
          <w:p w14:paraId="1ABD1F2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w:t>
            </w:r>
          </w:p>
        </w:tc>
        <w:tc>
          <w:tcPr>
            <w:tcW w:w="591" w:type="dxa"/>
            <w:tcBorders>
              <w:top w:val="nil"/>
              <w:left w:val="nil"/>
              <w:bottom w:val="single" w:sz="4" w:space="0" w:color="auto"/>
              <w:right w:val="nil"/>
            </w:tcBorders>
            <w:shd w:val="clear" w:color="auto" w:fill="auto"/>
            <w:noWrap/>
            <w:vAlign w:val="center"/>
            <w:hideMark/>
          </w:tcPr>
          <w:p w14:paraId="6460BF8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15</w:t>
            </w:r>
          </w:p>
        </w:tc>
        <w:tc>
          <w:tcPr>
            <w:tcW w:w="591" w:type="dxa"/>
            <w:tcBorders>
              <w:top w:val="nil"/>
              <w:left w:val="nil"/>
              <w:bottom w:val="single" w:sz="4" w:space="0" w:color="auto"/>
              <w:right w:val="nil"/>
            </w:tcBorders>
            <w:shd w:val="clear" w:color="auto" w:fill="auto"/>
            <w:noWrap/>
            <w:vAlign w:val="center"/>
            <w:hideMark/>
          </w:tcPr>
          <w:p w14:paraId="6E9FBBB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33</w:t>
            </w:r>
          </w:p>
        </w:tc>
        <w:tc>
          <w:tcPr>
            <w:tcW w:w="591" w:type="dxa"/>
            <w:tcBorders>
              <w:top w:val="nil"/>
              <w:left w:val="nil"/>
              <w:bottom w:val="single" w:sz="4" w:space="0" w:color="auto"/>
              <w:right w:val="nil"/>
            </w:tcBorders>
            <w:shd w:val="clear" w:color="auto" w:fill="auto"/>
            <w:noWrap/>
            <w:vAlign w:val="center"/>
            <w:hideMark/>
          </w:tcPr>
          <w:p w14:paraId="00F20F84"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33</w:t>
            </w:r>
          </w:p>
        </w:tc>
        <w:tc>
          <w:tcPr>
            <w:tcW w:w="824" w:type="dxa"/>
            <w:tcBorders>
              <w:top w:val="nil"/>
              <w:left w:val="nil"/>
              <w:bottom w:val="single" w:sz="4" w:space="0" w:color="auto"/>
              <w:right w:val="nil"/>
            </w:tcBorders>
            <w:vAlign w:val="center"/>
          </w:tcPr>
          <w:p w14:paraId="6149E3F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153</w:t>
            </w:r>
          </w:p>
        </w:tc>
      </w:tr>
      <w:tr w:rsidR="00FB6B80" w:rsidRPr="0084045A" w14:paraId="05ED55BF"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09781A04"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SEDENA</w:t>
            </w:r>
          </w:p>
        </w:tc>
        <w:tc>
          <w:tcPr>
            <w:tcW w:w="591" w:type="dxa"/>
            <w:tcBorders>
              <w:top w:val="nil"/>
              <w:left w:val="nil"/>
              <w:bottom w:val="single" w:sz="4" w:space="0" w:color="auto"/>
              <w:right w:val="nil"/>
            </w:tcBorders>
            <w:shd w:val="clear" w:color="auto" w:fill="auto"/>
            <w:noWrap/>
            <w:vAlign w:val="center"/>
            <w:hideMark/>
          </w:tcPr>
          <w:p w14:paraId="5F8AC393"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653" w:type="dxa"/>
            <w:tcBorders>
              <w:top w:val="nil"/>
              <w:left w:val="nil"/>
              <w:bottom w:val="single" w:sz="4" w:space="0" w:color="auto"/>
              <w:right w:val="nil"/>
            </w:tcBorders>
            <w:shd w:val="clear" w:color="auto" w:fill="auto"/>
            <w:noWrap/>
            <w:vAlign w:val="center"/>
            <w:hideMark/>
          </w:tcPr>
          <w:p w14:paraId="697DBA1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1759D0F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w:t>
            </w:r>
          </w:p>
        </w:tc>
        <w:tc>
          <w:tcPr>
            <w:tcW w:w="591" w:type="dxa"/>
            <w:tcBorders>
              <w:top w:val="nil"/>
              <w:left w:val="nil"/>
              <w:bottom w:val="single" w:sz="4" w:space="0" w:color="auto"/>
              <w:right w:val="nil"/>
            </w:tcBorders>
            <w:shd w:val="clear" w:color="auto" w:fill="auto"/>
            <w:noWrap/>
            <w:vAlign w:val="center"/>
            <w:hideMark/>
          </w:tcPr>
          <w:p w14:paraId="6BB252D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332019E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718DB39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643076E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324F940E"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31EF9FC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824" w:type="dxa"/>
            <w:tcBorders>
              <w:top w:val="nil"/>
              <w:left w:val="nil"/>
              <w:bottom w:val="single" w:sz="4" w:space="0" w:color="auto"/>
              <w:right w:val="nil"/>
            </w:tcBorders>
            <w:vAlign w:val="center"/>
          </w:tcPr>
          <w:p w14:paraId="50D13BB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w:t>
            </w:r>
          </w:p>
        </w:tc>
      </w:tr>
      <w:tr w:rsidR="00FB6B80" w:rsidRPr="0084045A" w14:paraId="6D39E8A9"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7CFF2792"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SEMAR</w:t>
            </w:r>
          </w:p>
        </w:tc>
        <w:tc>
          <w:tcPr>
            <w:tcW w:w="591" w:type="dxa"/>
            <w:tcBorders>
              <w:top w:val="nil"/>
              <w:left w:val="nil"/>
              <w:bottom w:val="single" w:sz="4" w:space="0" w:color="auto"/>
              <w:right w:val="nil"/>
            </w:tcBorders>
            <w:shd w:val="clear" w:color="auto" w:fill="auto"/>
            <w:noWrap/>
            <w:vAlign w:val="center"/>
            <w:hideMark/>
          </w:tcPr>
          <w:p w14:paraId="639E0C2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653" w:type="dxa"/>
            <w:tcBorders>
              <w:top w:val="nil"/>
              <w:left w:val="nil"/>
              <w:bottom w:val="single" w:sz="4" w:space="0" w:color="auto"/>
              <w:right w:val="nil"/>
            </w:tcBorders>
            <w:shd w:val="clear" w:color="auto" w:fill="auto"/>
            <w:noWrap/>
            <w:vAlign w:val="center"/>
            <w:hideMark/>
          </w:tcPr>
          <w:p w14:paraId="4145987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25F7456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1A2E6C64"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w:t>
            </w:r>
          </w:p>
        </w:tc>
        <w:tc>
          <w:tcPr>
            <w:tcW w:w="591" w:type="dxa"/>
            <w:tcBorders>
              <w:top w:val="nil"/>
              <w:left w:val="nil"/>
              <w:bottom w:val="single" w:sz="4" w:space="0" w:color="auto"/>
              <w:right w:val="nil"/>
            </w:tcBorders>
            <w:shd w:val="clear" w:color="auto" w:fill="auto"/>
            <w:noWrap/>
            <w:vAlign w:val="center"/>
            <w:hideMark/>
          </w:tcPr>
          <w:p w14:paraId="0201085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w:t>
            </w:r>
          </w:p>
        </w:tc>
        <w:tc>
          <w:tcPr>
            <w:tcW w:w="591" w:type="dxa"/>
            <w:tcBorders>
              <w:top w:val="nil"/>
              <w:left w:val="nil"/>
              <w:bottom w:val="single" w:sz="4" w:space="0" w:color="auto"/>
              <w:right w:val="nil"/>
            </w:tcBorders>
            <w:shd w:val="clear" w:color="auto" w:fill="auto"/>
            <w:noWrap/>
            <w:vAlign w:val="center"/>
            <w:hideMark/>
          </w:tcPr>
          <w:p w14:paraId="7CAA3E3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2A225FF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03C83AF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338A93A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824" w:type="dxa"/>
            <w:tcBorders>
              <w:top w:val="nil"/>
              <w:left w:val="nil"/>
              <w:bottom w:val="single" w:sz="4" w:space="0" w:color="auto"/>
              <w:right w:val="nil"/>
            </w:tcBorders>
            <w:vAlign w:val="center"/>
          </w:tcPr>
          <w:p w14:paraId="664E8464"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w:t>
            </w:r>
          </w:p>
        </w:tc>
      </w:tr>
      <w:tr w:rsidR="00FB6B80" w:rsidRPr="0084045A" w14:paraId="6B7A0391"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619F90A8"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DIF</w:t>
            </w:r>
          </w:p>
        </w:tc>
        <w:tc>
          <w:tcPr>
            <w:tcW w:w="591" w:type="dxa"/>
            <w:tcBorders>
              <w:top w:val="nil"/>
              <w:left w:val="nil"/>
              <w:bottom w:val="single" w:sz="4" w:space="0" w:color="auto"/>
              <w:right w:val="nil"/>
            </w:tcBorders>
            <w:shd w:val="clear" w:color="auto" w:fill="auto"/>
            <w:noWrap/>
            <w:vAlign w:val="center"/>
            <w:hideMark/>
          </w:tcPr>
          <w:p w14:paraId="417D613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653" w:type="dxa"/>
            <w:tcBorders>
              <w:top w:val="nil"/>
              <w:left w:val="nil"/>
              <w:bottom w:val="single" w:sz="4" w:space="0" w:color="auto"/>
              <w:right w:val="nil"/>
            </w:tcBorders>
            <w:shd w:val="clear" w:color="auto" w:fill="auto"/>
            <w:noWrap/>
            <w:vAlign w:val="center"/>
            <w:hideMark/>
          </w:tcPr>
          <w:p w14:paraId="020728D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single" w:sz="4" w:space="0" w:color="auto"/>
              <w:right w:val="nil"/>
            </w:tcBorders>
            <w:shd w:val="clear" w:color="auto" w:fill="auto"/>
            <w:noWrap/>
            <w:vAlign w:val="center"/>
            <w:hideMark/>
          </w:tcPr>
          <w:p w14:paraId="67B679E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w:t>
            </w:r>
          </w:p>
        </w:tc>
        <w:tc>
          <w:tcPr>
            <w:tcW w:w="591" w:type="dxa"/>
            <w:tcBorders>
              <w:top w:val="nil"/>
              <w:left w:val="nil"/>
              <w:bottom w:val="single" w:sz="4" w:space="0" w:color="auto"/>
              <w:right w:val="nil"/>
            </w:tcBorders>
            <w:shd w:val="clear" w:color="auto" w:fill="auto"/>
            <w:noWrap/>
            <w:vAlign w:val="center"/>
            <w:hideMark/>
          </w:tcPr>
          <w:p w14:paraId="5E6E61F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w:t>
            </w:r>
          </w:p>
        </w:tc>
        <w:tc>
          <w:tcPr>
            <w:tcW w:w="591" w:type="dxa"/>
            <w:tcBorders>
              <w:top w:val="nil"/>
              <w:left w:val="nil"/>
              <w:bottom w:val="single" w:sz="4" w:space="0" w:color="auto"/>
              <w:right w:val="nil"/>
            </w:tcBorders>
            <w:shd w:val="clear" w:color="auto" w:fill="auto"/>
            <w:noWrap/>
            <w:vAlign w:val="center"/>
            <w:hideMark/>
          </w:tcPr>
          <w:p w14:paraId="4BB023AE"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13</w:t>
            </w:r>
          </w:p>
        </w:tc>
        <w:tc>
          <w:tcPr>
            <w:tcW w:w="591" w:type="dxa"/>
            <w:tcBorders>
              <w:top w:val="nil"/>
              <w:left w:val="nil"/>
              <w:bottom w:val="single" w:sz="4" w:space="0" w:color="auto"/>
              <w:right w:val="nil"/>
            </w:tcBorders>
            <w:shd w:val="clear" w:color="auto" w:fill="auto"/>
            <w:noWrap/>
            <w:vAlign w:val="center"/>
            <w:hideMark/>
          </w:tcPr>
          <w:p w14:paraId="3F55AED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7</w:t>
            </w:r>
          </w:p>
        </w:tc>
        <w:tc>
          <w:tcPr>
            <w:tcW w:w="591" w:type="dxa"/>
            <w:tcBorders>
              <w:top w:val="nil"/>
              <w:left w:val="nil"/>
              <w:bottom w:val="single" w:sz="4" w:space="0" w:color="auto"/>
              <w:right w:val="nil"/>
            </w:tcBorders>
            <w:shd w:val="clear" w:color="auto" w:fill="auto"/>
            <w:noWrap/>
            <w:vAlign w:val="center"/>
            <w:hideMark/>
          </w:tcPr>
          <w:p w14:paraId="552145C5"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17</w:t>
            </w:r>
          </w:p>
        </w:tc>
        <w:tc>
          <w:tcPr>
            <w:tcW w:w="591" w:type="dxa"/>
            <w:tcBorders>
              <w:top w:val="nil"/>
              <w:left w:val="nil"/>
              <w:bottom w:val="single" w:sz="4" w:space="0" w:color="auto"/>
              <w:right w:val="nil"/>
            </w:tcBorders>
            <w:shd w:val="clear" w:color="auto" w:fill="auto"/>
            <w:noWrap/>
            <w:vAlign w:val="center"/>
            <w:hideMark/>
          </w:tcPr>
          <w:p w14:paraId="787E8455"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w:t>
            </w:r>
          </w:p>
        </w:tc>
        <w:tc>
          <w:tcPr>
            <w:tcW w:w="591" w:type="dxa"/>
            <w:tcBorders>
              <w:top w:val="nil"/>
              <w:left w:val="nil"/>
              <w:bottom w:val="single" w:sz="4" w:space="0" w:color="auto"/>
              <w:right w:val="nil"/>
            </w:tcBorders>
            <w:shd w:val="clear" w:color="auto" w:fill="auto"/>
            <w:noWrap/>
            <w:vAlign w:val="center"/>
            <w:hideMark/>
          </w:tcPr>
          <w:p w14:paraId="28A7B50E"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7</w:t>
            </w:r>
          </w:p>
        </w:tc>
        <w:tc>
          <w:tcPr>
            <w:tcW w:w="824" w:type="dxa"/>
            <w:tcBorders>
              <w:top w:val="nil"/>
              <w:left w:val="nil"/>
              <w:bottom w:val="single" w:sz="4" w:space="0" w:color="auto"/>
              <w:right w:val="nil"/>
            </w:tcBorders>
            <w:vAlign w:val="center"/>
          </w:tcPr>
          <w:p w14:paraId="44D99D7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57</w:t>
            </w:r>
          </w:p>
        </w:tc>
      </w:tr>
      <w:tr w:rsidR="00FB6B80" w:rsidRPr="0084045A" w14:paraId="26B5C71E"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42E7B3C2"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STATE</w:t>
            </w:r>
          </w:p>
        </w:tc>
        <w:tc>
          <w:tcPr>
            <w:tcW w:w="591" w:type="dxa"/>
            <w:tcBorders>
              <w:top w:val="nil"/>
              <w:left w:val="nil"/>
              <w:bottom w:val="single" w:sz="4" w:space="0" w:color="auto"/>
              <w:right w:val="nil"/>
            </w:tcBorders>
            <w:shd w:val="clear" w:color="auto" w:fill="auto"/>
            <w:noWrap/>
            <w:vAlign w:val="center"/>
            <w:hideMark/>
          </w:tcPr>
          <w:p w14:paraId="4DE7EA7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w:t>
            </w:r>
          </w:p>
        </w:tc>
        <w:tc>
          <w:tcPr>
            <w:tcW w:w="653" w:type="dxa"/>
            <w:tcBorders>
              <w:top w:val="nil"/>
              <w:left w:val="nil"/>
              <w:bottom w:val="single" w:sz="4" w:space="0" w:color="auto"/>
              <w:right w:val="nil"/>
            </w:tcBorders>
            <w:shd w:val="clear" w:color="auto" w:fill="auto"/>
            <w:noWrap/>
            <w:vAlign w:val="center"/>
            <w:hideMark/>
          </w:tcPr>
          <w:p w14:paraId="551B0B5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7</w:t>
            </w:r>
          </w:p>
        </w:tc>
        <w:tc>
          <w:tcPr>
            <w:tcW w:w="591" w:type="dxa"/>
            <w:tcBorders>
              <w:top w:val="nil"/>
              <w:left w:val="nil"/>
              <w:bottom w:val="single" w:sz="4" w:space="0" w:color="auto"/>
              <w:right w:val="nil"/>
            </w:tcBorders>
            <w:shd w:val="clear" w:color="auto" w:fill="auto"/>
            <w:noWrap/>
            <w:vAlign w:val="center"/>
            <w:hideMark/>
          </w:tcPr>
          <w:p w14:paraId="098F956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68</w:t>
            </w:r>
          </w:p>
        </w:tc>
        <w:tc>
          <w:tcPr>
            <w:tcW w:w="591" w:type="dxa"/>
            <w:tcBorders>
              <w:top w:val="nil"/>
              <w:left w:val="nil"/>
              <w:bottom w:val="single" w:sz="4" w:space="0" w:color="auto"/>
              <w:right w:val="nil"/>
            </w:tcBorders>
            <w:shd w:val="clear" w:color="auto" w:fill="auto"/>
            <w:noWrap/>
            <w:vAlign w:val="center"/>
            <w:hideMark/>
          </w:tcPr>
          <w:p w14:paraId="64624C4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20</w:t>
            </w:r>
          </w:p>
        </w:tc>
        <w:tc>
          <w:tcPr>
            <w:tcW w:w="591" w:type="dxa"/>
            <w:tcBorders>
              <w:top w:val="nil"/>
              <w:left w:val="nil"/>
              <w:bottom w:val="single" w:sz="4" w:space="0" w:color="auto"/>
              <w:right w:val="nil"/>
            </w:tcBorders>
            <w:shd w:val="clear" w:color="auto" w:fill="auto"/>
            <w:noWrap/>
            <w:vAlign w:val="center"/>
            <w:hideMark/>
          </w:tcPr>
          <w:p w14:paraId="2A14454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45</w:t>
            </w:r>
          </w:p>
        </w:tc>
        <w:tc>
          <w:tcPr>
            <w:tcW w:w="591" w:type="dxa"/>
            <w:tcBorders>
              <w:top w:val="nil"/>
              <w:left w:val="nil"/>
              <w:bottom w:val="single" w:sz="4" w:space="0" w:color="auto"/>
              <w:right w:val="nil"/>
            </w:tcBorders>
            <w:shd w:val="clear" w:color="auto" w:fill="auto"/>
            <w:noWrap/>
            <w:vAlign w:val="center"/>
            <w:hideMark/>
          </w:tcPr>
          <w:p w14:paraId="66B2DC0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28</w:t>
            </w:r>
          </w:p>
        </w:tc>
        <w:tc>
          <w:tcPr>
            <w:tcW w:w="591" w:type="dxa"/>
            <w:tcBorders>
              <w:top w:val="nil"/>
              <w:left w:val="nil"/>
              <w:bottom w:val="single" w:sz="4" w:space="0" w:color="auto"/>
              <w:right w:val="nil"/>
            </w:tcBorders>
            <w:shd w:val="clear" w:color="auto" w:fill="auto"/>
            <w:noWrap/>
            <w:vAlign w:val="center"/>
            <w:hideMark/>
          </w:tcPr>
          <w:p w14:paraId="76B008E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129</w:t>
            </w:r>
          </w:p>
        </w:tc>
        <w:tc>
          <w:tcPr>
            <w:tcW w:w="591" w:type="dxa"/>
            <w:tcBorders>
              <w:top w:val="nil"/>
              <w:left w:val="nil"/>
              <w:bottom w:val="single" w:sz="4" w:space="0" w:color="auto"/>
              <w:right w:val="nil"/>
            </w:tcBorders>
            <w:shd w:val="clear" w:color="auto" w:fill="auto"/>
            <w:noWrap/>
            <w:vAlign w:val="center"/>
            <w:hideMark/>
          </w:tcPr>
          <w:p w14:paraId="5A536D1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70</w:t>
            </w:r>
          </w:p>
        </w:tc>
        <w:tc>
          <w:tcPr>
            <w:tcW w:w="591" w:type="dxa"/>
            <w:tcBorders>
              <w:top w:val="nil"/>
              <w:left w:val="nil"/>
              <w:bottom w:val="single" w:sz="4" w:space="0" w:color="auto"/>
              <w:right w:val="nil"/>
            </w:tcBorders>
            <w:shd w:val="clear" w:color="auto" w:fill="auto"/>
            <w:noWrap/>
            <w:vAlign w:val="center"/>
            <w:hideMark/>
          </w:tcPr>
          <w:p w14:paraId="4D8E365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29</w:t>
            </w:r>
          </w:p>
        </w:tc>
        <w:tc>
          <w:tcPr>
            <w:tcW w:w="824" w:type="dxa"/>
            <w:tcBorders>
              <w:top w:val="nil"/>
              <w:left w:val="nil"/>
              <w:bottom w:val="single" w:sz="4" w:space="0" w:color="auto"/>
              <w:right w:val="nil"/>
            </w:tcBorders>
            <w:vAlign w:val="center"/>
          </w:tcPr>
          <w:p w14:paraId="63C8BADE"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398</w:t>
            </w:r>
          </w:p>
        </w:tc>
      </w:tr>
      <w:tr w:rsidR="00FB6B80" w:rsidRPr="0084045A" w14:paraId="4838D39B"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26A49607"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UNIVERSITY</w:t>
            </w:r>
          </w:p>
        </w:tc>
        <w:tc>
          <w:tcPr>
            <w:tcW w:w="591" w:type="dxa"/>
            <w:tcBorders>
              <w:top w:val="nil"/>
              <w:left w:val="nil"/>
              <w:bottom w:val="single" w:sz="4" w:space="0" w:color="auto"/>
              <w:right w:val="nil"/>
            </w:tcBorders>
            <w:shd w:val="clear" w:color="auto" w:fill="auto"/>
            <w:noWrap/>
            <w:vAlign w:val="center"/>
            <w:hideMark/>
          </w:tcPr>
          <w:p w14:paraId="131C530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18</w:t>
            </w:r>
          </w:p>
        </w:tc>
        <w:tc>
          <w:tcPr>
            <w:tcW w:w="653" w:type="dxa"/>
            <w:tcBorders>
              <w:top w:val="nil"/>
              <w:left w:val="nil"/>
              <w:bottom w:val="single" w:sz="4" w:space="0" w:color="auto"/>
              <w:right w:val="nil"/>
            </w:tcBorders>
            <w:shd w:val="clear" w:color="auto" w:fill="auto"/>
            <w:noWrap/>
            <w:vAlign w:val="center"/>
            <w:hideMark/>
          </w:tcPr>
          <w:p w14:paraId="40A8F34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w:t>
            </w:r>
          </w:p>
        </w:tc>
        <w:tc>
          <w:tcPr>
            <w:tcW w:w="591" w:type="dxa"/>
            <w:tcBorders>
              <w:top w:val="nil"/>
              <w:left w:val="nil"/>
              <w:bottom w:val="single" w:sz="4" w:space="0" w:color="auto"/>
              <w:right w:val="nil"/>
            </w:tcBorders>
            <w:shd w:val="clear" w:color="auto" w:fill="auto"/>
            <w:noWrap/>
            <w:vAlign w:val="center"/>
            <w:hideMark/>
          </w:tcPr>
          <w:p w14:paraId="2C89C13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w:t>
            </w:r>
          </w:p>
        </w:tc>
        <w:tc>
          <w:tcPr>
            <w:tcW w:w="591" w:type="dxa"/>
            <w:tcBorders>
              <w:top w:val="nil"/>
              <w:left w:val="nil"/>
              <w:bottom w:val="single" w:sz="4" w:space="0" w:color="auto"/>
              <w:right w:val="nil"/>
            </w:tcBorders>
            <w:shd w:val="clear" w:color="auto" w:fill="auto"/>
            <w:noWrap/>
            <w:vAlign w:val="center"/>
            <w:hideMark/>
          </w:tcPr>
          <w:p w14:paraId="3BC5127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w:t>
            </w:r>
          </w:p>
        </w:tc>
        <w:tc>
          <w:tcPr>
            <w:tcW w:w="591" w:type="dxa"/>
            <w:tcBorders>
              <w:top w:val="nil"/>
              <w:left w:val="nil"/>
              <w:bottom w:val="single" w:sz="4" w:space="0" w:color="auto"/>
              <w:right w:val="nil"/>
            </w:tcBorders>
            <w:shd w:val="clear" w:color="auto" w:fill="auto"/>
            <w:noWrap/>
            <w:vAlign w:val="center"/>
            <w:hideMark/>
          </w:tcPr>
          <w:p w14:paraId="1262831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16</w:t>
            </w:r>
          </w:p>
        </w:tc>
        <w:tc>
          <w:tcPr>
            <w:tcW w:w="591" w:type="dxa"/>
            <w:tcBorders>
              <w:top w:val="nil"/>
              <w:left w:val="nil"/>
              <w:bottom w:val="single" w:sz="4" w:space="0" w:color="auto"/>
              <w:right w:val="nil"/>
            </w:tcBorders>
            <w:shd w:val="clear" w:color="auto" w:fill="auto"/>
            <w:noWrap/>
            <w:vAlign w:val="center"/>
            <w:hideMark/>
          </w:tcPr>
          <w:p w14:paraId="684C396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20</w:t>
            </w:r>
          </w:p>
        </w:tc>
        <w:tc>
          <w:tcPr>
            <w:tcW w:w="591" w:type="dxa"/>
            <w:tcBorders>
              <w:top w:val="nil"/>
              <w:left w:val="nil"/>
              <w:bottom w:val="single" w:sz="4" w:space="0" w:color="auto"/>
              <w:right w:val="nil"/>
            </w:tcBorders>
            <w:shd w:val="clear" w:color="auto" w:fill="auto"/>
            <w:noWrap/>
            <w:vAlign w:val="center"/>
            <w:hideMark/>
          </w:tcPr>
          <w:p w14:paraId="4F4451F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45</w:t>
            </w:r>
          </w:p>
        </w:tc>
        <w:tc>
          <w:tcPr>
            <w:tcW w:w="591" w:type="dxa"/>
            <w:tcBorders>
              <w:top w:val="nil"/>
              <w:left w:val="nil"/>
              <w:bottom w:val="single" w:sz="4" w:space="0" w:color="auto"/>
              <w:right w:val="nil"/>
            </w:tcBorders>
            <w:shd w:val="clear" w:color="auto" w:fill="auto"/>
            <w:noWrap/>
            <w:vAlign w:val="center"/>
            <w:hideMark/>
          </w:tcPr>
          <w:p w14:paraId="0B09F14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52</w:t>
            </w:r>
          </w:p>
        </w:tc>
        <w:tc>
          <w:tcPr>
            <w:tcW w:w="591" w:type="dxa"/>
            <w:tcBorders>
              <w:top w:val="nil"/>
              <w:left w:val="nil"/>
              <w:bottom w:val="single" w:sz="4" w:space="0" w:color="auto"/>
              <w:right w:val="nil"/>
            </w:tcBorders>
            <w:shd w:val="clear" w:color="auto" w:fill="auto"/>
            <w:noWrap/>
            <w:vAlign w:val="center"/>
            <w:hideMark/>
          </w:tcPr>
          <w:p w14:paraId="177A54F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15</w:t>
            </w:r>
          </w:p>
        </w:tc>
        <w:tc>
          <w:tcPr>
            <w:tcW w:w="824" w:type="dxa"/>
            <w:tcBorders>
              <w:top w:val="nil"/>
              <w:left w:val="nil"/>
              <w:bottom w:val="single" w:sz="4" w:space="0" w:color="auto"/>
              <w:right w:val="nil"/>
            </w:tcBorders>
            <w:vAlign w:val="center"/>
          </w:tcPr>
          <w:p w14:paraId="4B1A3A3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173</w:t>
            </w:r>
          </w:p>
        </w:tc>
      </w:tr>
      <w:tr w:rsidR="00FB6B80" w:rsidRPr="0084045A" w14:paraId="51762558" w14:textId="77777777" w:rsidTr="00333403">
        <w:trPr>
          <w:trHeight w:val="288"/>
        </w:trPr>
        <w:tc>
          <w:tcPr>
            <w:tcW w:w="2300" w:type="dxa"/>
            <w:tcBorders>
              <w:top w:val="nil"/>
              <w:left w:val="nil"/>
              <w:bottom w:val="single" w:sz="4" w:space="0" w:color="auto"/>
              <w:right w:val="nil"/>
            </w:tcBorders>
            <w:shd w:val="clear" w:color="auto" w:fill="auto"/>
            <w:noWrap/>
            <w:vAlign w:val="center"/>
            <w:hideMark/>
          </w:tcPr>
          <w:p w14:paraId="471AC9E9"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PRIVATE</w:t>
            </w:r>
          </w:p>
        </w:tc>
        <w:tc>
          <w:tcPr>
            <w:tcW w:w="591" w:type="dxa"/>
            <w:tcBorders>
              <w:top w:val="nil"/>
              <w:left w:val="nil"/>
              <w:bottom w:val="single" w:sz="4" w:space="0" w:color="auto"/>
              <w:right w:val="nil"/>
            </w:tcBorders>
            <w:shd w:val="clear" w:color="auto" w:fill="auto"/>
            <w:noWrap/>
            <w:vAlign w:val="center"/>
            <w:hideMark/>
          </w:tcPr>
          <w:p w14:paraId="69C0B8F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92</w:t>
            </w:r>
          </w:p>
        </w:tc>
        <w:tc>
          <w:tcPr>
            <w:tcW w:w="653" w:type="dxa"/>
            <w:tcBorders>
              <w:top w:val="nil"/>
              <w:left w:val="nil"/>
              <w:bottom w:val="single" w:sz="4" w:space="0" w:color="auto"/>
              <w:right w:val="nil"/>
            </w:tcBorders>
            <w:shd w:val="clear" w:color="auto" w:fill="auto"/>
            <w:noWrap/>
            <w:vAlign w:val="center"/>
            <w:hideMark/>
          </w:tcPr>
          <w:p w14:paraId="2186082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157</w:t>
            </w:r>
          </w:p>
        </w:tc>
        <w:tc>
          <w:tcPr>
            <w:tcW w:w="591" w:type="dxa"/>
            <w:tcBorders>
              <w:top w:val="nil"/>
              <w:left w:val="nil"/>
              <w:bottom w:val="single" w:sz="4" w:space="0" w:color="auto"/>
              <w:right w:val="nil"/>
            </w:tcBorders>
            <w:shd w:val="clear" w:color="auto" w:fill="auto"/>
            <w:noWrap/>
            <w:vAlign w:val="center"/>
            <w:hideMark/>
          </w:tcPr>
          <w:p w14:paraId="2DF44B4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79</w:t>
            </w:r>
          </w:p>
        </w:tc>
        <w:tc>
          <w:tcPr>
            <w:tcW w:w="591" w:type="dxa"/>
            <w:tcBorders>
              <w:top w:val="nil"/>
              <w:left w:val="nil"/>
              <w:bottom w:val="single" w:sz="4" w:space="0" w:color="auto"/>
              <w:right w:val="nil"/>
            </w:tcBorders>
            <w:shd w:val="clear" w:color="auto" w:fill="auto"/>
            <w:noWrap/>
            <w:vAlign w:val="center"/>
            <w:hideMark/>
          </w:tcPr>
          <w:p w14:paraId="0FF91E6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28</w:t>
            </w:r>
          </w:p>
        </w:tc>
        <w:tc>
          <w:tcPr>
            <w:tcW w:w="591" w:type="dxa"/>
            <w:tcBorders>
              <w:top w:val="nil"/>
              <w:left w:val="nil"/>
              <w:bottom w:val="single" w:sz="4" w:space="0" w:color="auto"/>
              <w:right w:val="nil"/>
            </w:tcBorders>
            <w:shd w:val="clear" w:color="auto" w:fill="auto"/>
            <w:noWrap/>
            <w:vAlign w:val="center"/>
            <w:hideMark/>
          </w:tcPr>
          <w:p w14:paraId="63109BC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39</w:t>
            </w:r>
          </w:p>
        </w:tc>
        <w:tc>
          <w:tcPr>
            <w:tcW w:w="591" w:type="dxa"/>
            <w:tcBorders>
              <w:top w:val="nil"/>
              <w:left w:val="nil"/>
              <w:bottom w:val="single" w:sz="4" w:space="0" w:color="auto"/>
              <w:right w:val="nil"/>
            </w:tcBorders>
            <w:shd w:val="clear" w:color="auto" w:fill="auto"/>
            <w:noWrap/>
            <w:vAlign w:val="center"/>
            <w:hideMark/>
          </w:tcPr>
          <w:p w14:paraId="0F340D63"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44</w:t>
            </w:r>
          </w:p>
        </w:tc>
        <w:tc>
          <w:tcPr>
            <w:tcW w:w="591" w:type="dxa"/>
            <w:tcBorders>
              <w:top w:val="nil"/>
              <w:left w:val="nil"/>
              <w:bottom w:val="single" w:sz="4" w:space="0" w:color="auto"/>
              <w:right w:val="nil"/>
            </w:tcBorders>
            <w:shd w:val="clear" w:color="auto" w:fill="auto"/>
            <w:noWrap/>
            <w:vAlign w:val="center"/>
            <w:hideMark/>
          </w:tcPr>
          <w:p w14:paraId="5AF2536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85</w:t>
            </w:r>
          </w:p>
        </w:tc>
        <w:tc>
          <w:tcPr>
            <w:tcW w:w="591" w:type="dxa"/>
            <w:tcBorders>
              <w:top w:val="nil"/>
              <w:left w:val="nil"/>
              <w:bottom w:val="single" w:sz="4" w:space="0" w:color="auto"/>
              <w:right w:val="nil"/>
            </w:tcBorders>
            <w:shd w:val="clear" w:color="auto" w:fill="auto"/>
            <w:noWrap/>
            <w:vAlign w:val="center"/>
            <w:hideMark/>
          </w:tcPr>
          <w:p w14:paraId="1D755D7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47</w:t>
            </w:r>
          </w:p>
        </w:tc>
        <w:tc>
          <w:tcPr>
            <w:tcW w:w="591" w:type="dxa"/>
            <w:tcBorders>
              <w:top w:val="nil"/>
              <w:left w:val="nil"/>
              <w:bottom w:val="single" w:sz="4" w:space="0" w:color="auto"/>
              <w:right w:val="nil"/>
            </w:tcBorders>
            <w:shd w:val="clear" w:color="auto" w:fill="auto"/>
            <w:noWrap/>
            <w:vAlign w:val="center"/>
            <w:hideMark/>
          </w:tcPr>
          <w:p w14:paraId="3A909FE3"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54</w:t>
            </w:r>
          </w:p>
        </w:tc>
        <w:tc>
          <w:tcPr>
            <w:tcW w:w="824" w:type="dxa"/>
            <w:tcBorders>
              <w:top w:val="nil"/>
              <w:left w:val="nil"/>
              <w:bottom w:val="single" w:sz="4" w:space="0" w:color="auto"/>
              <w:right w:val="nil"/>
            </w:tcBorders>
            <w:vAlign w:val="center"/>
          </w:tcPr>
          <w:p w14:paraId="59529DA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625</w:t>
            </w:r>
          </w:p>
        </w:tc>
      </w:tr>
      <w:tr w:rsidR="00FB6B80" w:rsidRPr="0084045A" w14:paraId="41875479" w14:textId="77777777" w:rsidTr="00333403">
        <w:trPr>
          <w:trHeight w:val="300"/>
        </w:trPr>
        <w:tc>
          <w:tcPr>
            <w:tcW w:w="2300" w:type="dxa"/>
            <w:tcBorders>
              <w:top w:val="nil"/>
              <w:left w:val="nil"/>
              <w:bottom w:val="double" w:sz="6" w:space="0" w:color="auto"/>
              <w:right w:val="nil"/>
            </w:tcBorders>
            <w:shd w:val="clear" w:color="auto" w:fill="auto"/>
            <w:noWrap/>
            <w:vAlign w:val="center"/>
            <w:hideMark/>
          </w:tcPr>
          <w:p w14:paraId="3C838479"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NOT IDENTIFIED</w:t>
            </w:r>
          </w:p>
        </w:tc>
        <w:tc>
          <w:tcPr>
            <w:tcW w:w="591" w:type="dxa"/>
            <w:tcBorders>
              <w:top w:val="nil"/>
              <w:left w:val="nil"/>
              <w:bottom w:val="double" w:sz="6" w:space="0" w:color="auto"/>
              <w:right w:val="nil"/>
            </w:tcBorders>
            <w:shd w:val="clear" w:color="auto" w:fill="auto"/>
            <w:noWrap/>
            <w:vAlign w:val="center"/>
            <w:hideMark/>
          </w:tcPr>
          <w:p w14:paraId="1C7DF83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213</w:t>
            </w:r>
          </w:p>
        </w:tc>
        <w:tc>
          <w:tcPr>
            <w:tcW w:w="653" w:type="dxa"/>
            <w:tcBorders>
              <w:top w:val="nil"/>
              <w:left w:val="nil"/>
              <w:bottom w:val="double" w:sz="6" w:space="0" w:color="auto"/>
              <w:right w:val="nil"/>
            </w:tcBorders>
            <w:shd w:val="clear" w:color="auto" w:fill="auto"/>
            <w:noWrap/>
            <w:vAlign w:val="center"/>
            <w:hideMark/>
          </w:tcPr>
          <w:p w14:paraId="27A7284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18</w:t>
            </w:r>
          </w:p>
        </w:tc>
        <w:tc>
          <w:tcPr>
            <w:tcW w:w="591" w:type="dxa"/>
            <w:tcBorders>
              <w:top w:val="nil"/>
              <w:left w:val="nil"/>
              <w:bottom w:val="double" w:sz="6" w:space="0" w:color="auto"/>
              <w:right w:val="nil"/>
            </w:tcBorders>
            <w:shd w:val="clear" w:color="auto" w:fill="auto"/>
            <w:noWrap/>
            <w:vAlign w:val="center"/>
            <w:hideMark/>
          </w:tcPr>
          <w:p w14:paraId="52C1C3C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w:t>
            </w:r>
          </w:p>
        </w:tc>
        <w:tc>
          <w:tcPr>
            <w:tcW w:w="591" w:type="dxa"/>
            <w:tcBorders>
              <w:top w:val="nil"/>
              <w:left w:val="nil"/>
              <w:bottom w:val="double" w:sz="6" w:space="0" w:color="auto"/>
              <w:right w:val="nil"/>
            </w:tcBorders>
            <w:shd w:val="clear" w:color="auto" w:fill="auto"/>
            <w:noWrap/>
            <w:vAlign w:val="center"/>
            <w:hideMark/>
          </w:tcPr>
          <w:p w14:paraId="6E81614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w:t>
            </w:r>
          </w:p>
        </w:tc>
        <w:tc>
          <w:tcPr>
            <w:tcW w:w="591" w:type="dxa"/>
            <w:tcBorders>
              <w:top w:val="nil"/>
              <w:left w:val="nil"/>
              <w:bottom w:val="double" w:sz="6" w:space="0" w:color="auto"/>
              <w:right w:val="nil"/>
            </w:tcBorders>
            <w:shd w:val="clear" w:color="auto" w:fill="auto"/>
            <w:noWrap/>
            <w:vAlign w:val="center"/>
            <w:hideMark/>
          </w:tcPr>
          <w:p w14:paraId="747E619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w:t>
            </w:r>
          </w:p>
        </w:tc>
        <w:tc>
          <w:tcPr>
            <w:tcW w:w="591" w:type="dxa"/>
            <w:tcBorders>
              <w:top w:val="nil"/>
              <w:left w:val="nil"/>
              <w:bottom w:val="double" w:sz="6" w:space="0" w:color="auto"/>
              <w:right w:val="nil"/>
            </w:tcBorders>
            <w:shd w:val="clear" w:color="auto" w:fill="auto"/>
            <w:noWrap/>
            <w:vAlign w:val="center"/>
            <w:hideMark/>
          </w:tcPr>
          <w:p w14:paraId="2F720A7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double" w:sz="6" w:space="0" w:color="auto"/>
              <w:right w:val="nil"/>
            </w:tcBorders>
            <w:shd w:val="clear" w:color="auto" w:fill="auto"/>
            <w:noWrap/>
            <w:vAlign w:val="center"/>
            <w:hideMark/>
          </w:tcPr>
          <w:p w14:paraId="4508246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double" w:sz="6" w:space="0" w:color="auto"/>
              <w:right w:val="nil"/>
            </w:tcBorders>
            <w:shd w:val="clear" w:color="auto" w:fill="auto"/>
            <w:noWrap/>
            <w:vAlign w:val="center"/>
            <w:hideMark/>
          </w:tcPr>
          <w:p w14:paraId="6469BE4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591" w:type="dxa"/>
            <w:tcBorders>
              <w:top w:val="nil"/>
              <w:left w:val="nil"/>
              <w:bottom w:val="double" w:sz="6" w:space="0" w:color="auto"/>
              <w:right w:val="nil"/>
            </w:tcBorders>
            <w:shd w:val="clear" w:color="auto" w:fill="auto"/>
            <w:noWrap/>
            <w:vAlign w:val="center"/>
            <w:hideMark/>
          </w:tcPr>
          <w:p w14:paraId="47B5F72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0</w:t>
            </w:r>
          </w:p>
        </w:tc>
        <w:tc>
          <w:tcPr>
            <w:tcW w:w="824" w:type="dxa"/>
            <w:tcBorders>
              <w:top w:val="nil"/>
              <w:left w:val="nil"/>
              <w:bottom w:val="double" w:sz="6" w:space="0" w:color="auto"/>
              <w:right w:val="nil"/>
            </w:tcBorders>
            <w:vAlign w:val="center"/>
          </w:tcPr>
          <w:p w14:paraId="2AD8281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238</w:t>
            </w:r>
          </w:p>
        </w:tc>
      </w:tr>
      <w:tr w:rsidR="00FB6B80" w:rsidRPr="00E34003" w14:paraId="6B857E05" w14:textId="77777777" w:rsidTr="00E34003">
        <w:trPr>
          <w:trHeight w:val="300"/>
        </w:trPr>
        <w:tc>
          <w:tcPr>
            <w:tcW w:w="2300" w:type="dxa"/>
            <w:tcBorders>
              <w:top w:val="nil"/>
              <w:left w:val="nil"/>
              <w:bottom w:val="single" w:sz="4" w:space="0" w:color="auto"/>
              <w:right w:val="nil"/>
            </w:tcBorders>
            <w:shd w:val="clear" w:color="auto" w:fill="auto"/>
            <w:noWrap/>
            <w:vAlign w:val="center"/>
            <w:hideMark/>
          </w:tcPr>
          <w:p w14:paraId="7FC0766D" w14:textId="77777777" w:rsidR="00FB6B80" w:rsidRPr="0084045A" w:rsidRDefault="00FB6B80" w:rsidP="00333403">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TOTAL PER SEASON</w:t>
            </w:r>
          </w:p>
        </w:tc>
        <w:tc>
          <w:tcPr>
            <w:tcW w:w="591" w:type="dxa"/>
            <w:tcBorders>
              <w:top w:val="nil"/>
              <w:left w:val="nil"/>
              <w:bottom w:val="single" w:sz="4" w:space="0" w:color="auto"/>
              <w:right w:val="nil"/>
            </w:tcBorders>
            <w:shd w:val="clear" w:color="auto" w:fill="auto"/>
            <w:noWrap/>
            <w:vAlign w:val="center"/>
            <w:hideMark/>
          </w:tcPr>
          <w:p w14:paraId="158C36F3" w14:textId="439DE133"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2893</w:t>
            </w:r>
          </w:p>
        </w:tc>
        <w:tc>
          <w:tcPr>
            <w:tcW w:w="653" w:type="dxa"/>
            <w:tcBorders>
              <w:top w:val="nil"/>
              <w:left w:val="nil"/>
              <w:bottom w:val="single" w:sz="4" w:space="0" w:color="auto"/>
              <w:right w:val="nil"/>
            </w:tcBorders>
            <w:shd w:val="clear" w:color="auto" w:fill="auto"/>
            <w:noWrap/>
            <w:vAlign w:val="center"/>
            <w:hideMark/>
          </w:tcPr>
          <w:p w14:paraId="3F24CBCA" w14:textId="1AD5274A"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4329</w:t>
            </w:r>
          </w:p>
        </w:tc>
        <w:tc>
          <w:tcPr>
            <w:tcW w:w="591" w:type="dxa"/>
            <w:tcBorders>
              <w:top w:val="nil"/>
              <w:left w:val="nil"/>
              <w:bottom w:val="single" w:sz="4" w:space="0" w:color="auto"/>
              <w:right w:val="nil"/>
            </w:tcBorders>
            <w:shd w:val="clear" w:color="auto" w:fill="auto"/>
            <w:noWrap/>
            <w:vAlign w:val="center"/>
            <w:hideMark/>
          </w:tcPr>
          <w:p w14:paraId="01AAD11D" w14:textId="7E50F97A"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7044</w:t>
            </w:r>
          </w:p>
        </w:tc>
        <w:tc>
          <w:tcPr>
            <w:tcW w:w="591" w:type="dxa"/>
            <w:tcBorders>
              <w:top w:val="nil"/>
              <w:left w:val="nil"/>
              <w:bottom w:val="single" w:sz="4" w:space="0" w:color="auto"/>
              <w:right w:val="nil"/>
            </w:tcBorders>
            <w:shd w:val="clear" w:color="auto" w:fill="auto"/>
            <w:noWrap/>
            <w:vAlign w:val="center"/>
            <w:hideMark/>
          </w:tcPr>
          <w:p w14:paraId="1124F904" w14:textId="037FB4FC"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3519</w:t>
            </w:r>
          </w:p>
        </w:tc>
        <w:tc>
          <w:tcPr>
            <w:tcW w:w="591" w:type="dxa"/>
            <w:tcBorders>
              <w:top w:val="nil"/>
              <w:left w:val="nil"/>
              <w:bottom w:val="single" w:sz="4" w:space="0" w:color="auto"/>
              <w:right w:val="nil"/>
            </w:tcBorders>
            <w:shd w:val="clear" w:color="auto" w:fill="auto"/>
            <w:noWrap/>
            <w:vAlign w:val="center"/>
            <w:hideMark/>
          </w:tcPr>
          <w:p w14:paraId="5271B9C3" w14:textId="554EDE2B"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8994</w:t>
            </w:r>
          </w:p>
        </w:tc>
        <w:tc>
          <w:tcPr>
            <w:tcW w:w="591" w:type="dxa"/>
            <w:tcBorders>
              <w:top w:val="nil"/>
              <w:left w:val="nil"/>
              <w:bottom w:val="single" w:sz="4" w:space="0" w:color="auto"/>
              <w:right w:val="nil"/>
            </w:tcBorders>
            <w:shd w:val="clear" w:color="auto" w:fill="auto"/>
            <w:noWrap/>
            <w:vAlign w:val="center"/>
            <w:hideMark/>
          </w:tcPr>
          <w:p w14:paraId="6FF05E3B" w14:textId="4DAE016B"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3242</w:t>
            </w:r>
          </w:p>
        </w:tc>
        <w:tc>
          <w:tcPr>
            <w:tcW w:w="591" w:type="dxa"/>
            <w:tcBorders>
              <w:top w:val="nil"/>
              <w:left w:val="nil"/>
              <w:bottom w:val="single" w:sz="4" w:space="0" w:color="auto"/>
              <w:right w:val="nil"/>
            </w:tcBorders>
            <w:shd w:val="clear" w:color="auto" w:fill="auto"/>
            <w:noWrap/>
            <w:vAlign w:val="center"/>
            <w:hideMark/>
          </w:tcPr>
          <w:p w14:paraId="735BE8F4" w14:textId="277951FF"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9635</w:t>
            </w:r>
          </w:p>
        </w:tc>
        <w:tc>
          <w:tcPr>
            <w:tcW w:w="591" w:type="dxa"/>
            <w:tcBorders>
              <w:top w:val="nil"/>
              <w:left w:val="nil"/>
              <w:bottom w:val="single" w:sz="4" w:space="0" w:color="auto"/>
              <w:right w:val="nil"/>
            </w:tcBorders>
            <w:shd w:val="clear" w:color="auto" w:fill="auto"/>
            <w:noWrap/>
            <w:vAlign w:val="center"/>
            <w:hideMark/>
          </w:tcPr>
          <w:p w14:paraId="2804CBA8" w14:textId="744B5B3B"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6469</w:t>
            </w:r>
          </w:p>
        </w:tc>
        <w:tc>
          <w:tcPr>
            <w:tcW w:w="591" w:type="dxa"/>
            <w:tcBorders>
              <w:top w:val="nil"/>
              <w:left w:val="nil"/>
              <w:bottom w:val="single" w:sz="4" w:space="0" w:color="auto"/>
              <w:right w:val="nil"/>
            </w:tcBorders>
            <w:shd w:val="clear" w:color="auto" w:fill="auto"/>
            <w:noWrap/>
            <w:vAlign w:val="center"/>
            <w:hideMark/>
          </w:tcPr>
          <w:p w14:paraId="5B05BEFA" w14:textId="09F7DE19"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4342</w:t>
            </w:r>
          </w:p>
        </w:tc>
        <w:tc>
          <w:tcPr>
            <w:tcW w:w="824" w:type="dxa"/>
            <w:tcBorders>
              <w:top w:val="nil"/>
              <w:left w:val="nil"/>
              <w:bottom w:val="single" w:sz="4" w:space="0" w:color="auto"/>
              <w:right w:val="nil"/>
            </w:tcBorders>
            <w:shd w:val="clear" w:color="auto" w:fill="auto"/>
            <w:vAlign w:val="center"/>
          </w:tcPr>
          <w:p w14:paraId="067C5996" w14:textId="77777777" w:rsidR="00FB6B80" w:rsidRPr="00E34003" w:rsidRDefault="00FB6B80" w:rsidP="00333403">
            <w:pPr>
              <w:spacing w:after="0" w:line="240" w:lineRule="auto"/>
              <w:jc w:val="right"/>
              <w:rPr>
                <w:rFonts w:ascii="Arial" w:eastAsia="Times New Roman" w:hAnsi="Arial" w:cs="Arial"/>
                <w:b/>
                <w:bCs/>
                <w:noProof/>
                <w:color w:val="000000"/>
                <w:sz w:val="18"/>
                <w:szCs w:val="18"/>
                <w:lang w:val="en-GB" w:eastAsia="es-ES"/>
              </w:rPr>
            </w:pPr>
            <w:r w:rsidRPr="00E34003">
              <w:rPr>
                <w:rFonts w:ascii="Arial" w:eastAsia="Times New Roman" w:hAnsi="Arial" w:cs="Arial"/>
                <w:b/>
                <w:bCs/>
                <w:noProof/>
                <w:color w:val="000000"/>
                <w:sz w:val="18"/>
                <w:szCs w:val="18"/>
                <w:lang w:val="en-GB" w:eastAsia="es-ES"/>
              </w:rPr>
              <w:t>50,467</w:t>
            </w:r>
          </w:p>
        </w:tc>
      </w:tr>
    </w:tbl>
    <w:p w14:paraId="7B407E4C" w14:textId="77777777" w:rsidR="00FB6B80" w:rsidRPr="0084045A" w:rsidRDefault="00FB6B80" w:rsidP="00FB6B80">
      <w:pPr>
        <w:spacing w:after="0" w:line="240" w:lineRule="auto"/>
        <w:jc w:val="both"/>
        <w:rPr>
          <w:rFonts w:cstheme="minorHAnsi"/>
          <w:noProof/>
          <w:color w:val="000000" w:themeColor="text1"/>
          <w:sz w:val="10"/>
          <w:szCs w:val="10"/>
          <w:lang w:val="en-GB"/>
        </w:rPr>
      </w:pPr>
    </w:p>
    <w:p w14:paraId="76F31F6A" w14:textId="5D67CEBE" w:rsidR="00653C45" w:rsidRPr="00096BA7" w:rsidRDefault="00653C45" w:rsidP="00653C45">
      <w:pPr>
        <w:spacing w:after="0" w:line="276" w:lineRule="auto"/>
        <w:jc w:val="both"/>
        <w:rPr>
          <w:rFonts w:ascii="Arial" w:hAnsi="Arial" w:cs="Arial"/>
          <w:noProof/>
          <w:color w:val="000000" w:themeColor="text1"/>
          <w:sz w:val="18"/>
          <w:szCs w:val="18"/>
        </w:rPr>
      </w:pPr>
      <w:r w:rsidRPr="00096BA7">
        <w:rPr>
          <w:rFonts w:ascii="Arial" w:hAnsi="Arial" w:cs="Arial"/>
          <w:noProof/>
          <w:color w:val="000000" w:themeColor="text1"/>
          <w:sz w:val="18"/>
          <w:szCs w:val="18"/>
        </w:rPr>
        <w:t xml:space="preserve">Abbreviations: </w:t>
      </w:r>
      <w:r w:rsidR="00395FED" w:rsidRPr="00096BA7">
        <w:rPr>
          <w:rFonts w:ascii="Arial" w:hAnsi="Arial" w:cs="Arial"/>
          <w:noProof/>
          <w:color w:val="000000" w:themeColor="text1"/>
          <w:sz w:val="18"/>
          <w:szCs w:val="18"/>
        </w:rPr>
        <w:t xml:space="preserve">SSA, Secretaría de Salud (Health Secretariat); </w:t>
      </w:r>
      <w:r w:rsidRPr="00096BA7">
        <w:rPr>
          <w:rFonts w:ascii="Arial" w:hAnsi="Arial" w:cs="Arial"/>
          <w:noProof/>
          <w:color w:val="000000" w:themeColor="text1"/>
          <w:sz w:val="18"/>
          <w:szCs w:val="18"/>
        </w:rPr>
        <w:t>IMSS, Instituto Mexicano del Seguro Social (Mexican Social Security Institute); ISSSTE, Instituto de Seguridad y Servicios Sociales para los Trabajadores del Estado (Institute for Social Security and Services for State Workers); MoH, Ministry of Health</w:t>
      </w:r>
      <w:r w:rsidR="00395FED" w:rsidRPr="00096BA7">
        <w:rPr>
          <w:rFonts w:ascii="Arial" w:hAnsi="Arial" w:cs="Arial"/>
          <w:noProof/>
          <w:color w:val="000000" w:themeColor="text1"/>
          <w:sz w:val="18"/>
          <w:szCs w:val="18"/>
        </w:rPr>
        <w:t xml:space="preserve">; IMSS – OPORTUNIDADES, Instituto Mexicano del seguro Social – Programa Oportunidades (Mexican Social Security Institute – Oportunities Programme; PEMEX, Petroleos Mexicanos (Mexican State Oil Company), SEDENA, Secretaría de la Defensa Nacional (Secretariat of National Defense); SEMAR, Secretaría de Marina (Secretariat of the Navy); DIF, Desarrollo Integral de la Familia (Programme for the Integral Family Development), STATE, </w:t>
      </w:r>
      <w:r w:rsidR="00A32FA4" w:rsidRPr="00096BA7">
        <w:rPr>
          <w:rFonts w:ascii="Arial" w:hAnsi="Arial" w:cs="Arial"/>
          <w:noProof/>
          <w:color w:val="000000" w:themeColor="text1"/>
          <w:sz w:val="18"/>
          <w:szCs w:val="18"/>
        </w:rPr>
        <w:t>Servicios Estatales de Salud (State Health Services); UNIVERSITY, Servicios Médicos Universitarios (University Health Services); PRIVATE, Servicios de Salud Privados (Private Health Services); NOT IDENTIFIED, No tidentificado (Source not identified).</w:t>
      </w:r>
    </w:p>
    <w:p w14:paraId="7338D229" w14:textId="77777777" w:rsidR="00653C45" w:rsidRPr="00096BA7" w:rsidRDefault="00653C45" w:rsidP="00FB6B80">
      <w:pPr>
        <w:spacing w:after="0" w:line="240" w:lineRule="auto"/>
        <w:ind w:right="473"/>
        <w:jc w:val="right"/>
        <w:rPr>
          <w:rFonts w:ascii="Arial" w:hAnsi="Arial" w:cs="Arial"/>
          <w:i/>
          <w:noProof/>
          <w:color w:val="000000" w:themeColor="text1"/>
          <w:sz w:val="20"/>
          <w:szCs w:val="20"/>
        </w:rPr>
      </w:pPr>
    </w:p>
    <w:p w14:paraId="743A2CCE" w14:textId="77777777" w:rsidR="00FB6B80" w:rsidRPr="0084045A" w:rsidRDefault="00FB6B80" w:rsidP="00FB6B80">
      <w:pPr>
        <w:spacing w:after="0" w:line="240" w:lineRule="auto"/>
        <w:ind w:right="473"/>
        <w:jc w:val="right"/>
        <w:rPr>
          <w:rFonts w:ascii="Arial" w:hAnsi="Arial" w:cs="Arial"/>
          <w:noProof/>
          <w:color w:val="000000" w:themeColor="text1"/>
          <w:sz w:val="20"/>
          <w:szCs w:val="20"/>
          <w:lang w:val="en-GB"/>
        </w:rPr>
      </w:pPr>
      <w:r w:rsidRPr="0084045A">
        <w:rPr>
          <w:rFonts w:ascii="Arial" w:hAnsi="Arial" w:cs="Arial"/>
          <w:i/>
          <w:noProof/>
          <w:color w:val="000000" w:themeColor="text1"/>
          <w:sz w:val="20"/>
          <w:szCs w:val="20"/>
          <w:lang w:val="en-GB"/>
        </w:rPr>
        <w:t>Source: SISVEFLU</w:t>
      </w:r>
    </w:p>
    <w:p w14:paraId="76D5DD22" w14:textId="77777777" w:rsidR="00FB6B80" w:rsidRPr="0084045A" w:rsidRDefault="00FB6B80" w:rsidP="00FB6B80">
      <w:pPr>
        <w:pStyle w:val="Prrafodelista"/>
        <w:spacing w:after="0" w:line="480" w:lineRule="auto"/>
        <w:ind w:left="0"/>
        <w:rPr>
          <w:rFonts w:ascii="Arial" w:hAnsi="Arial" w:cs="Arial"/>
          <w:noProof/>
          <w:sz w:val="24"/>
          <w:szCs w:val="24"/>
          <w:lang w:val="en-GB"/>
        </w:rPr>
      </w:pPr>
    </w:p>
    <w:p w14:paraId="57D16D70" w14:textId="77777777" w:rsidR="00091A14" w:rsidRPr="0084045A" w:rsidRDefault="00091A14">
      <w:pPr>
        <w:rPr>
          <w:rFonts w:ascii="Arial" w:hAnsi="Arial" w:cs="Arial"/>
          <w:b/>
          <w:i/>
          <w:iCs/>
          <w:noProof/>
          <w:color w:val="000000" w:themeColor="text1"/>
          <w:lang w:val="en-GB"/>
        </w:rPr>
      </w:pPr>
      <w:r w:rsidRPr="0084045A">
        <w:rPr>
          <w:rFonts w:ascii="Arial" w:hAnsi="Arial" w:cs="Arial"/>
          <w:b/>
          <w:i/>
          <w:iCs/>
          <w:noProof/>
          <w:color w:val="000000" w:themeColor="text1"/>
          <w:lang w:val="en-GB"/>
        </w:rPr>
        <w:br w:type="page"/>
      </w:r>
    </w:p>
    <w:p w14:paraId="05915CC3" w14:textId="46702893" w:rsidR="00FB6B80" w:rsidRPr="0084045A" w:rsidRDefault="00FB6B80" w:rsidP="0026691C">
      <w:pPr>
        <w:pStyle w:val="Ttulo2"/>
        <w:rPr>
          <w:noProof/>
          <w:lang w:val="en-GB"/>
        </w:rPr>
      </w:pPr>
      <w:r w:rsidRPr="0084045A">
        <w:rPr>
          <w:noProof/>
          <w:lang w:val="en-GB"/>
        </w:rPr>
        <w:lastRenderedPageBreak/>
        <w:t>Table S2.2. Incidence of influenza in the United States by age group</w:t>
      </w:r>
    </w:p>
    <w:tbl>
      <w:tblPr>
        <w:tblW w:w="9963" w:type="dxa"/>
        <w:jc w:val="center"/>
        <w:tblCellMar>
          <w:left w:w="70" w:type="dxa"/>
          <w:right w:w="70" w:type="dxa"/>
        </w:tblCellMar>
        <w:tblLook w:val="04A0" w:firstRow="1" w:lastRow="0" w:firstColumn="1" w:lastColumn="0" w:noHBand="0" w:noVBand="1"/>
      </w:tblPr>
      <w:tblGrid>
        <w:gridCol w:w="2038"/>
        <w:gridCol w:w="799"/>
        <w:gridCol w:w="799"/>
        <w:gridCol w:w="688"/>
        <w:gridCol w:w="799"/>
        <w:gridCol w:w="799"/>
        <w:gridCol w:w="799"/>
        <w:gridCol w:w="799"/>
        <w:gridCol w:w="799"/>
        <w:gridCol w:w="799"/>
        <w:gridCol w:w="845"/>
      </w:tblGrid>
      <w:tr w:rsidR="00FB6B80" w:rsidRPr="0084045A" w14:paraId="22B638B6" w14:textId="77777777" w:rsidTr="007C5D84">
        <w:trPr>
          <w:cantSplit/>
          <w:trHeight w:val="1477"/>
          <w:jc w:val="center"/>
        </w:trPr>
        <w:tc>
          <w:tcPr>
            <w:tcW w:w="2038" w:type="dxa"/>
            <w:tcBorders>
              <w:top w:val="nil"/>
              <w:left w:val="nil"/>
              <w:bottom w:val="single" w:sz="4" w:space="0" w:color="auto"/>
              <w:right w:val="nil"/>
            </w:tcBorders>
            <w:shd w:val="clear" w:color="auto" w:fill="auto"/>
            <w:noWrap/>
            <w:vAlign w:val="center"/>
            <w:hideMark/>
          </w:tcPr>
          <w:p w14:paraId="34A05E9C" w14:textId="05101BB5" w:rsidR="00FB6B80" w:rsidRPr="0084045A" w:rsidRDefault="00FB6B80" w:rsidP="00333403">
            <w:pPr>
              <w:spacing w:after="0" w:line="240" w:lineRule="auto"/>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 xml:space="preserve">Age </w:t>
            </w:r>
            <w:r w:rsidR="00451B07" w:rsidRPr="0084045A">
              <w:rPr>
                <w:rFonts w:ascii="Calibri" w:eastAsia="Times New Roman" w:hAnsi="Calibri" w:cs="Calibri"/>
                <w:b/>
                <w:bCs/>
                <w:noProof/>
                <w:lang w:val="en-GB" w:eastAsia="es-MX"/>
              </w:rPr>
              <w:t>g</w:t>
            </w:r>
            <w:r w:rsidRPr="0084045A">
              <w:rPr>
                <w:rFonts w:ascii="Calibri" w:eastAsia="Times New Roman" w:hAnsi="Calibri" w:cs="Calibri"/>
                <w:b/>
                <w:bCs/>
                <w:noProof/>
                <w:lang w:val="en-GB" w:eastAsia="es-MX"/>
              </w:rPr>
              <w:t>roup</w:t>
            </w:r>
            <w:r w:rsidR="00451B07" w:rsidRPr="0084045A">
              <w:rPr>
                <w:rFonts w:ascii="Calibri" w:eastAsia="Times New Roman" w:hAnsi="Calibri" w:cs="Calibri"/>
                <w:b/>
                <w:bCs/>
                <w:noProof/>
                <w:lang w:val="en-GB" w:eastAsia="es-MX"/>
              </w:rPr>
              <w:t>, years</w:t>
            </w:r>
          </w:p>
        </w:tc>
        <w:tc>
          <w:tcPr>
            <w:tcW w:w="799" w:type="dxa"/>
            <w:tcBorders>
              <w:top w:val="nil"/>
              <w:left w:val="nil"/>
              <w:bottom w:val="single" w:sz="4" w:space="0" w:color="auto"/>
              <w:right w:val="nil"/>
            </w:tcBorders>
            <w:shd w:val="clear" w:color="auto" w:fill="auto"/>
            <w:noWrap/>
            <w:textDirection w:val="btLr"/>
            <w:vAlign w:val="center"/>
            <w:hideMark/>
          </w:tcPr>
          <w:p w14:paraId="075A623D" w14:textId="77777777" w:rsidR="00FB6B80" w:rsidRPr="0084045A" w:rsidRDefault="00FB6B80" w:rsidP="00333403">
            <w:pPr>
              <w:spacing w:after="0" w:line="240" w:lineRule="auto"/>
              <w:ind w:left="113" w:right="113"/>
              <w:jc w:val="center"/>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2009–2010</w:t>
            </w:r>
          </w:p>
        </w:tc>
        <w:tc>
          <w:tcPr>
            <w:tcW w:w="799" w:type="dxa"/>
            <w:tcBorders>
              <w:top w:val="nil"/>
              <w:left w:val="nil"/>
              <w:bottom w:val="single" w:sz="4" w:space="0" w:color="auto"/>
              <w:right w:val="nil"/>
            </w:tcBorders>
            <w:shd w:val="clear" w:color="auto" w:fill="auto"/>
            <w:noWrap/>
            <w:textDirection w:val="btLr"/>
            <w:vAlign w:val="center"/>
            <w:hideMark/>
          </w:tcPr>
          <w:p w14:paraId="3177704A" w14:textId="77777777" w:rsidR="00FB6B80" w:rsidRPr="0084045A" w:rsidRDefault="00FB6B80" w:rsidP="00333403">
            <w:pPr>
              <w:spacing w:after="0" w:line="240" w:lineRule="auto"/>
              <w:ind w:left="113" w:right="113"/>
              <w:jc w:val="center"/>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2010–2011</w:t>
            </w:r>
          </w:p>
        </w:tc>
        <w:tc>
          <w:tcPr>
            <w:tcW w:w="688" w:type="dxa"/>
            <w:tcBorders>
              <w:top w:val="nil"/>
              <w:left w:val="nil"/>
              <w:bottom w:val="single" w:sz="4" w:space="0" w:color="auto"/>
              <w:right w:val="nil"/>
            </w:tcBorders>
            <w:shd w:val="clear" w:color="auto" w:fill="auto"/>
            <w:noWrap/>
            <w:textDirection w:val="btLr"/>
            <w:vAlign w:val="center"/>
            <w:hideMark/>
          </w:tcPr>
          <w:p w14:paraId="4E1B8E37" w14:textId="77777777" w:rsidR="00FB6B80" w:rsidRPr="0084045A" w:rsidRDefault="00FB6B80" w:rsidP="00333403">
            <w:pPr>
              <w:spacing w:after="0" w:line="240" w:lineRule="auto"/>
              <w:ind w:left="113" w:right="113"/>
              <w:jc w:val="center"/>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2011–2012</w:t>
            </w:r>
          </w:p>
        </w:tc>
        <w:tc>
          <w:tcPr>
            <w:tcW w:w="799" w:type="dxa"/>
            <w:tcBorders>
              <w:top w:val="nil"/>
              <w:left w:val="nil"/>
              <w:bottom w:val="single" w:sz="4" w:space="0" w:color="auto"/>
              <w:right w:val="nil"/>
            </w:tcBorders>
            <w:shd w:val="clear" w:color="auto" w:fill="auto"/>
            <w:noWrap/>
            <w:textDirection w:val="btLr"/>
            <w:vAlign w:val="center"/>
            <w:hideMark/>
          </w:tcPr>
          <w:p w14:paraId="122BAAD3" w14:textId="77777777" w:rsidR="00FB6B80" w:rsidRPr="0084045A" w:rsidRDefault="00FB6B80" w:rsidP="00333403">
            <w:pPr>
              <w:spacing w:after="0" w:line="240" w:lineRule="auto"/>
              <w:ind w:left="113" w:right="113"/>
              <w:jc w:val="center"/>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2012–2013</w:t>
            </w:r>
          </w:p>
        </w:tc>
        <w:tc>
          <w:tcPr>
            <w:tcW w:w="799" w:type="dxa"/>
            <w:tcBorders>
              <w:top w:val="nil"/>
              <w:left w:val="nil"/>
              <w:bottom w:val="single" w:sz="4" w:space="0" w:color="auto"/>
              <w:right w:val="nil"/>
            </w:tcBorders>
            <w:shd w:val="clear" w:color="auto" w:fill="auto"/>
            <w:noWrap/>
            <w:textDirection w:val="btLr"/>
            <w:vAlign w:val="center"/>
            <w:hideMark/>
          </w:tcPr>
          <w:p w14:paraId="30452823" w14:textId="77777777" w:rsidR="00FB6B80" w:rsidRPr="0084045A" w:rsidRDefault="00FB6B80" w:rsidP="00333403">
            <w:pPr>
              <w:spacing w:after="0" w:line="240" w:lineRule="auto"/>
              <w:ind w:left="113" w:right="113"/>
              <w:jc w:val="center"/>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2013–2014</w:t>
            </w:r>
          </w:p>
        </w:tc>
        <w:tc>
          <w:tcPr>
            <w:tcW w:w="799" w:type="dxa"/>
            <w:tcBorders>
              <w:top w:val="nil"/>
              <w:left w:val="nil"/>
              <w:bottom w:val="single" w:sz="4" w:space="0" w:color="auto"/>
              <w:right w:val="nil"/>
            </w:tcBorders>
            <w:shd w:val="clear" w:color="auto" w:fill="auto"/>
            <w:noWrap/>
            <w:textDirection w:val="btLr"/>
            <w:vAlign w:val="center"/>
            <w:hideMark/>
          </w:tcPr>
          <w:p w14:paraId="68218521" w14:textId="77777777" w:rsidR="00FB6B80" w:rsidRPr="0084045A" w:rsidRDefault="00FB6B80" w:rsidP="00333403">
            <w:pPr>
              <w:spacing w:after="0" w:line="240" w:lineRule="auto"/>
              <w:ind w:left="113" w:right="113"/>
              <w:jc w:val="center"/>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2014–2015</w:t>
            </w:r>
          </w:p>
        </w:tc>
        <w:tc>
          <w:tcPr>
            <w:tcW w:w="799" w:type="dxa"/>
            <w:tcBorders>
              <w:top w:val="nil"/>
              <w:left w:val="nil"/>
              <w:bottom w:val="single" w:sz="4" w:space="0" w:color="auto"/>
              <w:right w:val="nil"/>
            </w:tcBorders>
            <w:shd w:val="clear" w:color="auto" w:fill="auto"/>
            <w:noWrap/>
            <w:textDirection w:val="btLr"/>
            <w:vAlign w:val="center"/>
            <w:hideMark/>
          </w:tcPr>
          <w:p w14:paraId="68FD2897" w14:textId="77777777" w:rsidR="00FB6B80" w:rsidRPr="0084045A" w:rsidRDefault="00FB6B80" w:rsidP="00333403">
            <w:pPr>
              <w:spacing w:after="0" w:line="240" w:lineRule="auto"/>
              <w:ind w:left="113" w:right="113"/>
              <w:jc w:val="center"/>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2015–2016</w:t>
            </w:r>
          </w:p>
        </w:tc>
        <w:tc>
          <w:tcPr>
            <w:tcW w:w="799" w:type="dxa"/>
            <w:tcBorders>
              <w:top w:val="nil"/>
              <w:left w:val="nil"/>
              <w:bottom w:val="single" w:sz="4" w:space="0" w:color="auto"/>
              <w:right w:val="nil"/>
            </w:tcBorders>
            <w:shd w:val="clear" w:color="auto" w:fill="auto"/>
            <w:noWrap/>
            <w:textDirection w:val="btLr"/>
            <w:vAlign w:val="center"/>
            <w:hideMark/>
          </w:tcPr>
          <w:p w14:paraId="530B0E62" w14:textId="77777777" w:rsidR="00FB6B80" w:rsidRPr="0084045A" w:rsidRDefault="00FB6B80" w:rsidP="00333403">
            <w:pPr>
              <w:spacing w:after="0" w:line="240" w:lineRule="auto"/>
              <w:ind w:left="113" w:right="113"/>
              <w:jc w:val="center"/>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2016–2017</w:t>
            </w:r>
          </w:p>
        </w:tc>
        <w:tc>
          <w:tcPr>
            <w:tcW w:w="799" w:type="dxa"/>
            <w:tcBorders>
              <w:top w:val="nil"/>
              <w:left w:val="nil"/>
              <w:bottom w:val="single" w:sz="4" w:space="0" w:color="auto"/>
              <w:right w:val="nil"/>
            </w:tcBorders>
            <w:shd w:val="clear" w:color="auto" w:fill="auto"/>
            <w:noWrap/>
            <w:textDirection w:val="btLr"/>
            <w:vAlign w:val="center"/>
            <w:hideMark/>
          </w:tcPr>
          <w:p w14:paraId="6A33A429" w14:textId="77777777" w:rsidR="00FB6B80" w:rsidRPr="0084045A" w:rsidRDefault="00FB6B80" w:rsidP="00333403">
            <w:pPr>
              <w:spacing w:after="0" w:line="240" w:lineRule="auto"/>
              <w:ind w:left="113" w:right="113"/>
              <w:jc w:val="center"/>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2017–2018</w:t>
            </w:r>
          </w:p>
        </w:tc>
        <w:tc>
          <w:tcPr>
            <w:tcW w:w="845" w:type="dxa"/>
            <w:tcBorders>
              <w:top w:val="nil"/>
              <w:left w:val="nil"/>
              <w:bottom w:val="single" w:sz="4" w:space="0" w:color="auto"/>
              <w:right w:val="nil"/>
            </w:tcBorders>
            <w:shd w:val="clear" w:color="auto" w:fill="auto"/>
            <w:noWrap/>
            <w:textDirection w:val="btLr"/>
            <w:vAlign w:val="center"/>
            <w:hideMark/>
          </w:tcPr>
          <w:p w14:paraId="5A2D9B93" w14:textId="77777777" w:rsidR="00FB6B80" w:rsidRPr="0084045A" w:rsidRDefault="00FB6B80" w:rsidP="00333403">
            <w:pPr>
              <w:spacing w:after="0" w:line="240" w:lineRule="auto"/>
              <w:ind w:left="113" w:right="113"/>
              <w:jc w:val="center"/>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2018–2019*</w:t>
            </w:r>
          </w:p>
        </w:tc>
      </w:tr>
      <w:tr w:rsidR="00FB6B80" w:rsidRPr="0084045A" w14:paraId="7FA4CBCD" w14:textId="77777777" w:rsidTr="00333403">
        <w:trPr>
          <w:trHeight w:hRule="exact" w:val="397"/>
          <w:jc w:val="center"/>
        </w:trPr>
        <w:tc>
          <w:tcPr>
            <w:tcW w:w="2038" w:type="dxa"/>
            <w:tcBorders>
              <w:top w:val="nil"/>
              <w:left w:val="nil"/>
              <w:bottom w:val="single" w:sz="4" w:space="0" w:color="auto"/>
              <w:right w:val="nil"/>
            </w:tcBorders>
            <w:shd w:val="clear" w:color="auto" w:fill="auto"/>
            <w:noWrap/>
            <w:vAlign w:val="center"/>
            <w:hideMark/>
          </w:tcPr>
          <w:p w14:paraId="43AA5D95" w14:textId="5603B230" w:rsidR="00FB6B80" w:rsidRPr="0084045A" w:rsidRDefault="00FB6B80" w:rsidP="00333403">
            <w:pPr>
              <w:spacing w:after="0" w:line="240" w:lineRule="auto"/>
              <w:rPr>
                <w:rFonts w:ascii="Calibri" w:eastAsia="Times New Roman" w:hAnsi="Calibri" w:cs="Calibri"/>
                <w:noProof/>
                <w:lang w:val="en-GB" w:eastAsia="es-MX"/>
              </w:rPr>
            </w:pPr>
            <w:r w:rsidRPr="0084045A">
              <w:rPr>
                <w:rFonts w:ascii="Calibri" w:eastAsia="Times New Roman" w:hAnsi="Calibri" w:cs="Calibri"/>
                <w:noProof/>
                <w:lang w:val="en-GB" w:eastAsia="es-MX"/>
              </w:rPr>
              <w:t>0</w:t>
            </w:r>
            <w:r w:rsidR="00775FB5" w:rsidRPr="0084045A">
              <w:rPr>
                <w:rFonts w:ascii="Calibri" w:eastAsia="Times New Roman" w:hAnsi="Calibri" w:cs="Calibri"/>
                <w:noProof/>
                <w:lang w:val="en-GB" w:eastAsia="es-MX"/>
              </w:rPr>
              <w:t>–</w:t>
            </w:r>
            <w:r w:rsidRPr="0084045A">
              <w:rPr>
                <w:rFonts w:ascii="Calibri" w:eastAsia="Times New Roman" w:hAnsi="Calibri" w:cs="Calibri"/>
                <w:noProof/>
                <w:lang w:val="en-GB" w:eastAsia="es-MX"/>
              </w:rPr>
              <w:t xml:space="preserve">4 </w:t>
            </w:r>
          </w:p>
        </w:tc>
        <w:tc>
          <w:tcPr>
            <w:tcW w:w="799" w:type="dxa"/>
            <w:tcBorders>
              <w:top w:val="nil"/>
              <w:left w:val="nil"/>
              <w:bottom w:val="single" w:sz="4" w:space="0" w:color="auto"/>
              <w:right w:val="nil"/>
            </w:tcBorders>
            <w:shd w:val="clear" w:color="auto" w:fill="auto"/>
            <w:noWrap/>
            <w:vAlign w:val="center"/>
            <w:hideMark/>
          </w:tcPr>
          <w:p w14:paraId="79D4F132"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13.51%</w:t>
            </w:r>
          </w:p>
        </w:tc>
        <w:tc>
          <w:tcPr>
            <w:tcW w:w="799" w:type="dxa"/>
            <w:tcBorders>
              <w:top w:val="nil"/>
              <w:left w:val="nil"/>
              <w:bottom w:val="single" w:sz="4" w:space="0" w:color="auto"/>
              <w:right w:val="nil"/>
            </w:tcBorders>
            <w:shd w:val="clear" w:color="auto" w:fill="auto"/>
            <w:noWrap/>
            <w:vAlign w:val="center"/>
            <w:hideMark/>
          </w:tcPr>
          <w:p w14:paraId="793603B8"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13.74%</w:t>
            </w:r>
          </w:p>
        </w:tc>
        <w:tc>
          <w:tcPr>
            <w:tcW w:w="688" w:type="dxa"/>
            <w:tcBorders>
              <w:top w:val="nil"/>
              <w:left w:val="nil"/>
              <w:bottom w:val="single" w:sz="4" w:space="0" w:color="auto"/>
              <w:right w:val="nil"/>
            </w:tcBorders>
            <w:shd w:val="clear" w:color="auto" w:fill="auto"/>
            <w:noWrap/>
            <w:vAlign w:val="center"/>
            <w:hideMark/>
          </w:tcPr>
          <w:p w14:paraId="2839B417"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4.70%</w:t>
            </w:r>
          </w:p>
        </w:tc>
        <w:tc>
          <w:tcPr>
            <w:tcW w:w="799" w:type="dxa"/>
            <w:tcBorders>
              <w:top w:val="nil"/>
              <w:left w:val="nil"/>
              <w:bottom w:val="single" w:sz="4" w:space="0" w:color="auto"/>
              <w:right w:val="nil"/>
            </w:tcBorders>
            <w:shd w:val="clear" w:color="auto" w:fill="auto"/>
            <w:noWrap/>
            <w:vAlign w:val="center"/>
            <w:hideMark/>
          </w:tcPr>
          <w:p w14:paraId="48BE8EC7"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17.82%</w:t>
            </w:r>
          </w:p>
        </w:tc>
        <w:tc>
          <w:tcPr>
            <w:tcW w:w="799" w:type="dxa"/>
            <w:tcBorders>
              <w:top w:val="nil"/>
              <w:left w:val="nil"/>
              <w:bottom w:val="single" w:sz="4" w:space="0" w:color="auto"/>
              <w:right w:val="nil"/>
            </w:tcBorders>
            <w:shd w:val="clear" w:color="auto" w:fill="auto"/>
            <w:noWrap/>
            <w:vAlign w:val="center"/>
            <w:hideMark/>
          </w:tcPr>
          <w:p w14:paraId="51783984"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12.71%</w:t>
            </w:r>
          </w:p>
        </w:tc>
        <w:tc>
          <w:tcPr>
            <w:tcW w:w="799" w:type="dxa"/>
            <w:tcBorders>
              <w:top w:val="nil"/>
              <w:left w:val="nil"/>
              <w:bottom w:val="single" w:sz="4" w:space="0" w:color="auto"/>
              <w:right w:val="nil"/>
            </w:tcBorders>
            <w:shd w:val="clear" w:color="auto" w:fill="auto"/>
            <w:noWrap/>
            <w:vAlign w:val="center"/>
            <w:hideMark/>
          </w:tcPr>
          <w:p w14:paraId="0C4352E6"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16.14%</w:t>
            </w:r>
          </w:p>
        </w:tc>
        <w:tc>
          <w:tcPr>
            <w:tcW w:w="799" w:type="dxa"/>
            <w:tcBorders>
              <w:top w:val="nil"/>
              <w:left w:val="nil"/>
              <w:bottom w:val="single" w:sz="4" w:space="0" w:color="auto"/>
              <w:right w:val="nil"/>
            </w:tcBorders>
            <w:shd w:val="clear" w:color="auto" w:fill="auto"/>
            <w:noWrap/>
            <w:vAlign w:val="center"/>
            <w:hideMark/>
          </w:tcPr>
          <w:p w14:paraId="0DD00225"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11.50%</w:t>
            </w:r>
          </w:p>
        </w:tc>
        <w:tc>
          <w:tcPr>
            <w:tcW w:w="799" w:type="dxa"/>
            <w:tcBorders>
              <w:top w:val="nil"/>
              <w:left w:val="nil"/>
              <w:bottom w:val="single" w:sz="4" w:space="0" w:color="auto"/>
              <w:right w:val="nil"/>
            </w:tcBorders>
            <w:shd w:val="clear" w:color="auto" w:fill="auto"/>
            <w:noWrap/>
            <w:vAlign w:val="center"/>
            <w:hideMark/>
          </w:tcPr>
          <w:p w14:paraId="7FEF0EF1"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11.48%</w:t>
            </w:r>
          </w:p>
        </w:tc>
        <w:tc>
          <w:tcPr>
            <w:tcW w:w="799" w:type="dxa"/>
            <w:tcBorders>
              <w:top w:val="nil"/>
              <w:left w:val="nil"/>
              <w:bottom w:val="single" w:sz="4" w:space="0" w:color="auto"/>
              <w:right w:val="nil"/>
            </w:tcBorders>
            <w:shd w:val="clear" w:color="auto" w:fill="auto"/>
            <w:noWrap/>
            <w:vAlign w:val="center"/>
            <w:hideMark/>
          </w:tcPr>
          <w:p w14:paraId="111D3B06"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19.98%</w:t>
            </w:r>
          </w:p>
        </w:tc>
        <w:tc>
          <w:tcPr>
            <w:tcW w:w="845" w:type="dxa"/>
            <w:tcBorders>
              <w:top w:val="nil"/>
              <w:left w:val="nil"/>
              <w:bottom w:val="single" w:sz="4" w:space="0" w:color="auto"/>
              <w:right w:val="nil"/>
            </w:tcBorders>
            <w:shd w:val="clear" w:color="auto" w:fill="auto"/>
            <w:noWrap/>
            <w:vAlign w:val="center"/>
            <w:hideMark/>
          </w:tcPr>
          <w:p w14:paraId="296E183E"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13.51%</w:t>
            </w:r>
          </w:p>
        </w:tc>
      </w:tr>
      <w:tr w:rsidR="00FB6B80" w:rsidRPr="0084045A" w14:paraId="396B5947" w14:textId="77777777" w:rsidTr="00333403">
        <w:trPr>
          <w:trHeight w:hRule="exact" w:val="397"/>
          <w:jc w:val="center"/>
        </w:trPr>
        <w:tc>
          <w:tcPr>
            <w:tcW w:w="2038" w:type="dxa"/>
            <w:tcBorders>
              <w:top w:val="nil"/>
              <w:left w:val="nil"/>
              <w:bottom w:val="single" w:sz="4" w:space="0" w:color="auto"/>
              <w:right w:val="nil"/>
            </w:tcBorders>
            <w:shd w:val="clear" w:color="auto" w:fill="auto"/>
            <w:noWrap/>
            <w:vAlign w:val="center"/>
            <w:hideMark/>
          </w:tcPr>
          <w:p w14:paraId="702B6A09" w14:textId="66D7C78F" w:rsidR="00FB6B80" w:rsidRPr="0084045A" w:rsidRDefault="00FB6B80" w:rsidP="00333403">
            <w:pPr>
              <w:spacing w:after="0" w:line="240" w:lineRule="auto"/>
              <w:rPr>
                <w:rFonts w:ascii="Calibri" w:eastAsia="Times New Roman" w:hAnsi="Calibri" w:cs="Calibri"/>
                <w:noProof/>
                <w:lang w:val="en-GB" w:eastAsia="es-MX"/>
              </w:rPr>
            </w:pPr>
            <w:r w:rsidRPr="0084045A">
              <w:rPr>
                <w:rFonts w:ascii="Calibri" w:eastAsia="Times New Roman" w:hAnsi="Calibri" w:cs="Calibri"/>
                <w:noProof/>
                <w:lang w:val="en-GB" w:eastAsia="es-MX"/>
              </w:rPr>
              <w:t>5</w:t>
            </w:r>
            <w:r w:rsidR="00775FB5" w:rsidRPr="0084045A">
              <w:rPr>
                <w:rFonts w:ascii="Calibri" w:eastAsia="Times New Roman" w:hAnsi="Calibri" w:cs="Calibri"/>
                <w:noProof/>
                <w:lang w:val="en-GB" w:eastAsia="es-MX"/>
              </w:rPr>
              <w:t>–</w:t>
            </w:r>
            <w:r w:rsidRPr="0084045A">
              <w:rPr>
                <w:rFonts w:ascii="Calibri" w:eastAsia="Times New Roman" w:hAnsi="Calibri" w:cs="Calibri"/>
                <w:noProof/>
                <w:lang w:val="en-GB" w:eastAsia="es-MX"/>
              </w:rPr>
              <w:t>17</w:t>
            </w:r>
          </w:p>
        </w:tc>
        <w:tc>
          <w:tcPr>
            <w:tcW w:w="799" w:type="dxa"/>
            <w:tcBorders>
              <w:top w:val="nil"/>
              <w:left w:val="nil"/>
              <w:bottom w:val="single" w:sz="4" w:space="0" w:color="auto"/>
              <w:right w:val="nil"/>
            </w:tcBorders>
            <w:shd w:val="clear" w:color="auto" w:fill="auto"/>
            <w:noWrap/>
            <w:vAlign w:val="center"/>
            <w:hideMark/>
          </w:tcPr>
          <w:p w14:paraId="4C8FD122"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9.60%</w:t>
            </w:r>
          </w:p>
        </w:tc>
        <w:tc>
          <w:tcPr>
            <w:tcW w:w="799" w:type="dxa"/>
            <w:tcBorders>
              <w:top w:val="nil"/>
              <w:left w:val="nil"/>
              <w:bottom w:val="single" w:sz="4" w:space="0" w:color="auto"/>
              <w:right w:val="nil"/>
            </w:tcBorders>
            <w:shd w:val="clear" w:color="auto" w:fill="auto"/>
            <w:noWrap/>
            <w:vAlign w:val="center"/>
            <w:hideMark/>
          </w:tcPr>
          <w:p w14:paraId="4456D48D"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8.22%</w:t>
            </w:r>
          </w:p>
        </w:tc>
        <w:tc>
          <w:tcPr>
            <w:tcW w:w="688" w:type="dxa"/>
            <w:tcBorders>
              <w:top w:val="nil"/>
              <w:left w:val="nil"/>
              <w:bottom w:val="single" w:sz="4" w:space="0" w:color="auto"/>
              <w:right w:val="nil"/>
            </w:tcBorders>
            <w:shd w:val="clear" w:color="auto" w:fill="auto"/>
            <w:noWrap/>
            <w:vAlign w:val="center"/>
            <w:hideMark/>
          </w:tcPr>
          <w:p w14:paraId="5224FED6"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3.71%</w:t>
            </w:r>
          </w:p>
        </w:tc>
        <w:tc>
          <w:tcPr>
            <w:tcW w:w="799" w:type="dxa"/>
            <w:tcBorders>
              <w:top w:val="nil"/>
              <w:left w:val="nil"/>
              <w:bottom w:val="single" w:sz="4" w:space="0" w:color="auto"/>
              <w:right w:val="nil"/>
            </w:tcBorders>
            <w:shd w:val="clear" w:color="auto" w:fill="auto"/>
            <w:noWrap/>
            <w:vAlign w:val="center"/>
            <w:hideMark/>
          </w:tcPr>
          <w:p w14:paraId="70513ADF"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12.42%</w:t>
            </w:r>
          </w:p>
        </w:tc>
        <w:tc>
          <w:tcPr>
            <w:tcW w:w="799" w:type="dxa"/>
            <w:tcBorders>
              <w:top w:val="nil"/>
              <w:left w:val="nil"/>
              <w:bottom w:val="single" w:sz="4" w:space="0" w:color="auto"/>
              <w:right w:val="nil"/>
            </w:tcBorders>
            <w:shd w:val="clear" w:color="auto" w:fill="auto"/>
            <w:noWrap/>
            <w:vAlign w:val="center"/>
            <w:hideMark/>
          </w:tcPr>
          <w:p w14:paraId="774C62C3"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7.42%</w:t>
            </w:r>
          </w:p>
        </w:tc>
        <w:tc>
          <w:tcPr>
            <w:tcW w:w="799" w:type="dxa"/>
            <w:tcBorders>
              <w:top w:val="nil"/>
              <w:left w:val="nil"/>
              <w:bottom w:val="single" w:sz="4" w:space="0" w:color="auto"/>
              <w:right w:val="nil"/>
            </w:tcBorders>
            <w:shd w:val="clear" w:color="auto" w:fill="auto"/>
            <w:noWrap/>
            <w:vAlign w:val="center"/>
            <w:hideMark/>
          </w:tcPr>
          <w:p w14:paraId="4875C674"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11.90%</w:t>
            </w:r>
          </w:p>
        </w:tc>
        <w:tc>
          <w:tcPr>
            <w:tcW w:w="799" w:type="dxa"/>
            <w:tcBorders>
              <w:top w:val="nil"/>
              <w:left w:val="nil"/>
              <w:bottom w:val="single" w:sz="4" w:space="0" w:color="auto"/>
              <w:right w:val="nil"/>
            </w:tcBorders>
            <w:shd w:val="clear" w:color="auto" w:fill="auto"/>
            <w:noWrap/>
            <w:vAlign w:val="center"/>
            <w:hideMark/>
          </w:tcPr>
          <w:p w14:paraId="694B3478"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8.09%</w:t>
            </w:r>
          </w:p>
        </w:tc>
        <w:tc>
          <w:tcPr>
            <w:tcW w:w="799" w:type="dxa"/>
            <w:tcBorders>
              <w:top w:val="nil"/>
              <w:left w:val="nil"/>
              <w:bottom w:val="single" w:sz="4" w:space="0" w:color="auto"/>
              <w:right w:val="nil"/>
            </w:tcBorders>
            <w:shd w:val="clear" w:color="auto" w:fill="auto"/>
            <w:noWrap/>
            <w:vAlign w:val="center"/>
            <w:hideMark/>
          </w:tcPr>
          <w:p w14:paraId="0528C1C1"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11.08%</w:t>
            </w:r>
          </w:p>
        </w:tc>
        <w:tc>
          <w:tcPr>
            <w:tcW w:w="799" w:type="dxa"/>
            <w:tcBorders>
              <w:top w:val="nil"/>
              <w:left w:val="nil"/>
              <w:bottom w:val="single" w:sz="4" w:space="0" w:color="auto"/>
              <w:right w:val="nil"/>
            </w:tcBorders>
            <w:shd w:val="clear" w:color="auto" w:fill="auto"/>
            <w:noWrap/>
            <w:vAlign w:val="center"/>
            <w:hideMark/>
          </w:tcPr>
          <w:p w14:paraId="079DBAA5"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13.99%</w:t>
            </w:r>
          </w:p>
        </w:tc>
        <w:tc>
          <w:tcPr>
            <w:tcW w:w="845" w:type="dxa"/>
            <w:tcBorders>
              <w:top w:val="nil"/>
              <w:left w:val="nil"/>
              <w:bottom w:val="single" w:sz="4" w:space="0" w:color="auto"/>
              <w:right w:val="nil"/>
            </w:tcBorders>
            <w:shd w:val="clear" w:color="auto" w:fill="auto"/>
            <w:noWrap/>
            <w:vAlign w:val="center"/>
            <w:hideMark/>
          </w:tcPr>
          <w:p w14:paraId="490E01E4"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9.60%</w:t>
            </w:r>
          </w:p>
        </w:tc>
      </w:tr>
      <w:tr w:rsidR="00FB6B80" w:rsidRPr="0084045A" w14:paraId="4969530E" w14:textId="77777777" w:rsidTr="00333403">
        <w:trPr>
          <w:trHeight w:hRule="exact" w:val="397"/>
          <w:jc w:val="center"/>
        </w:trPr>
        <w:tc>
          <w:tcPr>
            <w:tcW w:w="2038" w:type="dxa"/>
            <w:tcBorders>
              <w:top w:val="nil"/>
              <w:left w:val="nil"/>
              <w:bottom w:val="single" w:sz="4" w:space="0" w:color="auto"/>
              <w:right w:val="nil"/>
            </w:tcBorders>
            <w:shd w:val="clear" w:color="auto" w:fill="auto"/>
            <w:noWrap/>
            <w:vAlign w:val="center"/>
            <w:hideMark/>
          </w:tcPr>
          <w:p w14:paraId="664CBD47" w14:textId="7F0F96E8" w:rsidR="00FB6B80" w:rsidRPr="0084045A" w:rsidRDefault="00FB6B80" w:rsidP="00333403">
            <w:pPr>
              <w:spacing w:after="0" w:line="240" w:lineRule="auto"/>
              <w:rPr>
                <w:rFonts w:ascii="Calibri" w:eastAsia="Times New Roman" w:hAnsi="Calibri" w:cs="Calibri"/>
                <w:noProof/>
                <w:lang w:val="en-GB" w:eastAsia="es-MX"/>
              </w:rPr>
            </w:pPr>
            <w:r w:rsidRPr="0084045A">
              <w:rPr>
                <w:rFonts w:ascii="Calibri" w:eastAsia="Times New Roman" w:hAnsi="Calibri" w:cs="Calibri"/>
                <w:noProof/>
                <w:lang w:val="en-GB" w:eastAsia="es-MX"/>
              </w:rPr>
              <w:t>18</w:t>
            </w:r>
            <w:r w:rsidR="00775FB5" w:rsidRPr="0084045A">
              <w:rPr>
                <w:rFonts w:ascii="Calibri" w:eastAsia="Times New Roman" w:hAnsi="Calibri" w:cs="Calibri"/>
                <w:noProof/>
                <w:lang w:val="en-GB" w:eastAsia="es-MX"/>
              </w:rPr>
              <w:t>–</w:t>
            </w:r>
            <w:r w:rsidRPr="0084045A">
              <w:rPr>
                <w:rFonts w:ascii="Calibri" w:eastAsia="Times New Roman" w:hAnsi="Calibri" w:cs="Calibri"/>
                <w:noProof/>
                <w:lang w:val="en-GB" w:eastAsia="es-MX"/>
              </w:rPr>
              <w:t>49</w:t>
            </w:r>
          </w:p>
        </w:tc>
        <w:tc>
          <w:tcPr>
            <w:tcW w:w="799" w:type="dxa"/>
            <w:tcBorders>
              <w:top w:val="nil"/>
              <w:left w:val="nil"/>
              <w:bottom w:val="single" w:sz="4" w:space="0" w:color="auto"/>
              <w:right w:val="nil"/>
            </w:tcBorders>
            <w:shd w:val="clear" w:color="auto" w:fill="auto"/>
            <w:noWrap/>
            <w:vAlign w:val="center"/>
            <w:hideMark/>
          </w:tcPr>
          <w:p w14:paraId="29062762"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7.05%</w:t>
            </w:r>
          </w:p>
        </w:tc>
        <w:tc>
          <w:tcPr>
            <w:tcW w:w="799" w:type="dxa"/>
            <w:tcBorders>
              <w:top w:val="nil"/>
              <w:left w:val="nil"/>
              <w:bottom w:val="single" w:sz="4" w:space="0" w:color="auto"/>
              <w:right w:val="nil"/>
            </w:tcBorders>
            <w:shd w:val="clear" w:color="auto" w:fill="auto"/>
            <w:noWrap/>
            <w:vAlign w:val="center"/>
            <w:hideMark/>
          </w:tcPr>
          <w:p w14:paraId="6C21A53A"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5.47%</w:t>
            </w:r>
          </w:p>
        </w:tc>
        <w:tc>
          <w:tcPr>
            <w:tcW w:w="688" w:type="dxa"/>
            <w:tcBorders>
              <w:top w:val="nil"/>
              <w:left w:val="nil"/>
              <w:bottom w:val="single" w:sz="4" w:space="0" w:color="auto"/>
              <w:right w:val="nil"/>
            </w:tcBorders>
            <w:shd w:val="clear" w:color="auto" w:fill="auto"/>
            <w:noWrap/>
            <w:vAlign w:val="center"/>
            <w:hideMark/>
          </w:tcPr>
          <w:p w14:paraId="61CC9EF9"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2.56%</w:t>
            </w:r>
          </w:p>
        </w:tc>
        <w:tc>
          <w:tcPr>
            <w:tcW w:w="799" w:type="dxa"/>
            <w:tcBorders>
              <w:top w:val="nil"/>
              <w:left w:val="nil"/>
              <w:bottom w:val="single" w:sz="4" w:space="0" w:color="auto"/>
              <w:right w:val="nil"/>
            </w:tcBorders>
            <w:shd w:val="clear" w:color="auto" w:fill="auto"/>
            <w:noWrap/>
            <w:vAlign w:val="center"/>
            <w:hideMark/>
          </w:tcPr>
          <w:p w14:paraId="01FBAEDF"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8.38%</w:t>
            </w:r>
          </w:p>
        </w:tc>
        <w:tc>
          <w:tcPr>
            <w:tcW w:w="799" w:type="dxa"/>
            <w:tcBorders>
              <w:top w:val="nil"/>
              <w:left w:val="nil"/>
              <w:bottom w:val="single" w:sz="4" w:space="0" w:color="auto"/>
              <w:right w:val="nil"/>
            </w:tcBorders>
            <w:shd w:val="clear" w:color="auto" w:fill="auto"/>
            <w:noWrap/>
            <w:vAlign w:val="center"/>
            <w:hideMark/>
          </w:tcPr>
          <w:p w14:paraId="2F705085"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9.59%</w:t>
            </w:r>
          </w:p>
        </w:tc>
        <w:tc>
          <w:tcPr>
            <w:tcW w:w="799" w:type="dxa"/>
            <w:tcBorders>
              <w:top w:val="nil"/>
              <w:left w:val="nil"/>
              <w:bottom w:val="single" w:sz="4" w:space="0" w:color="auto"/>
              <w:right w:val="nil"/>
            </w:tcBorders>
            <w:shd w:val="clear" w:color="auto" w:fill="auto"/>
            <w:noWrap/>
            <w:vAlign w:val="center"/>
            <w:hideMark/>
          </w:tcPr>
          <w:p w14:paraId="02CDB7F1"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6.31%</w:t>
            </w:r>
          </w:p>
        </w:tc>
        <w:tc>
          <w:tcPr>
            <w:tcW w:w="799" w:type="dxa"/>
            <w:tcBorders>
              <w:top w:val="nil"/>
              <w:left w:val="nil"/>
              <w:bottom w:val="single" w:sz="4" w:space="0" w:color="auto"/>
              <w:right w:val="nil"/>
            </w:tcBorders>
            <w:shd w:val="clear" w:color="auto" w:fill="auto"/>
            <w:noWrap/>
            <w:vAlign w:val="center"/>
            <w:hideMark/>
          </w:tcPr>
          <w:p w14:paraId="291656D1"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7.39%</w:t>
            </w:r>
          </w:p>
        </w:tc>
        <w:tc>
          <w:tcPr>
            <w:tcW w:w="799" w:type="dxa"/>
            <w:tcBorders>
              <w:top w:val="nil"/>
              <w:left w:val="nil"/>
              <w:bottom w:val="single" w:sz="4" w:space="0" w:color="auto"/>
              <w:right w:val="nil"/>
            </w:tcBorders>
            <w:shd w:val="clear" w:color="auto" w:fill="auto"/>
            <w:noWrap/>
            <w:vAlign w:val="center"/>
            <w:hideMark/>
          </w:tcPr>
          <w:p w14:paraId="590D6798"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6.23%</w:t>
            </w:r>
          </w:p>
        </w:tc>
        <w:tc>
          <w:tcPr>
            <w:tcW w:w="799" w:type="dxa"/>
            <w:tcBorders>
              <w:top w:val="nil"/>
              <w:left w:val="nil"/>
              <w:bottom w:val="single" w:sz="4" w:space="0" w:color="auto"/>
              <w:right w:val="nil"/>
            </w:tcBorders>
            <w:shd w:val="clear" w:color="auto" w:fill="auto"/>
            <w:noWrap/>
            <w:vAlign w:val="center"/>
            <w:hideMark/>
          </w:tcPr>
          <w:p w14:paraId="724C10A0"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10.47%</w:t>
            </w:r>
          </w:p>
        </w:tc>
        <w:tc>
          <w:tcPr>
            <w:tcW w:w="845" w:type="dxa"/>
            <w:tcBorders>
              <w:top w:val="nil"/>
              <w:left w:val="nil"/>
              <w:bottom w:val="single" w:sz="4" w:space="0" w:color="auto"/>
              <w:right w:val="nil"/>
            </w:tcBorders>
            <w:shd w:val="clear" w:color="auto" w:fill="auto"/>
            <w:noWrap/>
            <w:vAlign w:val="center"/>
            <w:hideMark/>
          </w:tcPr>
          <w:p w14:paraId="6B26C53B"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7.05%</w:t>
            </w:r>
          </w:p>
        </w:tc>
      </w:tr>
      <w:tr w:rsidR="00FB6B80" w:rsidRPr="0084045A" w14:paraId="29176F8E" w14:textId="77777777" w:rsidTr="00333403">
        <w:trPr>
          <w:trHeight w:hRule="exact" w:val="397"/>
          <w:jc w:val="center"/>
        </w:trPr>
        <w:tc>
          <w:tcPr>
            <w:tcW w:w="2038" w:type="dxa"/>
            <w:tcBorders>
              <w:top w:val="nil"/>
              <w:left w:val="nil"/>
              <w:bottom w:val="single" w:sz="4" w:space="0" w:color="auto"/>
              <w:right w:val="nil"/>
            </w:tcBorders>
            <w:shd w:val="clear" w:color="auto" w:fill="auto"/>
            <w:noWrap/>
            <w:vAlign w:val="center"/>
            <w:hideMark/>
          </w:tcPr>
          <w:p w14:paraId="68A42C35" w14:textId="141D39F2" w:rsidR="00FB6B80" w:rsidRPr="0084045A" w:rsidRDefault="00FB6B80" w:rsidP="00333403">
            <w:pPr>
              <w:spacing w:after="0" w:line="240" w:lineRule="auto"/>
              <w:rPr>
                <w:rFonts w:ascii="Calibri" w:eastAsia="Times New Roman" w:hAnsi="Calibri" w:cs="Calibri"/>
                <w:noProof/>
                <w:lang w:val="en-GB" w:eastAsia="es-MX"/>
              </w:rPr>
            </w:pPr>
            <w:r w:rsidRPr="0084045A">
              <w:rPr>
                <w:rFonts w:ascii="Calibri" w:eastAsia="Times New Roman" w:hAnsi="Calibri" w:cs="Calibri"/>
                <w:noProof/>
                <w:lang w:val="en-GB" w:eastAsia="es-MX"/>
              </w:rPr>
              <w:t>50</w:t>
            </w:r>
            <w:r w:rsidR="00775FB5" w:rsidRPr="0084045A">
              <w:rPr>
                <w:rFonts w:ascii="Calibri" w:eastAsia="Times New Roman" w:hAnsi="Calibri" w:cs="Calibri"/>
                <w:noProof/>
                <w:lang w:val="en-GB" w:eastAsia="es-MX"/>
              </w:rPr>
              <w:t>–</w:t>
            </w:r>
            <w:r w:rsidRPr="0084045A">
              <w:rPr>
                <w:rFonts w:ascii="Calibri" w:eastAsia="Times New Roman" w:hAnsi="Calibri" w:cs="Calibri"/>
                <w:noProof/>
                <w:lang w:val="en-GB" w:eastAsia="es-MX"/>
              </w:rPr>
              <w:t>64</w:t>
            </w:r>
          </w:p>
        </w:tc>
        <w:tc>
          <w:tcPr>
            <w:tcW w:w="799" w:type="dxa"/>
            <w:tcBorders>
              <w:top w:val="nil"/>
              <w:left w:val="nil"/>
              <w:bottom w:val="single" w:sz="4" w:space="0" w:color="auto"/>
              <w:right w:val="nil"/>
            </w:tcBorders>
            <w:shd w:val="clear" w:color="auto" w:fill="auto"/>
            <w:noWrap/>
            <w:vAlign w:val="center"/>
            <w:hideMark/>
          </w:tcPr>
          <w:p w14:paraId="7D40CB36"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12.38%</w:t>
            </w:r>
          </w:p>
        </w:tc>
        <w:tc>
          <w:tcPr>
            <w:tcW w:w="799" w:type="dxa"/>
            <w:tcBorders>
              <w:top w:val="nil"/>
              <w:left w:val="nil"/>
              <w:bottom w:val="single" w:sz="4" w:space="0" w:color="auto"/>
              <w:right w:val="nil"/>
            </w:tcBorders>
            <w:shd w:val="clear" w:color="auto" w:fill="auto"/>
            <w:noWrap/>
            <w:vAlign w:val="center"/>
            <w:hideMark/>
          </w:tcPr>
          <w:p w14:paraId="39C0CE47"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8.24%</w:t>
            </w:r>
          </w:p>
        </w:tc>
        <w:tc>
          <w:tcPr>
            <w:tcW w:w="688" w:type="dxa"/>
            <w:tcBorders>
              <w:top w:val="nil"/>
              <w:left w:val="nil"/>
              <w:bottom w:val="single" w:sz="4" w:space="0" w:color="auto"/>
              <w:right w:val="nil"/>
            </w:tcBorders>
            <w:shd w:val="clear" w:color="auto" w:fill="auto"/>
            <w:noWrap/>
            <w:vAlign w:val="center"/>
            <w:hideMark/>
          </w:tcPr>
          <w:p w14:paraId="34B656C8"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3.18%</w:t>
            </w:r>
          </w:p>
        </w:tc>
        <w:tc>
          <w:tcPr>
            <w:tcW w:w="799" w:type="dxa"/>
            <w:tcBorders>
              <w:top w:val="nil"/>
              <w:left w:val="nil"/>
              <w:bottom w:val="single" w:sz="4" w:space="0" w:color="auto"/>
              <w:right w:val="nil"/>
            </w:tcBorders>
            <w:shd w:val="clear" w:color="auto" w:fill="auto"/>
            <w:noWrap/>
            <w:vAlign w:val="center"/>
            <w:hideMark/>
          </w:tcPr>
          <w:p w14:paraId="522BFA17"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12.85%</w:t>
            </w:r>
          </w:p>
        </w:tc>
        <w:tc>
          <w:tcPr>
            <w:tcW w:w="799" w:type="dxa"/>
            <w:tcBorders>
              <w:top w:val="nil"/>
              <w:left w:val="nil"/>
              <w:bottom w:val="single" w:sz="4" w:space="0" w:color="auto"/>
              <w:right w:val="nil"/>
            </w:tcBorders>
            <w:shd w:val="clear" w:color="auto" w:fill="auto"/>
            <w:noWrap/>
            <w:vAlign w:val="center"/>
            <w:hideMark/>
          </w:tcPr>
          <w:p w14:paraId="7C263079"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13.71%</w:t>
            </w:r>
          </w:p>
        </w:tc>
        <w:tc>
          <w:tcPr>
            <w:tcW w:w="799" w:type="dxa"/>
            <w:tcBorders>
              <w:top w:val="nil"/>
              <w:left w:val="nil"/>
              <w:bottom w:val="single" w:sz="4" w:space="0" w:color="auto"/>
              <w:right w:val="nil"/>
            </w:tcBorders>
            <w:shd w:val="clear" w:color="auto" w:fill="auto"/>
            <w:noWrap/>
            <w:vAlign w:val="center"/>
            <w:hideMark/>
          </w:tcPr>
          <w:p w14:paraId="601E9647"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11.63%</w:t>
            </w:r>
          </w:p>
        </w:tc>
        <w:tc>
          <w:tcPr>
            <w:tcW w:w="799" w:type="dxa"/>
            <w:tcBorders>
              <w:top w:val="nil"/>
              <w:left w:val="nil"/>
              <w:bottom w:val="single" w:sz="4" w:space="0" w:color="auto"/>
              <w:right w:val="nil"/>
            </w:tcBorders>
            <w:shd w:val="clear" w:color="auto" w:fill="auto"/>
            <w:noWrap/>
            <w:vAlign w:val="center"/>
            <w:hideMark/>
          </w:tcPr>
          <w:p w14:paraId="1078199B"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11.20%</w:t>
            </w:r>
          </w:p>
        </w:tc>
        <w:tc>
          <w:tcPr>
            <w:tcW w:w="799" w:type="dxa"/>
            <w:tcBorders>
              <w:top w:val="nil"/>
              <w:left w:val="nil"/>
              <w:bottom w:val="single" w:sz="4" w:space="0" w:color="auto"/>
              <w:right w:val="nil"/>
            </w:tcBorders>
            <w:shd w:val="clear" w:color="auto" w:fill="auto"/>
            <w:noWrap/>
            <w:vAlign w:val="center"/>
            <w:hideMark/>
          </w:tcPr>
          <w:p w14:paraId="6A7B13CA"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13.65%</w:t>
            </w:r>
          </w:p>
        </w:tc>
        <w:tc>
          <w:tcPr>
            <w:tcW w:w="799" w:type="dxa"/>
            <w:tcBorders>
              <w:top w:val="nil"/>
              <w:left w:val="nil"/>
              <w:bottom w:val="single" w:sz="4" w:space="0" w:color="auto"/>
              <w:right w:val="nil"/>
            </w:tcBorders>
            <w:shd w:val="clear" w:color="auto" w:fill="auto"/>
            <w:noWrap/>
            <w:vAlign w:val="center"/>
            <w:hideMark/>
          </w:tcPr>
          <w:p w14:paraId="0EB32D56"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24.59%</w:t>
            </w:r>
          </w:p>
        </w:tc>
        <w:tc>
          <w:tcPr>
            <w:tcW w:w="845" w:type="dxa"/>
            <w:tcBorders>
              <w:top w:val="nil"/>
              <w:left w:val="nil"/>
              <w:bottom w:val="single" w:sz="4" w:space="0" w:color="auto"/>
              <w:right w:val="nil"/>
            </w:tcBorders>
            <w:shd w:val="clear" w:color="auto" w:fill="auto"/>
            <w:noWrap/>
            <w:vAlign w:val="center"/>
            <w:hideMark/>
          </w:tcPr>
          <w:p w14:paraId="0ADF06E0"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12.38%</w:t>
            </w:r>
          </w:p>
        </w:tc>
      </w:tr>
      <w:tr w:rsidR="00FB6B80" w:rsidRPr="0084045A" w14:paraId="53B4E7B9" w14:textId="77777777" w:rsidTr="00333403">
        <w:trPr>
          <w:trHeight w:hRule="exact" w:val="397"/>
          <w:jc w:val="center"/>
        </w:trPr>
        <w:tc>
          <w:tcPr>
            <w:tcW w:w="2038" w:type="dxa"/>
            <w:tcBorders>
              <w:top w:val="nil"/>
              <w:left w:val="nil"/>
              <w:bottom w:val="single" w:sz="4" w:space="0" w:color="auto"/>
              <w:right w:val="nil"/>
            </w:tcBorders>
            <w:shd w:val="clear" w:color="auto" w:fill="auto"/>
            <w:noWrap/>
            <w:vAlign w:val="center"/>
            <w:hideMark/>
          </w:tcPr>
          <w:p w14:paraId="031F6C90" w14:textId="4044AF89" w:rsidR="00FB6B80" w:rsidRPr="0084045A" w:rsidRDefault="00775FB5" w:rsidP="00333403">
            <w:pPr>
              <w:spacing w:after="0" w:line="240" w:lineRule="auto"/>
              <w:rPr>
                <w:rFonts w:ascii="Calibri" w:eastAsia="Times New Roman" w:hAnsi="Calibri" w:cs="Calibri"/>
                <w:noProof/>
                <w:lang w:val="en-GB" w:eastAsia="es-MX"/>
              </w:rPr>
            </w:pPr>
            <w:r w:rsidRPr="0084045A">
              <w:rPr>
                <w:rFonts w:ascii="Calibri" w:eastAsia="Times New Roman" w:hAnsi="Calibri" w:cs="Calibri"/>
                <w:noProof/>
                <w:lang w:val="en-GB" w:eastAsia="es-MX"/>
              </w:rPr>
              <w:t>≥</w:t>
            </w:r>
            <w:r w:rsidR="00FB6B80" w:rsidRPr="0084045A">
              <w:rPr>
                <w:rFonts w:ascii="Calibri" w:eastAsia="Times New Roman" w:hAnsi="Calibri" w:cs="Calibri"/>
                <w:noProof/>
                <w:lang w:val="en-GB" w:eastAsia="es-MX"/>
              </w:rPr>
              <w:t>65</w:t>
            </w:r>
          </w:p>
        </w:tc>
        <w:tc>
          <w:tcPr>
            <w:tcW w:w="799" w:type="dxa"/>
            <w:tcBorders>
              <w:top w:val="nil"/>
              <w:left w:val="nil"/>
              <w:bottom w:val="single" w:sz="4" w:space="0" w:color="auto"/>
              <w:right w:val="nil"/>
            </w:tcBorders>
            <w:shd w:val="clear" w:color="auto" w:fill="auto"/>
            <w:noWrap/>
            <w:vAlign w:val="center"/>
            <w:hideMark/>
          </w:tcPr>
          <w:p w14:paraId="679478D9"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7.17%</w:t>
            </w:r>
          </w:p>
        </w:tc>
        <w:tc>
          <w:tcPr>
            <w:tcW w:w="799" w:type="dxa"/>
            <w:tcBorders>
              <w:top w:val="nil"/>
              <w:left w:val="nil"/>
              <w:bottom w:val="single" w:sz="4" w:space="0" w:color="auto"/>
              <w:right w:val="nil"/>
            </w:tcBorders>
            <w:shd w:val="clear" w:color="auto" w:fill="auto"/>
            <w:noWrap/>
            <w:vAlign w:val="center"/>
            <w:hideMark/>
          </w:tcPr>
          <w:p w14:paraId="45ED00F0"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4.52%</w:t>
            </w:r>
          </w:p>
        </w:tc>
        <w:tc>
          <w:tcPr>
            <w:tcW w:w="688" w:type="dxa"/>
            <w:tcBorders>
              <w:top w:val="nil"/>
              <w:left w:val="nil"/>
              <w:bottom w:val="single" w:sz="4" w:space="0" w:color="auto"/>
              <w:right w:val="nil"/>
            </w:tcBorders>
            <w:shd w:val="clear" w:color="auto" w:fill="auto"/>
            <w:noWrap/>
            <w:vAlign w:val="center"/>
            <w:hideMark/>
          </w:tcPr>
          <w:p w14:paraId="3049DB71"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2.33%</w:t>
            </w:r>
          </w:p>
        </w:tc>
        <w:tc>
          <w:tcPr>
            <w:tcW w:w="799" w:type="dxa"/>
            <w:tcBorders>
              <w:top w:val="nil"/>
              <w:left w:val="nil"/>
              <w:bottom w:val="single" w:sz="4" w:space="0" w:color="auto"/>
              <w:right w:val="nil"/>
            </w:tcBorders>
            <w:shd w:val="clear" w:color="auto" w:fill="auto"/>
            <w:noWrap/>
            <w:vAlign w:val="center"/>
            <w:hideMark/>
          </w:tcPr>
          <w:p w14:paraId="1C74593E"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9.71%</w:t>
            </w:r>
          </w:p>
        </w:tc>
        <w:tc>
          <w:tcPr>
            <w:tcW w:w="799" w:type="dxa"/>
            <w:tcBorders>
              <w:top w:val="nil"/>
              <w:left w:val="nil"/>
              <w:bottom w:val="single" w:sz="4" w:space="0" w:color="auto"/>
              <w:right w:val="nil"/>
            </w:tcBorders>
            <w:shd w:val="clear" w:color="auto" w:fill="auto"/>
            <w:noWrap/>
            <w:vAlign w:val="center"/>
            <w:hideMark/>
          </w:tcPr>
          <w:p w14:paraId="3690552C"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3.82%</w:t>
            </w:r>
          </w:p>
        </w:tc>
        <w:tc>
          <w:tcPr>
            <w:tcW w:w="799" w:type="dxa"/>
            <w:tcBorders>
              <w:top w:val="nil"/>
              <w:left w:val="nil"/>
              <w:bottom w:val="single" w:sz="4" w:space="0" w:color="auto"/>
              <w:right w:val="nil"/>
            </w:tcBorders>
            <w:shd w:val="clear" w:color="auto" w:fill="auto"/>
            <w:noWrap/>
            <w:vAlign w:val="center"/>
            <w:hideMark/>
          </w:tcPr>
          <w:p w14:paraId="5A2054EC"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10.12%</w:t>
            </w:r>
          </w:p>
        </w:tc>
        <w:tc>
          <w:tcPr>
            <w:tcW w:w="799" w:type="dxa"/>
            <w:tcBorders>
              <w:top w:val="nil"/>
              <w:left w:val="nil"/>
              <w:bottom w:val="single" w:sz="4" w:space="0" w:color="auto"/>
              <w:right w:val="nil"/>
            </w:tcBorders>
            <w:shd w:val="clear" w:color="auto" w:fill="auto"/>
            <w:noWrap/>
            <w:vAlign w:val="center"/>
            <w:hideMark/>
          </w:tcPr>
          <w:p w14:paraId="2566B6B4"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3.46%</w:t>
            </w:r>
          </w:p>
        </w:tc>
        <w:tc>
          <w:tcPr>
            <w:tcW w:w="799" w:type="dxa"/>
            <w:tcBorders>
              <w:top w:val="nil"/>
              <w:left w:val="nil"/>
              <w:bottom w:val="single" w:sz="4" w:space="0" w:color="auto"/>
              <w:right w:val="nil"/>
            </w:tcBorders>
            <w:shd w:val="clear" w:color="auto" w:fill="auto"/>
            <w:noWrap/>
            <w:vAlign w:val="center"/>
            <w:hideMark/>
          </w:tcPr>
          <w:p w14:paraId="707BF07A"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9.01%</w:t>
            </w:r>
          </w:p>
        </w:tc>
        <w:tc>
          <w:tcPr>
            <w:tcW w:w="799" w:type="dxa"/>
            <w:tcBorders>
              <w:top w:val="nil"/>
              <w:left w:val="nil"/>
              <w:bottom w:val="single" w:sz="4" w:space="0" w:color="auto"/>
              <w:right w:val="nil"/>
            </w:tcBorders>
            <w:shd w:val="clear" w:color="auto" w:fill="auto"/>
            <w:noWrap/>
            <w:vAlign w:val="center"/>
            <w:hideMark/>
          </w:tcPr>
          <w:p w14:paraId="5DC57766"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14.37%</w:t>
            </w:r>
          </w:p>
        </w:tc>
        <w:tc>
          <w:tcPr>
            <w:tcW w:w="845" w:type="dxa"/>
            <w:tcBorders>
              <w:top w:val="nil"/>
              <w:left w:val="nil"/>
              <w:bottom w:val="single" w:sz="4" w:space="0" w:color="auto"/>
              <w:right w:val="nil"/>
            </w:tcBorders>
            <w:shd w:val="clear" w:color="auto" w:fill="auto"/>
            <w:noWrap/>
            <w:vAlign w:val="center"/>
            <w:hideMark/>
          </w:tcPr>
          <w:p w14:paraId="7B82604A"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7.17%</w:t>
            </w:r>
          </w:p>
        </w:tc>
      </w:tr>
      <w:tr w:rsidR="00FB6B80" w:rsidRPr="0084045A" w14:paraId="0B9F758D" w14:textId="77777777" w:rsidTr="00333403">
        <w:trPr>
          <w:trHeight w:val="288"/>
          <w:jc w:val="center"/>
        </w:trPr>
        <w:tc>
          <w:tcPr>
            <w:tcW w:w="2038" w:type="dxa"/>
            <w:tcBorders>
              <w:top w:val="nil"/>
              <w:left w:val="nil"/>
              <w:bottom w:val="single" w:sz="4" w:space="0" w:color="auto"/>
              <w:right w:val="nil"/>
            </w:tcBorders>
            <w:shd w:val="clear" w:color="auto" w:fill="auto"/>
            <w:noWrap/>
            <w:vAlign w:val="center"/>
            <w:hideMark/>
          </w:tcPr>
          <w:p w14:paraId="5E2A9353" w14:textId="77777777" w:rsidR="00FB6B80" w:rsidRPr="0084045A" w:rsidRDefault="00FB6B80" w:rsidP="00333403">
            <w:pPr>
              <w:spacing w:after="0" w:line="240" w:lineRule="auto"/>
              <w:rPr>
                <w:rFonts w:ascii="Calibri" w:eastAsia="Times New Roman" w:hAnsi="Calibri" w:cs="Calibri"/>
                <w:b/>
                <w:bCs/>
                <w:noProof/>
                <w:lang w:val="en-GB" w:eastAsia="es-MX"/>
              </w:rPr>
            </w:pPr>
            <w:r w:rsidRPr="0084045A">
              <w:rPr>
                <w:rFonts w:ascii="Calibri" w:eastAsia="Times New Roman" w:hAnsi="Calibri" w:cs="Calibri"/>
                <w:b/>
                <w:bCs/>
                <w:noProof/>
                <w:lang w:val="en-GB" w:eastAsia="es-MX"/>
              </w:rPr>
              <w:t>Weighted average</w:t>
            </w:r>
          </w:p>
        </w:tc>
        <w:tc>
          <w:tcPr>
            <w:tcW w:w="799" w:type="dxa"/>
            <w:tcBorders>
              <w:top w:val="nil"/>
              <w:left w:val="nil"/>
              <w:bottom w:val="single" w:sz="4" w:space="0" w:color="auto"/>
              <w:right w:val="nil"/>
            </w:tcBorders>
            <w:shd w:val="clear" w:color="auto" w:fill="auto"/>
            <w:noWrap/>
            <w:vAlign w:val="center"/>
            <w:hideMark/>
          </w:tcPr>
          <w:p w14:paraId="2262BF4E"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8.94%</w:t>
            </w:r>
          </w:p>
        </w:tc>
        <w:tc>
          <w:tcPr>
            <w:tcW w:w="799" w:type="dxa"/>
            <w:tcBorders>
              <w:top w:val="nil"/>
              <w:left w:val="nil"/>
              <w:bottom w:val="single" w:sz="4" w:space="0" w:color="auto"/>
              <w:right w:val="nil"/>
            </w:tcBorders>
            <w:shd w:val="clear" w:color="auto" w:fill="auto"/>
            <w:noWrap/>
            <w:vAlign w:val="center"/>
            <w:hideMark/>
          </w:tcPr>
          <w:p w14:paraId="4151D93F"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7.22%</w:t>
            </w:r>
          </w:p>
        </w:tc>
        <w:tc>
          <w:tcPr>
            <w:tcW w:w="688" w:type="dxa"/>
            <w:tcBorders>
              <w:top w:val="nil"/>
              <w:left w:val="nil"/>
              <w:bottom w:val="single" w:sz="4" w:space="0" w:color="auto"/>
              <w:right w:val="nil"/>
            </w:tcBorders>
            <w:shd w:val="clear" w:color="auto" w:fill="auto"/>
            <w:noWrap/>
            <w:vAlign w:val="center"/>
            <w:hideMark/>
          </w:tcPr>
          <w:p w14:paraId="7C080B6B"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3.11%</w:t>
            </w:r>
          </w:p>
        </w:tc>
        <w:tc>
          <w:tcPr>
            <w:tcW w:w="799" w:type="dxa"/>
            <w:tcBorders>
              <w:top w:val="nil"/>
              <w:left w:val="nil"/>
              <w:bottom w:val="single" w:sz="4" w:space="0" w:color="auto"/>
              <w:right w:val="nil"/>
            </w:tcBorders>
            <w:shd w:val="clear" w:color="auto" w:fill="auto"/>
            <w:noWrap/>
            <w:vAlign w:val="center"/>
            <w:hideMark/>
          </w:tcPr>
          <w:p w14:paraId="5BAAF74A"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10.88%</w:t>
            </w:r>
          </w:p>
        </w:tc>
        <w:tc>
          <w:tcPr>
            <w:tcW w:w="799" w:type="dxa"/>
            <w:tcBorders>
              <w:top w:val="nil"/>
              <w:left w:val="nil"/>
              <w:bottom w:val="single" w:sz="4" w:space="0" w:color="auto"/>
              <w:right w:val="nil"/>
            </w:tcBorders>
            <w:shd w:val="clear" w:color="auto" w:fill="auto"/>
            <w:noWrap/>
            <w:vAlign w:val="center"/>
            <w:hideMark/>
          </w:tcPr>
          <w:p w14:paraId="48DDAF9E"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9.46%</w:t>
            </w:r>
          </w:p>
        </w:tc>
        <w:tc>
          <w:tcPr>
            <w:tcW w:w="799" w:type="dxa"/>
            <w:tcBorders>
              <w:top w:val="nil"/>
              <w:left w:val="nil"/>
              <w:bottom w:val="single" w:sz="4" w:space="0" w:color="auto"/>
              <w:right w:val="nil"/>
            </w:tcBorders>
            <w:shd w:val="clear" w:color="auto" w:fill="auto"/>
            <w:noWrap/>
            <w:vAlign w:val="center"/>
            <w:hideMark/>
          </w:tcPr>
          <w:p w14:paraId="7BA72327"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9.46%</w:t>
            </w:r>
          </w:p>
        </w:tc>
        <w:tc>
          <w:tcPr>
            <w:tcW w:w="799" w:type="dxa"/>
            <w:tcBorders>
              <w:top w:val="nil"/>
              <w:left w:val="nil"/>
              <w:bottom w:val="single" w:sz="4" w:space="0" w:color="auto"/>
              <w:right w:val="nil"/>
            </w:tcBorders>
            <w:shd w:val="clear" w:color="auto" w:fill="auto"/>
            <w:noWrap/>
            <w:vAlign w:val="center"/>
            <w:hideMark/>
          </w:tcPr>
          <w:p w14:paraId="55FC7871"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8.14%</w:t>
            </w:r>
          </w:p>
        </w:tc>
        <w:tc>
          <w:tcPr>
            <w:tcW w:w="799" w:type="dxa"/>
            <w:tcBorders>
              <w:top w:val="nil"/>
              <w:left w:val="nil"/>
              <w:bottom w:val="single" w:sz="4" w:space="0" w:color="auto"/>
              <w:right w:val="nil"/>
            </w:tcBorders>
            <w:shd w:val="clear" w:color="auto" w:fill="auto"/>
            <w:noWrap/>
            <w:vAlign w:val="center"/>
            <w:hideMark/>
          </w:tcPr>
          <w:p w14:paraId="51A568D5"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8.98%</w:t>
            </w:r>
          </w:p>
        </w:tc>
        <w:tc>
          <w:tcPr>
            <w:tcW w:w="799" w:type="dxa"/>
            <w:tcBorders>
              <w:top w:val="nil"/>
              <w:left w:val="nil"/>
              <w:bottom w:val="single" w:sz="4" w:space="0" w:color="auto"/>
              <w:right w:val="nil"/>
            </w:tcBorders>
            <w:shd w:val="clear" w:color="auto" w:fill="auto"/>
            <w:noWrap/>
            <w:vAlign w:val="center"/>
            <w:hideMark/>
          </w:tcPr>
          <w:p w14:paraId="51B38ECA"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14.23%</w:t>
            </w:r>
          </w:p>
        </w:tc>
        <w:tc>
          <w:tcPr>
            <w:tcW w:w="845" w:type="dxa"/>
            <w:tcBorders>
              <w:top w:val="nil"/>
              <w:left w:val="nil"/>
              <w:bottom w:val="single" w:sz="4" w:space="0" w:color="auto"/>
              <w:right w:val="nil"/>
            </w:tcBorders>
            <w:shd w:val="clear" w:color="auto" w:fill="auto"/>
            <w:noWrap/>
            <w:vAlign w:val="center"/>
            <w:hideMark/>
          </w:tcPr>
          <w:p w14:paraId="7079CC4C" w14:textId="77777777" w:rsidR="00FB6B80" w:rsidRPr="0084045A" w:rsidRDefault="00FB6B80" w:rsidP="00333403">
            <w:pPr>
              <w:spacing w:after="0" w:line="240" w:lineRule="auto"/>
              <w:jc w:val="right"/>
              <w:rPr>
                <w:rFonts w:ascii="Calibri" w:eastAsia="Times New Roman" w:hAnsi="Calibri" w:cs="Calibri"/>
                <w:noProof/>
                <w:lang w:val="en-GB" w:eastAsia="es-MX"/>
              </w:rPr>
            </w:pPr>
            <w:r w:rsidRPr="0084045A">
              <w:rPr>
                <w:rFonts w:ascii="Calibri" w:eastAsia="Times New Roman" w:hAnsi="Calibri" w:cs="Calibri"/>
                <w:noProof/>
                <w:lang w:val="en-GB" w:eastAsia="es-MX"/>
              </w:rPr>
              <w:t>8.94%</w:t>
            </w:r>
          </w:p>
        </w:tc>
      </w:tr>
    </w:tbl>
    <w:p w14:paraId="7F6D5219" w14:textId="3C47F7A7" w:rsidR="00FB6B80" w:rsidRDefault="00FB6B80" w:rsidP="00FB6B80">
      <w:pPr>
        <w:spacing w:after="0" w:line="240" w:lineRule="auto"/>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 This season was projected as an average estimate of seasons 2009</w:t>
      </w:r>
      <w:r w:rsidR="00775FB5" w:rsidRPr="0084045A">
        <w:rPr>
          <w:rFonts w:ascii="Arial" w:hAnsi="Arial" w:cs="Arial"/>
          <w:noProof/>
          <w:color w:val="000000" w:themeColor="text1"/>
          <w:sz w:val="18"/>
          <w:szCs w:val="18"/>
          <w:lang w:val="en-GB"/>
        </w:rPr>
        <w:t>–</w:t>
      </w:r>
      <w:r w:rsidRPr="0084045A">
        <w:rPr>
          <w:rFonts w:ascii="Arial" w:hAnsi="Arial" w:cs="Arial"/>
          <w:noProof/>
          <w:color w:val="000000" w:themeColor="text1"/>
          <w:sz w:val="18"/>
          <w:szCs w:val="18"/>
          <w:lang w:val="en-GB"/>
        </w:rPr>
        <w:t>2010 to 2017</w:t>
      </w:r>
      <w:r w:rsidR="00775FB5" w:rsidRPr="0084045A">
        <w:rPr>
          <w:rFonts w:ascii="Arial" w:hAnsi="Arial" w:cs="Arial"/>
          <w:noProof/>
          <w:color w:val="000000" w:themeColor="text1"/>
          <w:sz w:val="18"/>
          <w:szCs w:val="18"/>
          <w:lang w:val="en-GB"/>
        </w:rPr>
        <w:t>–</w:t>
      </w:r>
      <w:r w:rsidRPr="0084045A">
        <w:rPr>
          <w:rFonts w:ascii="Arial" w:hAnsi="Arial" w:cs="Arial"/>
          <w:noProof/>
          <w:color w:val="000000" w:themeColor="text1"/>
          <w:sz w:val="18"/>
          <w:szCs w:val="18"/>
          <w:lang w:val="en-GB"/>
        </w:rPr>
        <w:t>2018, and it was used to estimate the economic benefits of influenza immunisation to school-aged population.</w:t>
      </w:r>
    </w:p>
    <w:p w14:paraId="6BE655F6" w14:textId="77777777" w:rsidR="007C5D84" w:rsidRDefault="007C5D84" w:rsidP="00FB6B80">
      <w:pPr>
        <w:spacing w:after="0" w:line="240" w:lineRule="auto"/>
        <w:rPr>
          <w:rFonts w:ascii="Arial" w:hAnsi="Arial" w:cs="Arial"/>
          <w:noProof/>
          <w:color w:val="000000" w:themeColor="text1"/>
          <w:sz w:val="18"/>
          <w:szCs w:val="18"/>
          <w:lang w:val="en-GB"/>
        </w:rPr>
      </w:pPr>
    </w:p>
    <w:p w14:paraId="7E7CBB45" w14:textId="77777777" w:rsidR="007C5D84" w:rsidRPr="0084045A" w:rsidRDefault="007C5D84" w:rsidP="00FB6B80">
      <w:pPr>
        <w:spacing w:after="0" w:line="240" w:lineRule="auto"/>
        <w:rPr>
          <w:rFonts w:ascii="Arial" w:hAnsi="Arial" w:cs="Arial"/>
          <w:noProof/>
          <w:color w:val="000000" w:themeColor="text1"/>
          <w:sz w:val="18"/>
          <w:szCs w:val="18"/>
          <w:lang w:val="en-GB"/>
        </w:rPr>
      </w:pPr>
    </w:p>
    <w:p w14:paraId="1FF38BE9" w14:textId="0611974F" w:rsidR="00FB6B80" w:rsidRPr="0084045A" w:rsidRDefault="007C5D84" w:rsidP="00EB15B2">
      <w:pPr>
        <w:spacing w:after="0" w:line="240" w:lineRule="auto"/>
        <w:ind w:right="190"/>
        <w:jc w:val="both"/>
        <w:rPr>
          <w:rFonts w:ascii="Arial" w:hAnsi="Arial" w:cs="Arial"/>
          <w:i/>
          <w:noProof/>
          <w:color w:val="000000" w:themeColor="text1"/>
          <w:sz w:val="20"/>
          <w:szCs w:val="20"/>
          <w:lang w:val="en-GB"/>
        </w:rPr>
      </w:pPr>
      <w:r w:rsidRPr="0084045A">
        <w:rPr>
          <w:rFonts w:ascii="Arial" w:hAnsi="Arial" w:cs="Arial"/>
          <w:i/>
          <w:noProof/>
          <w:color w:val="000000" w:themeColor="text1"/>
          <w:sz w:val="20"/>
          <w:szCs w:val="20"/>
          <w:lang w:val="en-GB"/>
        </w:rPr>
        <w:t xml:space="preserve">Source: </w:t>
      </w:r>
      <w:r w:rsidRPr="00E54268">
        <w:rPr>
          <w:rFonts w:ascii="Arial" w:hAnsi="Arial" w:cs="Arial"/>
          <w:i/>
          <w:noProof/>
          <w:color w:val="000000" w:themeColor="text1"/>
          <w:sz w:val="20"/>
          <w:szCs w:val="20"/>
          <w:lang w:val="en-GB"/>
        </w:rPr>
        <w:t>Centers for Disease Control and Prevention. Disease Burden of Influenza.</w:t>
      </w:r>
      <w:r>
        <w:rPr>
          <w:rFonts w:ascii="Arial" w:hAnsi="Arial" w:cs="Arial"/>
          <w:i/>
          <w:noProof/>
          <w:color w:val="000000" w:themeColor="text1"/>
          <w:sz w:val="20"/>
          <w:szCs w:val="20"/>
          <w:lang w:val="en-GB"/>
        </w:rPr>
        <w:t xml:space="preserve"> </w:t>
      </w:r>
      <w:r w:rsidRPr="00E54268">
        <w:rPr>
          <w:rFonts w:ascii="Arial" w:hAnsi="Arial" w:cs="Arial"/>
          <w:i/>
          <w:noProof/>
          <w:color w:val="000000" w:themeColor="text1"/>
          <w:sz w:val="20"/>
          <w:szCs w:val="20"/>
          <w:lang w:val="en-GB"/>
        </w:rPr>
        <w:t xml:space="preserve"> https://www.cdc.gov/flu/about/burden/index.html. Accessed 18 May</w:t>
      </w:r>
      <w:r>
        <w:rPr>
          <w:rFonts w:ascii="Arial" w:hAnsi="Arial" w:cs="Arial"/>
          <w:i/>
          <w:noProof/>
          <w:color w:val="000000" w:themeColor="text1"/>
          <w:sz w:val="20"/>
          <w:szCs w:val="20"/>
          <w:lang w:val="en-GB"/>
        </w:rPr>
        <w:t xml:space="preserve"> </w:t>
      </w:r>
      <w:r w:rsidRPr="00E54268">
        <w:rPr>
          <w:rFonts w:ascii="Arial" w:hAnsi="Arial" w:cs="Arial"/>
          <w:i/>
          <w:noProof/>
          <w:color w:val="000000" w:themeColor="text1"/>
          <w:sz w:val="20"/>
          <w:szCs w:val="20"/>
          <w:lang w:val="en-GB"/>
        </w:rPr>
        <w:t>2019.</w:t>
      </w:r>
    </w:p>
    <w:p w14:paraId="5D4B22D0" w14:textId="77777777" w:rsidR="00FB6B80" w:rsidRPr="0084045A" w:rsidRDefault="00FB6B80" w:rsidP="00FB6B80">
      <w:pPr>
        <w:spacing w:after="0" w:line="480" w:lineRule="auto"/>
        <w:rPr>
          <w:rFonts w:ascii="Arial" w:hAnsi="Arial" w:cs="Arial"/>
          <w:noProof/>
          <w:color w:val="000000" w:themeColor="text1"/>
          <w:lang w:val="en-GB"/>
        </w:rPr>
      </w:pPr>
    </w:p>
    <w:p w14:paraId="3E9C1E6E" w14:textId="77777777" w:rsidR="00091A14" w:rsidRPr="0084045A" w:rsidRDefault="00091A14">
      <w:pPr>
        <w:rPr>
          <w:rFonts w:ascii="Arial" w:hAnsi="Arial" w:cs="Arial"/>
          <w:b/>
          <w:i/>
          <w:iCs/>
          <w:noProof/>
          <w:color w:val="000000" w:themeColor="text1"/>
          <w:lang w:val="en-GB"/>
        </w:rPr>
      </w:pPr>
      <w:r w:rsidRPr="0084045A">
        <w:rPr>
          <w:rFonts w:ascii="Arial" w:hAnsi="Arial" w:cs="Arial"/>
          <w:b/>
          <w:i/>
          <w:iCs/>
          <w:noProof/>
          <w:color w:val="000000" w:themeColor="text1"/>
          <w:lang w:val="en-GB"/>
        </w:rPr>
        <w:br w:type="page"/>
      </w:r>
    </w:p>
    <w:p w14:paraId="2683761B" w14:textId="186039F5" w:rsidR="00FB6B80" w:rsidRPr="0084045A" w:rsidRDefault="00FB6B80" w:rsidP="0026691C">
      <w:pPr>
        <w:pStyle w:val="Ttulo2"/>
        <w:rPr>
          <w:noProof/>
          <w:lang w:val="en-GB"/>
        </w:rPr>
      </w:pPr>
      <w:r w:rsidRPr="0084045A">
        <w:rPr>
          <w:noProof/>
          <w:lang w:val="en-GB"/>
        </w:rPr>
        <w:lastRenderedPageBreak/>
        <w:t>Table S2.3. Estimated cases of influenza in Mexico, per season</w:t>
      </w:r>
    </w:p>
    <w:tbl>
      <w:tblPr>
        <w:tblW w:w="7300"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1825"/>
        <w:gridCol w:w="1825"/>
        <w:gridCol w:w="1825"/>
        <w:gridCol w:w="1825"/>
      </w:tblGrid>
      <w:tr w:rsidR="00FB6B80" w:rsidRPr="0084045A" w14:paraId="1735758F" w14:textId="77777777" w:rsidTr="00C15652">
        <w:trPr>
          <w:trHeight w:val="615"/>
        </w:trPr>
        <w:tc>
          <w:tcPr>
            <w:tcW w:w="1825" w:type="dxa"/>
            <w:shd w:val="clear" w:color="auto" w:fill="auto"/>
            <w:noWrap/>
            <w:vAlign w:val="center"/>
            <w:hideMark/>
          </w:tcPr>
          <w:p w14:paraId="1C56BCE8"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Season</w:t>
            </w:r>
          </w:p>
        </w:tc>
        <w:tc>
          <w:tcPr>
            <w:tcW w:w="1825" w:type="dxa"/>
            <w:shd w:val="clear" w:color="auto" w:fill="auto"/>
            <w:noWrap/>
            <w:vAlign w:val="center"/>
            <w:hideMark/>
          </w:tcPr>
          <w:p w14:paraId="4699D49E"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Population</w:t>
            </w:r>
          </w:p>
        </w:tc>
        <w:tc>
          <w:tcPr>
            <w:tcW w:w="1825" w:type="dxa"/>
            <w:tcBorders>
              <w:top w:val="nil"/>
              <w:bottom w:val="single" w:sz="4" w:space="0" w:color="auto"/>
            </w:tcBorders>
            <w:shd w:val="clear" w:color="auto" w:fill="auto"/>
            <w:vAlign w:val="center"/>
            <w:hideMark/>
          </w:tcPr>
          <w:p w14:paraId="167E7E0E"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 xml:space="preserve">Estimated cases </w:t>
            </w:r>
          </w:p>
          <w:p w14:paraId="0DB68B99"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of influenza</w:t>
            </w:r>
          </w:p>
        </w:tc>
        <w:tc>
          <w:tcPr>
            <w:tcW w:w="1825" w:type="dxa"/>
            <w:tcBorders>
              <w:top w:val="nil"/>
              <w:bottom w:val="single" w:sz="4" w:space="0" w:color="auto"/>
            </w:tcBorders>
            <w:shd w:val="clear" w:color="auto" w:fill="auto"/>
            <w:vAlign w:val="center"/>
            <w:hideMark/>
          </w:tcPr>
          <w:p w14:paraId="2F161C03"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 xml:space="preserve">Cases </w:t>
            </w:r>
          </w:p>
          <w:p w14:paraId="7E3D781A"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per 100,000</w:t>
            </w:r>
          </w:p>
        </w:tc>
      </w:tr>
      <w:tr w:rsidR="00FB6B80" w:rsidRPr="0084045A" w14:paraId="0704A118" w14:textId="77777777" w:rsidTr="00C15652">
        <w:trPr>
          <w:trHeight w:hRule="exact" w:val="284"/>
        </w:trPr>
        <w:tc>
          <w:tcPr>
            <w:tcW w:w="1825" w:type="dxa"/>
            <w:shd w:val="clear" w:color="auto" w:fill="auto"/>
            <w:noWrap/>
            <w:vAlign w:val="center"/>
            <w:hideMark/>
          </w:tcPr>
          <w:p w14:paraId="78EBA904" w14:textId="54B142D3"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2009</w:t>
            </w:r>
            <w:r w:rsidR="00313EDA"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2010</w:t>
            </w:r>
          </w:p>
        </w:tc>
        <w:tc>
          <w:tcPr>
            <w:tcW w:w="1825" w:type="dxa"/>
            <w:shd w:val="clear" w:color="auto" w:fill="auto"/>
            <w:noWrap/>
            <w:vAlign w:val="center"/>
            <w:hideMark/>
          </w:tcPr>
          <w:p w14:paraId="03BFF5E5"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113,462,004</w:t>
            </w:r>
          </w:p>
        </w:tc>
        <w:tc>
          <w:tcPr>
            <w:tcW w:w="1825" w:type="dxa"/>
            <w:tcBorders>
              <w:top w:val="single" w:sz="4" w:space="0" w:color="auto"/>
            </w:tcBorders>
            <w:shd w:val="clear" w:color="auto" w:fill="auto"/>
            <w:noWrap/>
            <w:vAlign w:val="center"/>
            <w:hideMark/>
          </w:tcPr>
          <w:p w14:paraId="7648F3F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10,121,012</w:t>
            </w:r>
          </w:p>
        </w:tc>
        <w:tc>
          <w:tcPr>
            <w:tcW w:w="1825" w:type="dxa"/>
            <w:tcBorders>
              <w:top w:val="single" w:sz="4" w:space="0" w:color="auto"/>
            </w:tcBorders>
            <w:shd w:val="clear" w:color="auto" w:fill="auto"/>
            <w:vAlign w:val="center"/>
            <w:hideMark/>
          </w:tcPr>
          <w:p w14:paraId="67C4E150" w14:textId="2F5D6D79"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8920.18</w:t>
            </w:r>
          </w:p>
        </w:tc>
      </w:tr>
      <w:tr w:rsidR="00FB6B80" w:rsidRPr="0084045A" w14:paraId="2D868565" w14:textId="77777777" w:rsidTr="00C15652">
        <w:trPr>
          <w:trHeight w:hRule="exact" w:val="284"/>
        </w:trPr>
        <w:tc>
          <w:tcPr>
            <w:tcW w:w="1825" w:type="dxa"/>
            <w:shd w:val="clear" w:color="auto" w:fill="auto"/>
            <w:noWrap/>
            <w:vAlign w:val="center"/>
            <w:hideMark/>
          </w:tcPr>
          <w:p w14:paraId="57A4BFD4" w14:textId="2E3D861D"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2010</w:t>
            </w:r>
            <w:r w:rsidR="00313EDA"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2011</w:t>
            </w:r>
          </w:p>
        </w:tc>
        <w:tc>
          <w:tcPr>
            <w:tcW w:w="1825" w:type="dxa"/>
            <w:shd w:val="clear" w:color="auto" w:fill="auto"/>
            <w:noWrap/>
            <w:vAlign w:val="center"/>
            <w:hideMark/>
          </w:tcPr>
          <w:p w14:paraId="6660050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114,551,762</w:t>
            </w:r>
          </w:p>
        </w:tc>
        <w:tc>
          <w:tcPr>
            <w:tcW w:w="1825" w:type="dxa"/>
            <w:shd w:val="clear" w:color="auto" w:fill="auto"/>
            <w:noWrap/>
            <w:vAlign w:val="center"/>
            <w:hideMark/>
          </w:tcPr>
          <w:p w14:paraId="0CACBAC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8,289,457</w:t>
            </w:r>
          </w:p>
        </w:tc>
        <w:tc>
          <w:tcPr>
            <w:tcW w:w="1825" w:type="dxa"/>
            <w:shd w:val="clear" w:color="auto" w:fill="auto"/>
            <w:vAlign w:val="center"/>
            <w:hideMark/>
          </w:tcPr>
          <w:p w14:paraId="5987103B" w14:textId="094EC122"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7236.43</w:t>
            </w:r>
          </w:p>
        </w:tc>
      </w:tr>
      <w:tr w:rsidR="00FB6B80" w:rsidRPr="0084045A" w14:paraId="7B5D6AA9" w14:textId="77777777" w:rsidTr="00C15652">
        <w:trPr>
          <w:trHeight w:hRule="exact" w:val="284"/>
        </w:trPr>
        <w:tc>
          <w:tcPr>
            <w:tcW w:w="1825" w:type="dxa"/>
            <w:shd w:val="clear" w:color="auto" w:fill="auto"/>
            <w:noWrap/>
            <w:vAlign w:val="center"/>
            <w:hideMark/>
          </w:tcPr>
          <w:p w14:paraId="1CB844FE" w14:textId="2D53EA7A"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2011</w:t>
            </w:r>
            <w:r w:rsidR="00313EDA"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2012</w:t>
            </w:r>
          </w:p>
        </w:tc>
        <w:tc>
          <w:tcPr>
            <w:tcW w:w="1825" w:type="dxa"/>
            <w:shd w:val="clear" w:color="auto" w:fill="auto"/>
            <w:noWrap/>
            <w:vAlign w:val="center"/>
            <w:hideMark/>
          </w:tcPr>
          <w:p w14:paraId="643B7AD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116,179,714</w:t>
            </w:r>
          </w:p>
        </w:tc>
        <w:tc>
          <w:tcPr>
            <w:tcW w:w="1825" w:type="dxa"/>
            <w:shd w:val="clear" w:color="auto" w:fill="auto"/>
            <w:noWrap/>
            <w:vAlign w:val="center"/>
            <w:hideMark/>
          </w:tcPr>
          <w:p w14:paraId="58E3AD1E"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3,617,815</w:t>
            </w:r>
          </w:p>
        </w:tc>
        <w:tc>
          <w:tcPr>
            <w:tcW w:w="1825" w:type="dxa"/>
            <w:shd w:val="clear" w:color="auto" w:fill="auto"/>
            <w:vAlign w:val="center"/>
            <w:hideMark/>
          </w:tcPr>
          <w:p w14:paraId="31754824" w14:textId="07571BD9"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3113.98</w:t>
            </w:r>
          </w:p>
        </w:tc>
      </w:tr>
      <w:tr w:rsidR="00FB6B80" w:rsidRPr="0084045A" w14:paraId="6D1BE1E2" w14:textId="77777777" w:rsidTr="00C15652">
        <w:trPr>
          <w:trHeight w:hRule="exact" w:val="284"/>
        </w:trPr>
        <w:tc>
          <w:tcPr>
            <w:tcW w:w="1825" w:type="dxa"/>
            <w:shd w:val="clear" w:color="auto" w:fill="auto"/>
            <w:noWrap/>
            <w:vAlign w:val="center"/>
            <w:hideMark/>
          </w:tcPr>
          <w:p w14:paraId="49D1D094" w14:textId="33D3F8EC"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2012</w:t>
            </w:r>
            <w:r w:rsidR="00313EDA"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2013</w:t>
            </w:r>
          </w:p>
        </w:tc>
        <w:tc>
          <w:tcPr>
            <w:tcW w:w="1825" w:type="dxa"/>
            <w:shd w:val="clear" w:color="auto" w:fill="auto"/>
            <w:noWrap/>
            <w:vAlign w:val="center"/>
            <w:hideMark/>
          </w:tcPr>
          <w:p w14:paraId="113B88E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117,668,241</w:t>
            </w:r>
          </w:p>
        </w:tc>
        <w:tc>
          <w:tcPr>
            <w:tcW w:w="1825" w:type="dxa"/>
            <w:shd w:val="clear" w:color="auto" w:fill="auto"/>
            <w:noWrap/>
            <w:vAlign w:val="center"/>
            <w:hideMark/>
          </w:tcPr>
          <w:p w14:paraId="34008054"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12,792,227</w:t>
            </w:r>
          </w:p>
        </w:tc>
        <w:tc>
          <w:tcPr>
            <w:tcW w:w="1825" w:type="dxa"/>
            <w:shd w:val="clear" w:color="auto" w:fill="auto"/>
            <w:vAlign w:val="center"/>
            <w:hideMark/>
          </w:tcPr>
          <w:p w14:paraId="1247F20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10,871.44</w:t>
            </w:r>
          </w:p>
        </w:tc>
      </w:tr>
      <w:tr w:rsidR="00FB6B80" w:rsidRPr="0084045A" w14:paraId="627F44BB" w14:textId="77777777" w:rsidTr="00C15652">
        <w:trPr>
          <w:trHeight w:hRule="exact" w:val="284"/>
        </w:trPr>
        <w:tc>
          <w:tcPr>
            <w:tcW w:w="1825" w:type="dxa"/>
            <w:shd w:val="clear" w:color="auto" w:fill="auto"/>
            <w:noWrap/>
            <w:vAlign w:val="center"/>
            <w:hideMark/>
          </w:tcPr>
          <w:p w14:paraId="61B58CEA" w14:textId="66014C33"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2013</w:t>
            </w:r>
            <w:r w:rsidR="00313EDA"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2014</w:t>
            </w:r>
          </w:p>
        </w:tc>
        <w:tc>
          <w:tcPr>
            <w:tcW w:w="1825" w:type="dxa"/>
            <w:shd w:val="clear" w:color="auto" w:fill="auto"/>
            <w:noWrap/>
            <w:vAlign w:val="center"/>
            <w:hideMark/>
          </w:tcPr>
          <w:p w14:paraId="0CEBE9E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119,216,240</w:t>
            </w:r>
          </w:p>
        </w:tc>
        <w:tc>
          <w:tcPr>
            <w:tcW w:w="1825" w:type="dxa"/>
            <w:shd w:val="clear" w:color="auto" w:fill="auto"/>
            <w:noWrap/>
            <w:vAlign w:val="center"/>
            <w:hideMark/>
          </w:tcPr>
          <w:p w14:paraId="517987F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11,242,231</w:t>
            </w:r>
          </w:p>
        </w:tc>
        <w:tc>
          <w:tcPr>
            <w:tcW w:w="1825" w:type="dxa"/>
            <w:shd w:val="clear" w:color="auto" w:fill="auto"/>
            <w:vAlign w:val="center"/>
            <w:hideMark/>
          </w:tcPr>
          <w:p w14:paraId="3E627715" w14:textId="5AD531E4"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9430.12</w:t>
            </w:r>
          </w:p>
        </w:tc>
      </w:tr>
      <w:tr w:rsidR="00FB6B80" w:rsidRPr="0084045A" w14:paraId="705F0447" w14:textId="77777777" w:rsidTr="00C15652">
        <w:trPr>
          <w:trHeight w:hRule="exact" w:val="284"/>
        </w:trPr>
        <w:tc>
          <w:tcPr>
            <w:tcW w:w="1825" w:type="dxa"/>
            <w:shd w:val="clear" w:color="auto" w:fill="auto"/>
            <w:noWrap/>
            <w:vAlign w:val="center"/>
            <w:hideMark/>
          </w:tcPr>
          <w:p w14:paraId="477CAD8C" w14:textId="3FE7F136"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2014</w:t>
            </w:r>
            <w:r w:rsidR="00313EDA"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2015</w:t>
            </w:r>
          </w:p>
        </w:tc>
        <w:tc>
          <w:tcPr>
            <w:tcW w:w="1825" w:type="dxa"/>
            <w:shd w:val="clear" w:color="auto" w:fill="auto"/>
            <w:noWrap/>
            <w:vAlign w:val="center"/>
            <w:hideMark/>
          </w:tcPr>
          <w:p w14:paraId="151AB81E"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120,653,293</w:t>
            </w:r>
          </w:p>
        </w:tc>
        <w:tc>
          <w:tcPr>
            <w:tcW w:w="1825" w:type="dxa"/>
            <w:shd w:val="clear" w:color="auto" w:fill="auto"/>
            <w:noWrap/>
            <w:vAlign w:val="center"/>
            <w:hideMark/>
          </w:tcPr>
          <w:p w14:paraId="3D160BB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11,378,804</w:t>
            </w:r>
          </w:p>
        </w:tc>
        <w:tc>
          <w:tcPr>
            <w:tcW w:w="1825" w:type="dxa"/>
            <w:shd w:val="clear" w:color="auto" w:fill="auto"/>
            <w:vAlign w:val="center"/>
            <w:hideMark/>
          </w:tcPr>
          <w:p w14:paraId="11CC9439" w14:textId="401D8859"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9430.99</w:t>
            </w:r>
          </w:p>
        </w:tc>
      </w:tr>
      <w:tr w:rsidR="00FB6B80" w:rsidRPr="0084045A" w14:paraId="07A5704E" w14:textId="77777777" w:rsidTr="00C15652">
        <w:trPr>
          <w:trHeight w:hRule="exact" w:val="284"/>
        </w:trPr>
        <w:tc>
          <w:tcPr>
            <w:tcW w:w="1825" w:type="dxa"/>
            <w:shd w:val="clear" w:color="auto" w:fill="auto"/>
            <w:noWrap/>
            <w:vAlign w:val="center"/>
            <w:hideMark/>
          </w:tcPr>
          <w:p w14:paraId="08341321" w14:textId="48048F1B"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2015</w:t>
            </w:r>
            <w:r w:rsidR="00313EDA"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2016</w:t>
            </w:r>
          </w:p>
        </w:tc>
        <w:tc>
          <w:tcPr>
            <w:tcW w:w="1825" w:type="dxa"/>
            <w:shd w:val="clear" w:color="auto" w:fill="auto"/>
            <w:noWrap/>
            <w:vAlign w:val="center"/>
            <w:hideMark/>
          </w:tcPr>
          <w:p w14:paraId="50CE8BD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122,038,924</w:t>
            </w:r>
          </w:p>
        </w:tc>
        <w:tc>
          <w:tcPr>
            <w:tcW w:w="1825" w:type="dxa"/>
            <w:shd w:val="clear" w:color="auto" w:fill="auto"/>
            <w:noWrap/>
            <w:vAlign w:val="center"/>
            <w:hideMark/>
          </w:tcPr>
          <w:p w14:paraId="1ED883F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9,881,013</w:t>
            </w:r>
          </w:p>
        </w:tc>
        <w:tc>
          <w:tcPr>
            <w:tcW w:w="1825" w:type="dxa"/>
            <w:shd w:val="clear" w:color="auto" w:fill="auto"/>
            <w:vAlign w:val="center"/>
            <w:hideMark/>
          </w:tcPr>
          <w:p w14:paraId="734A622E" w14:textId="71F2D14D"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8096.61</w:t>
            </w:r>
          </w:p>
        </w:tc>
      </w:tr>
      <w:tr w:rsidR="00FB6B80" w:rsidRPr="0084045A" w14:paraId="5E7A28A9" w14:textId="77777777" w:rsidTr="00C15652">
        <w:trPr>
          <w:trHeight w:hRule="exact" w:val="284"/>
        </w:trPr>
        <w:tc>
          <w:tcPr>
            <w:tcW w:w="1825" w:type="dxa"/>
            <w:shd w:val="clear" w:color="auto" w:fill="auto"/>
            <w:noWrap/>
            <w:vAlign w:val="center"/>
            <w:hideMark/>
          </w:tcPr>
          <w:p w14:paraId="70D221E5" w14:textId="0B5476A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2016</w:t>
            </w:r>
            <w:r w:rsidR="00313EDA"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2017</w:t>
            </w:r>
          </w:p>
        </w:tc>
        <w:tc>
          <w:tcPr>
            <w:tcW w:w="1825" w:type="dxa"/>
            <w:shd w:val="clear" w:color="auto" w:fill="auto"/>
            <w:noWrap/>
            <w:vAlign w:val="center"/>
            <w:hideMark/>
          </w:tcPr>
          <w:p w14:paraId="486B4BE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123,388,022</w:t>
            </w:r>
          </w:p>
        </w:tc>
        <w:tc>
          <w:tcPr>
            <w:tcW w:w="1825" w:type="dxa"/>
            <w:shd w:val="clear" w:color="auto" w:fill="auto"/>
            <w:noWrap/>
            <w:vAlign w:val="center"/>
            <w:hideMark/>
          </w:tcPr>
          <w:p w14:paraId="574C6EC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11,021,963</w:t>
            </w:r>
          </w:p>
        </w:tc>
        <w:tc>
          <w:tcPr>
            <w:tcW w:w="1825" w:type="dxa"/>
            <w:shd w:val="clear" w:color="auto" w:fill="auto"/>
            <w:vAlign w:val="center"/>
            <w:hideMark/>
          </w:tcPr>
          <w:p w14:paraId="2A42C487" w14:textId="4258ABED"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8932.77</w:t>
            </w:r>
          </w:p>
        </w:tc>
      </w:tr>
      <w:tr w:rsidR="00FB6B80" w:rsidRPr="0084045A" w14:paraId="71EF0475" w14:textId="77777777" w:rsidTr="00C15652">
        <w:trPr>
          <w:trHeight w:hRule="exact" w:val="284"/>
        </w:trPr>
        <w:tc>
          <w:tcPr>
            <w:tcW w:w="1825" w:type="dxa"/>
            <w:shd w:val="clear" w:color="auto" w:fill="auto"/>
            <w:noWrap/>
            <w:vAlign w:val="center"/>
            <w:hideMark/>
          </w:tcPr>
          <w:p w14:paraId="0F76CF63" w14:textId="5EC872F8"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2017</w:t>
            </w:r>
            <w:r w:rsidR="00313EDA"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2018</w:t>
            </w:r>
          </w:p>
        </w:tc>
        <w:tc>
          <w:tcPr>
            <w:tcW w:w="1825" w:type="dxa"/>
            <w:shd w:val="clear" w:color="auto" w:fill="auto"/>
            <w:noWrap/>
            <w:vAlign w:val="center"/>
            <w:hideMark/>
          </w:tcPr>
          <w:p w14:paraId="5BFEC355"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124,692,044</w:t>
            </w:r>
          </w:p>
        </w:tc>
        <w:tc>
          <w:tcPr>
            <w:tcW w:w="1825" w:type="dxa"/>
            <w:shd w:val="clear" w:color="auto" w:fill="auto"/>
            <w:noWrap/>
            <w:vAlign w:val="center"/>
            <w:hideMark/>
          </w:tcPr>
          <w:p w14:paraId="579880D3"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17,652,432</w:t>
            </w:r>
          </w:p>
        </w:tc>
        <w:tc>
          <w:tcPr>
            <w:tcW w:w="1825" w:type="dxa"/>
            <w:shd w:val="clear" w:color="auto" w:fill="auto"/>
            <w:vAlign w:val="center"/>
            <w:hideMark/>
          </w:tcPr>
          <w:p w14:paraId="1092FC8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14,156.82</w:t>
            </w:r>
          </w:p>
        </w:tc>
      </w:tr>
      <w:tr w:rsidR="00FB6B80" w:rsidRPr="0084045A" w14:paraId="1D7CEEFD" w14:textId="77777777" w:rsidTr="00C15652">
        <w:trPr>
          <w:trHeight w:hRule="exact" w:val="284"/>
        </w:trPr>
        <w:tc>
          <w:tcPr>
            <w:tcW w:w="1825" w:type="dxa"/>
            <w:shd w:val="clear" w:color="auto" w:fill="auto"/>
            <w:noWrap/>
            <w:vAlign w:val="center"/>
            <w:hideMark/>
          </w:tcPr>
          <w:p w14:paraId="798B03E5" w14:textId="4AEF860F"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2018</w:t>
            </w:r>
            <w:r w:rsidR="00313EDA"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2019</w:t>
            </w:r>
          </w:p>
        </w:tc>
        <w:tc>
          <w:tcPr>
            <w:tcW w:w="1825" w:type="dxa"/>
            <w:shd w:val="clear" w:color="auto" w:fill="auto"/>
            <w:noWrap/>
            <w:vAlign w:val="center"/>
            <w:hideMark/>
          </w:tcPr>
          <w:p w14:paraId="65217115"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125,262,111</w:t>
            </w:r>
          </w:p>
        </w:tc>
        <w:tc>
          <w:tcPr>
            <w:tcW w:w="1825" w:type="dxa"/>
            <w:shd w:val="clear" w:color="auto" w:fill="auto"/>
            <w:noWrap/>
            <w:vAlign w:val="center"/>
            <w:hideMark/>
          </w:tcPr>
          <w:p w14:paraId="4EFC2D7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11,165,666</w:t>
            </w:r>
          </w:p>
        </w:tc>
        <w:tc>
          <w:tcPr>
            <w:tcW w:w="1825" w:type="dxa"/>
            <w:shd w:val="clear" w:color="auto" w:fill="auto"/>
            <w:vAlign w:val="center"/>
            <w:hideMark/>
          </w:tcPr>
          <w:p w14:paraId="3B67F05D" w14:textId="61F6D1DA"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8913.84</w:t>
            </w:r>
          </w:p>
        </w:tc>
      </w:tr>
    </w:tbl>
    <w:p w14:paraId="5CE91329" w14:textId="77777777" w:rsidR="00FB6B80" w:rsidRPr="0084045A" w:rsidRDefault="00FB6B80" w:rsidP="00FB6B80">
      <w:pPr>
        <w:spacing w:after="0" w:line="240" w:lineRule="auto"/>
        <w:jc w:val="both"/>
        <w:rPr>
          <w:rFonts w:cstheme="minorHAnsi"/>
          <w:noProof/>
          <w:color w:val="000000" w:themeColor="text1"/>
          <w:lang w:val="en-GB"/>
        </w:rPr>
      </w:pPr>
    </w:p>
    <w:p w14:paraId="7490EF06" w14:textId="28A31D6D" w:rsidR="00FB6B80" w:rsidRPr="0084045A" w:rsidRDefault="00C15652" w:rsidP="00E54268">
      <w:pPr>
        <w:tabs>
          <w:tab w:val="right" w:pos="7089"/>
        </w:tabs>
        <w:spacing w:after="0" w:line="480" w:lineRule="auto"/>
        <w:ind w:right="1749"/>
        <w:rPr>
          <w:rFonts w:ascii="Arial" w:hAnsi="Arial" w:cs="Arial"/>
          <w:noProof/>
          <w:color w:val="000000" w:themeColor="text1"/>
          <w:sz w:val="20"/>
          <w:szCs w:val="20"/>
          <w:lang w:val="en-GB"/>
        </w:rPr>
      </w:pPr>
      <w:r w:rsidRPr="0084045A">
        <w:rPr>
          <w:rFonts w:ascii="Arial" w:hAnsi="Arial" w:cs="Arial"/>
          <w:i/>
          <w:noProof/>
          <w:color w:val="000000" w:themeColor="text1"/>
          <w:sz w:val="20"/>
          <w:szCs w:val="20"/>
          <w:lang w:val="en-GB"/>
        </w:rPr>
        <w:tab/>
      </w:r>
    </w:p>
    <w:p w14:paraId="1D9248FB" w14:textId="77777777" w:rsidR="00091A14" w:rsidRPr="0084045A" w:rsidRDefault="00091A14">
      <w:pPr>
        <w:rPr>
          <w:rFonts w:ascii="Arial" w:hAnsi="Arial" w:cs="Arial"/>
          <w:b/>
          <w:i/>
          <w:iCs/>
          <w:noProof/>
          <w:color w:val="000000" w:themeColor="text1"/>
          <w:lang w:val="en-GB"/>
        </w:rPr>
      </w:pPr>
      <w:r w:rsidRPr="0084045A">
        <w:rPr>
          <w:rFonts w:ascii="Arial" w:hAnsi="Arial" w:cs="Arial"/>
          <w:b/>
          <w:i/>
          <w:iCs/>
          <w:noProof/>
          <w:color w:val="000000" w:themeColor="text1"/>
          <w:lang w:val="en-GB"/>
        </w:rPr>
        <w:br w:type="page"/>
      </w:r>
    </w:p>
    <w:p w14:paraId="772E9EEE" w14:textId="0648452B" w:rsidR="00FB6B80" w:rsidRPr="0084045A" w:rsidRDefault="00FB6B80" w:rsidP="0026691C">
      <w:pPr>
        <w:pStyle w:val="Ttulo2"/>
        <w:rPr>
          <w:noProof/>
          <w:lang w:val="en-GB"/>
        </w:rPr>
      </w:pPr>
      <w:r w:rsidRPr="0084045A">
        <w:rPr>
          <w:noProof/>
          <w:lang w:val="en-GB"/>
        </w:rPr>
        <w:lastRenderedPageBreak/>
        <w:t>Table S2.4. Estimated cases of influenza in Mexico per season and age group</w:t>
      </w:r>
    </w:p>
    <w:tbl>
      <w:tblPr>
        <w:tblW w:w="9498" w:type="dxa"/>
        <w:jc w:val="center"/>
        <w:tblCellMar>
          <w:left w:w="70" w:type="dxa"/>
          <w:right w:w="70" w:type="dxa"/>
        </w:tblCellMar>
        <w:tblLook w:val="04A0" w:firstRow="1" w:lastRow="0" w:firstColumn="1" w:lastColumn="0" w:noHBand="0" w:noVBand="1"/>
      </w:tblPr>
      <w:tblGrid>
        <w:gridCol w:w="709"/>
        <w:gridCol w:w="941"/>
        <w:gridCol w:w="852"/>
        <w:gridCol w:w="852"/>
        <w:gridCol w:w="941"/>
        <w:gridCol w:w="941"/>
        <w:gridCol w:w="941"/>
        <w:gridCol w:w="852"/>
        <w:gridCol w:w="941"/>
        <w:gridCol w:w="941"/>
        <w:gridCol w:w="941"/>
      </w:tblGrid>
      <w:tr w:rsidR="00FB6B80" w:rsidRPr="0084045A" w14:paraId="3316157F" w14:textId="77777777" w:rsidTr="004445E6">
        <w:trPr>
          <w:cantSplit/>
          <w:trHeight w:val="1052"/>
          <w:jc w:val="center"/>
        </w:trPr>
        <w:tc>
          <w:tcPr>
            <w:tcW w:w="709" w:type="dxa"/>
            <w:tcBorders>
              <w:top w:val="nil"/>
              <w:left w:val="nil"/>
              <w:bottom w:val="single" w:sz="4" w:space="0" w:color="auto"/>
              <w:right w:val="nil"/>
            </w:tcBorders>
            <w:shd w:val="clear" w:color="auto" w:fill="auto"/>
            <w:noWrap/>
            <w:vAlign w:val="center"/>
            <w:hideMark/>
          </w:tcPr>
          <w:p w14:paraId="52940413" w14:textId="079AF5BC" w:rsidR="00FB6B80" w:rsidRPr="0084045A" w:rsidRDefault="00FB6B80" w:rsidP="00333403">
            <w:pPr>
              <w:spacing w:after="0" w:line="240" w:lineRule="auto"/>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Age group</w:t>
            </w:r>
            <w:r w:rsidR="00451B07" w:rsidRPr="0084045A">
              <w:rPr>
                <w:rFonts w:ascii="Arial" w:eastAsia="Times New Roman" w:hAnsi="Arial" w:cs="Arial"/>
                <w:b/>
                <w:bCs/>
                <w:noProof/>
                <w:sz w:val="16"/>
                <w:szCs w:val="16"/>
                <w:lang w:val="en-GB" w:eastAsia="es-MX"/>
              </w:rPr>
              <w:t>, years</w:t>
            </w:r>
          </w:p>
        </w:tc>
        <w:tc>
          <w:tcPr>
            <w:tcW w:w="941" w:type="dxa"/>
            <w:tcBorders>
              <w:top w:val="nil"/>
              <w:left w:val="nil"/>
              <w:bottom w:val="single" w:sz="4" w:space="0" w:color="auto"/>
              <w:right w:val="nil"/>
            </w:tcBorders>
            <w:shd w:val="clear" w:color="auto" w:fill="auto"/>
            <w:noWrap/>
            <w:textDirection w:val="btLr"/>
            <w:vAlign w:val="center"/>
            <w:hideMark/>
          </w:tcPr>
          <w:p w14:paraId="136D313C" w14:textId="54DD8152" w:rsidR="00FB6B80" w:rsidRPr="0084045A" w:rsidRDefault="00FB6B80" w:rsidP="00333403">
            <w:pPr>
              <w:spacing w:after="0" w:line="240" w:lineRule="auto"/>
              <w:ind w:left="113" w:right="113"/>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2009</w:t>
            </w:r>
            <w:r w:rsidR="00C15652"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2010</w:t>
            </w:r>
          </w:p>
        </w:tc>
        <w:tc>
          <w:tcPr>
            <w:tcW w:w="852" w:type="dxa"/>
            <w:tcBorders>
              <w:top w:val="nil"/>
              <w:left w:val="nil"/>
              <w:bottom w:val="single" w:sz="4" w:space="0" w:color="auto"/>
              <w:right w:val="nil"/>
            </w:tcBorders>
            <w:shd w:val="clear" w:color="auto" w:fill="auto"/>
            <w:noWrap/>
            <w:textDirection w:val="btLr"/>
            <w:vAlign w:val="center"/>
            <w:hideMark/>
          </w:tcPr>
          <w:p w14:paraId="5F068697" w14:textId="50B6FA8F" w:rsidR="00FB6B80" w:rsidRPr="0084045A" w:rsidRDefault="00FB6B80" w:rsidP="00333403">
            <w:pPr>
              <w:spacing w:after="0" w:line="240" w:lineRule="auto"/>
              <w:ind w:left="113" w:right="113"/>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2010</w:t>
            </w:r>
            <w:r w:rsidR="00C15652"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2011</w:t>
            </w:r>
          </w:p>
        </w:tc>
        <w:tc>
          <w:tcPr>
            <w:tcW w:w="852" w:type="dxa"/>
            <w:tcBorders>
              <w:top w:val="nil"/>
              <w:left w:val="nil"/>
              <w:bottom w:val="single" w:sz="4" w:space="0" w:color="auto"/>
              <w:right w:val="nil"/>
            </w:tcBorders>
            <w:shd w:val="clear" w:color="auto" w:fill="auto"/>
            <w:noWrap/>
            <w:textDirection w:val="btLr"/>
            <w:vAlign w:val="center"/>
            <w:hideMark/>
          </w:tcPr>
          <w:p w14:paraId="186626C0" w14:textId="16B71CA3" w:rsidR="00FB6B80" w:rsidRPr="0084045A" w:rsidRDefault="00FB6B80" w:rsidP="00333403">
            <w:pPr>
              <w:spacing w:after="0" w:line="240" w:lineRule="auto"/>
              <w:ind w:left="113" w:right="113"/>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2011</w:t>
            </w:r>
            <w:r w:rsidR="00C15652"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2012</w:t>
            </w:r>
          </w:p>
        </w:tc>
        <w:tc>
          <w:tcPr>
            <w:tcW w:w="941" w:type="dxa"/>
            <w:tcBorders>
              <w:top w:val="nil"/>
              <w:left w:val="nil"/>
              <w:bottom w:val="single" w:sz="4" w:space="0" w:color="auto"/>
              <w:right w:val="nil"/>
            </w:tcBorders>
            <w:shd w:val="clear" w:color="auto" w:fill="auto"/>
            <w:noWrap/>
            <w:textDirection w:val="btLr"/>
            <w:vAlign w:val="center"/>
            <w:hideMark/>
          </w:tcPr>
          <w:p w14:paraId="21E949B3" w14:textId="09D26725" w:rsidR="00FB6B80" w:rsidRPr="0084045A" w:rsidRDefault="00FB6B80" w:rsidP="00333403">
            <w:pPr>
              <w:spacing w:after="0" w:line="240" w:lineRule="auto"/>
              <w:ind w:left="113" w:right="113"/>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2012</w:t>
            </w:r>
            <w:r w:rsidR="00C15652"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2013</w:t>
            </w:r>
          </w:p>
        </w:tc>
        <w:tc>
          <w:tcPr>
            <w:tcW w:w="941" w:type="dxa"/>
            <w:tcBorders>
              <w:top w:val="nil"/>
              <w:left w:val="nil"/>
              <w:bottom w:val="single" w:sz="4" w:space="0" w:color="auto"/>
              <w:right w:val="nil"/>
            </w:tcBorders>
            <w:shd w:val="clear" w:color="auto" w:fill="auto"/>
            <w:noWrap/>
            <w:textDirection w:val="btLr"/>
            <w:vAlign w:val="center"/>
            <w:hideMark/>
          </w:tcPr>
          <w:p w14:paraId="0DBD297A" w14:textId="67CBA652" w:rsidR="00FB6B80" w:rsidRPr="0084045A" w:rsidRDefault="00FB6B80" w:rsidP="00333403">
            <w:pPr>
              <w:spacing w:after="0" w:line="240" w:lineRule="auto"/>
              <w:ind w:left="113" w:right="113"/>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2013</w:t>
            </w:r>
            <w:r w:rsidR="00C15652"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2014</w:t>
            </w:r>
          </w:p>
        </w:tc>
        <w:tc>
          <w:tcPr>
            <w:tcW w:w="941" w:type="dxa"/>
            <w:tcBorders>
              <w:top w:val="nil"/>
              <w:left w:val="nil"/>
              <w:bottom w:val="single" w:sz="4" w:space="0" w:color="auto"/>
              <w:right w:val="nil"/>
            </w:tcBorders>
            <w:shd w:val="clear" w:color="auto" w:fill="auto"/>
            <w:noWrap/>
            <w:textDirection w:val="btLr"/>
            <w:vAlign w:val="center"/>
            <w:hideMark/>
          </w:tcPr>
          <w:p w14:paraId="2CECF1CE" w14:textId="0AB87441" w:rsidR="00FB6B80" w:rsidRPr="0084045A" w:rsidRDefault="00FB6B80" w:rsidP="00333403">
            <w:pPr>
              <w:spacing w:after="0" w:line="240" w:lineRule="auto"/>
              <w:ind w:left="113" w:right="113"/>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2014</w:t>
            </w:r>
            <w:r w:rsidR="00C15652"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2015</w:t>
            </w:r>
          </w:p>
        </w:tc>
        <w:tc>
          <w:tcPr>
            <w:tcW w:w="852" w:type="dxa"/>
            <w:tcBorders>
              <w:top w:val="nil"/>
              <w:left w:val="nil"/>
              <w:bottom w:val="single" w:sz="4" w:space="0" w:color="auto"/>
              <w:right w:val="nil"/>
            </w:tcBorders>
            <w:shd w:val="clear" w:color="auto" w:fill="auto"/>
            <w:noWrap/>
            <w:textDirection w:val="btLr"/>
            <w:vAlign w:val="center"/>
            <w:hideMark/>
          </w:tcPr>
          <w:p w14:paraId="1905466D" w14:textId="61509AA2" w:rsidR="00FB6B80" w:rsidRPr="0084045A" w:rsidRDefault="00FB6B80" w:rsidP="00333403">
            <w:pPr>
              <w:spacing w:after="0" w:line="240" w:lineRule="auto"/>
              <w:ind w:left="113" w:right="113"/>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2015</w:t>
            </w:r>
            <w:r w:rsidR="00C15652"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2016</w:t>
            </w:r>
          </w:p>
        </w:tc>
        <w:tc>
          <w:tcPr>
            <w:tcW w:w="941" w:type="dxa"/>
            <w:tcBorders>
              <w:top w:val="nil"/>
              <w:left w:val="nil"/>
              <w:bottom w:val="single" w:sz="4" w:space="0" w:color="auto"/>
              <w:right w:val="nil"/>
            </w:tcBorders>
            <w:shd w:val="clear" w:color="auto" w:fill="auto"/>
            <w:noWrap/>
            <w:textDirection w:val="btLr"/>
            <w:vAlign w:val="center"/>
            <w:hideMark/>
          </w:tcPr>
          <w:p w14:paraId="7A6B8E39" w14:textId="6C491B74" w:rsidR="00FB6B80" w:rsidRPr="0084045A" w:rsidRDefault="00FB6B80" w:rsidP="00333403">
            <w:pPr>
              <w:spacing w:after="0" w:line="240" w:lineRule="auto"/>
              <w:ind w:left="113" w:right="113"/>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2016</w:t>
            </w:r>
            <w:r w:rsidR="00C15652"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2017</w:t>
            </w:r>
          </w:p>
        </w:tc>
        <w:tc>
          <w:tcPr>
            <w:tcW w:w="941" w:type="dxa"/>
            <w:tcBorders>
              <w:top w:val="nil"/>
              <w:left w:val="nil"/>
              <w:bottom w:val="single" w:sz="4" w:space="0" w:color="auto"/>
              <w:right w:val="nil"/>
            </w:tcBorders>
            <w:shd w:val="clear" w:color="auto" w:fill="auto"/>
            <w:noWrap/>
            <w:textDirection w:val="btLr"/>
            <w:vAlign w:val="center"/>
            <w:hideMark/>
          </w:tcPr>
          <w:p w14:paraId="0B3C1D9E" w14:textId="4BAF32D7" w:rsidR="00FB6B80" w:rsidRPr="0084045A" w:rsidRDefault="00FB6B80" w:rsidP="00333403">
            <w:pPr>
              <w:spacing w:after="0" w:line="240" w:lineRule="auto"/>
              <w:ind w:left="113" w:right="113"/>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2017</w:t>
            </w:r>
            <w:r w:rsidR="00C15652"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2018</w:t>
            </w:r>
          </w:p>
        </w:tc>
        <w:tc>
          <w:tcPr>
            <w:tcW w:w="587" w:type="dxa"/>
            <w:tcBorders>
              <w:top w:val="nil"/>
              <w:left w:val="nil"/>
              <w:bottom w:val="single" w:sz="4" w:space="0" w:color="auto"/>
              <w:right w:val="nil"/>
            </w:tcBorders>
            <w:shd w:val="clear" w:color="auto" w:fill="auto"/>
            <w:noWrap/>
            <w:textDirection w:val="btLr"/>
            <w:vAlign w:val="center"/>
            <w:hideMark/>
          </w:tcPr>
          <w:p w14:paraId="1C48E216" w14:textId="1B3E4C22" w:rsidR="00FB6B80" w:rsidRPr="0084045A" w:rsidRDefault="00FB6B80" w:rsidP="00333403">
            <w:pPr>
              <w:spacing w:after="0" w:line="240" w:lineRule="auto"/>
              <w:ind w:left="113" w:right="113"/>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2018</w:t>
            </w:r>
            <w:r w:rsidR="00C15652"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2019</w:t>
            </w:r>
          </w:p>
        </w:tc>
      </w:tr>
      <w:tr w:rsidR="00FB6B80" w:rsidRPr="0084045A" w14:paraId="1C3312E0"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7143891E" w14:textId="3FFB68A7"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&lt;1</w:t>
            </w:r>
          </w:p>
        </w:tc>
        <w:tc>
          <w:tcPr>
            <w:tcW w:w="941" w:type="dxa"/>
            <w:tcBorders>
              <w:top w:val="nil"/>
              <w:left w:val="nil"/>
              <w:bottom w:val="single" w:sz="4" w:space="0" w:color="auto"/>
              <w:right w:val="nil"/>
            </w:tcBorders>
            <w:shd w:val="clear" w:color="auto" w:fill="auto"/>
            <w:noWrap/>
            <w:vAlign w:val="center"/>
            <w:hideMark/>
          </w:tcPr>
          <w:p w14:paraId="46F037E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301,939</w:t>
            </w:r>
          </w:p>
        </w:tc>
        <w:tc>
          <w:tcPr>
            <w:tcW w:w="852" w:type="dxa"/>
            <w:tcBorders>
              <w:top w:val="nil"/>
              <w:left w:val="nil"/>
              <w:bottom w:val="single" w:sz="4" w:space="0" w:color="auto"/>
              <w:right w:val="nil"/>
            </w:tcBorders>
            <w:shd w:val="clear" w:color="auto" w:fill="auto"/>
            <w:noWrap/>
            <w:vAlign w:val="center"/>
            <w:hideMark/>
          </w:tcPr>
          <w:p w14:paraId="089CE03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305,261</w:t>
            </w:r>
          </w:p>
        </w:tc>
        <w:tc>
          <w:tcPr>
            <w:tcW w:w="852" w:type="dxa"/>
            <w:tcBorders>
              <w:top w:val="nil"/>
              <w:left w:val="nil"/>
              <w:bottom w:val="single" w:sz="4" w:space="0" w:color="auto"/>
              <w:right w:val="nil"/>
            </w:tcBorders>
            <w:shd w:val="clear" w:color="auto" w:fill="auto"/>
            <w:noWrap/>
            <w:vAlign w:val="center"/>
            <w:hideMark/>
          </w:tcPr>
          <w:p w14:paraId="0551CB1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104,246</w:t>
            </w:r>
          </w:p>
        </w:tc>
        <w:tc>
          <w:tcPr>
            <w:tcW w:w="941" w:type="dxa"/>
            <w:tcBorders>
              <w:top w:val="nil"/>
              <w:left w:val="nil"/>
              <w:bottom w:val="single" w:sz="4" w:space="0" w:color="auto"/>
              <w:right w:val="nil"/>
            </w:tcBorders>
            <w:shd w:val="clear" w:color="auto" w:fill="auto"/>
            <w:noWrap/>
            <w:vAlign w:val="center"/>
            <w:hideMark/>
          </w:tcPr>
          <w:p w14:paraId="2DE9CF0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395,243</w:t>
            </w:r>
          </w:p>
        </w:tc>
        <w:tc>
          <w:tcPr>
            <w:tcW w:w="941" w:type="dxa"/>
            <w:tcBorders>
              <w:top w:val="nil"/>
              <w:left w:val="nil"/>
              <w:bottom w:val="single" w:sz="4" w:space="0" w:color="auto"/>
              <w:right w:val="nil"/>
            </w:tcBorders>
            <w:shd w:val="clear" w:color="auto" w:fill="auto"/>
            <w:noWrap/>
            <w:vAlign w:val="center"/>
            <w:hideMark/>
          </w:tcPr>
          <w:p w14:paraId="7DB93CC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281,770</w:t>
            </w:r>
          </w:p>
        </w:tc>
        <w:tc>
          <w:tcPr>
            <w:tcW w:w="941" w:type="dxa"/>
            <w:tcBorders>
              <w:top w:val="nil"/>
              <w:left w:val="nil"/>
              <w:bottom w:val="single" w:sz="4" w:space="0" w:color="auto"/>
              <w:right w:val="nil"/>
            </w:tcBorders>
            <w:shd w:val="clear" w:color="auto" w:fill="auto"/>
            <w:noWrap/>
            <w:vAlign w:val="center"/>
            <w:hideMark/>
          </w:tcPr>
          <w:p w14:paraId="465D7F5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357,460</w:t>
            </w:r>
          </w:p>
        </w:tc>
        <w:tc>
          <w:tcPr>
            <w:tcW w:w="852" w:type="dxa"/>
            <w:tcBorders>
              <w:top w:val="nil"/>
              <w:left w:val="nil"/>
              <w:bottom w:val="single" w:sz="4" w:space="0" w:color="auto"/>
              <w:right w:val="nil"/>
            </w:tcBorders>
            <w:shd w:val="clear" w:color="auto" w:fill="auto"/>
            <w:noWrap/>
            <w:vAlign w:val="center"/>
            <w:hideMark/>
          </w:tcPr>
          <w:p w14:paraId="0BEA75B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254,564</w:t>
            </w:r>
          </w:p>
        </w:tc>
        <w:tc>
          <w:tcPr>
            <w:tcW w:w="941" w:type="dxa"/>
            <w:tcBorders>
              <w:top w:val="nil"/>
              <w:left w:val="nil"/>
              <w:bottom w:val="single" w:sz="4" w:space="0" w:color="auto"/>
              <w:right w:val="nil"/>
            </w:tcBorders>
            <w:shd w:val="clear" w:color="auto" w:fill="auto"/>
            <w:noWrap/>
            <w:vAlign w:val="center"/>
            <w:hideMark/>
          </w:tcPr>
          <w:p w14:paraId="3CB18EF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253,924</w:t>
            </w:r>
          </w:p>
        </w:tc>
        <w:tc>
          <w:tcPr>
            <w:tcW w:w="941" w:type="dxa"/>
            <w:tcBorders>
              <w:top w:val="nil"/>
              <w:left w:val="nil"/>
              <w:bottom w:val="single" w:sz="4" w:space="0" w:color="auto"/>
              <w:right w:val="nil"/>
            </w:tcBorders>
            <w:shd w:val="clear" w:color="auto" w:fill="auto"/>
            <w:noWrap/>
            <w:vAlign w:val="center"/>
            <w:hideMark/>
          </w:tcPr>
          <w:p w14:paraId="02C5A1A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441,711</w:t>
            </w:r>
          </w:p>
        </w:tc>
        <w:tc>
          <w:tcPr>
            <w:tcW w:w="587" w:type="dxa"/>
            <w:tcBorders>
              <w:top w:val="nil"/>
              <w:left w:val="nil"/>
              <w:bottom w:val="single" w:sz="4" w:space="0" w:color="auto"/>
              <w:right w:val="nil"/>
            </w:tcBorders>
            <w:shd w:val="clear" w:color="auto" w:fill="auto"/>
            <w:noWrap/>
            <w:vAlign w:val="center"/>
            <w:hideMark/>
          </w:tcPr>
          <w:p w14:paraId="72D6241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298,294</w:t>
            </w:r>
          </w:p>
        </w:tc>
      </w:tr>
      <w:tr w:rsidR="00FB6B80" w:rsidRPr="0084045A" w14:paraId="060EFA13"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6E67CC4D" w14:textId="273754F9"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4</w:t>
            </w:r>
          </w:p>
        </w:tc>
        <w:tc>
          <w:tcPr>
            <w:tcW w:w="941" w:type="dxa"/>
            <w:tcBorders>
              <w:top w:val="nil"/>
              <w:left w:val="nil"/>
              <w:bottom w:val="single" w:sz="4" w:space="0" w:color="auto"/>
              <w:right w:val="nil"/>
            </w:tcBorders>
            <w:shd w:val="clear" w:color="auto" w:fill="auto"/>
            <w:noWrap/>
            <w:vAlign w:val="center"/>
            <w:hideMark/>
          </w:tcPr>
          <w:p w14:paraId="1F15974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1,210,937</w:t>
            </w:r>
          </w:p>
        </w:tc>
        <w:tc>
          <w:tcPr>
            <w:tcW w:w="852" w:type="dxa"/>
            <w:tcBorders>
              <w:top w:val="nil"/>
              <w:left w:val="nil"/>
              <w:bottom w:val="single" w:sz="4" w:space="0" w:color="auto"/>
              <w:right w:val="nil"/>
            </w:tcBorders>
            <w:shd w:val="clear" w:color="auto" w:fill="auto"/>
            <w:noWrap/>
            <w:vAlign w:val="center"/>
            <w:hideMark/>
          </w:tcPr>
          <w:p w14:paraId="1A58D7C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1,229,880</w:t>
            </w:r>
          </w:p>
        </w:tc>
        <w:tc>
          <w:tcPr>
            <w:tcW w:w="852" w:type="dxa"/>
            <w:tcBorders>
              <w:top w:val="nil"/>
              <w:left w:val="nil"/>
              <w:bottom w:val="single" w:sz="4" w:space="0" w:color="auto"/>
              <w:right w:val="nil"/>
            </w:tcBorders>
            <w:shd w:val="clear" w:color="auto" w:fill="auto"/>
            <w:noWrap/>
            <w:vAlign w:val="center"/>
            <w:hideMark/>
          </w:tcPr>
          <w:p w14:paraId="5D59EEF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419,053</w:t>
            </w:r>
          </w:p>
        </w:tc>
        <w:tc>
          <w:tcPr>
            <w:tcW w:w="941" w:type="dxa"/>
            <w:tcBorders>
              <w:top w:val="nil"/>
              <w:left w:val="nil"/>
              <w:bottom w:val="single" w:sz="4" w:space="0" w:color="auto"/>
              <w:right w:val="nil"/>
            </w:tcBorders>
            <w:shd w:val="clear" w:color="auto" w:fill="auto"/>
            <w:noWrap/>
            <w:vAlign w:val="center"/>
            <w:hideMark/>
          </w:tcPr>
          <w:p w14:paraId="5E314A2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1,584,863</w:t>
            </w:r>
          </w:p>
        </w:tc>
        <w:tc>
          <w:tcPr>
            <w:tcW w:w="941" w:type="dxa"/>
            <w:tcBorders>
              <w:top w:val="nil"/>
              <w:left w:val="nil"/>
              <w:bottom w:val="single" w:sz="4" w:space="0" w:color="auto"/>
              <w:right w:val="nil"/>
            </w:tcBorders>
            <w:shd w:val="clear" w:color="auto" w:fill="auto"/>
            <w:noWrap/>
            <w:vAlign w:val="center"/>
            <w:hideMark/>
          </w:tcPr>
          <w:p w14:paraId="23F5AA0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1,127,300</w:t>
            </w:r>
          </w:p>
        </w:tc>
        <w:tc>
          <w:tcPr>
            <w:tcW w:w="941" w:type="dxa"/>
            <w:tcBorders>
              <w:top w:val="nil"/>
              <w:left w:val="nil"/>
              <w:bottom w:val="single" w:sz="4" w:space="0" w:color="auto"/>
              <w:right w:val="nil"/>
            </w:tcBorders>
            <w:shd w:val="clear" w:color="auto" w:fill="auto"/>
            <w:noWrap/>
            <w:vAlign w:val="center"/>
            <w:hideMark/>
          </w:tcPr>
          <w:p w14:paraId="2287D649"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1,427,447</w:t>
            </w:r>
          </w:p>
        </w:tc>
        <w:tc>
          <w:tcPr>
            <w:tcW w:w="852" w:type="dxa"/>
            <w:tcBorders>
              <w:top w:val="nil"/>
              <w:left w:val="nil"/>
              <w:bottom w:val="single" w:sz="4" w:space="0" w:color="auto"/>
              <w:right w:val="nil"/>
            </w:tcBorders>
            <w:shd w:val="clear" w:color="auto" w:fill="auto"/>
            <w:noWrap/>
            <w:vAlign w:val="center"/>
            <w:hideMark/>
          </w:tcPr>
          <w:p w14:paraId="503473E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1,016,194</w:t>
            </w:r>
          </w:p>
        </w:tc>
        <w:tc>
          <w:tcPr>
            <w:tcW w:w="941" w:type="dxa"/>
            <w:tcBorders>
              <w:top w:val="nil"/>
              <w:left w:val="nil"/>
              <w:bottom w:val="single" w:sz="4" w:space="0" w:color="auto"/>
              <w:right w:val="nil"/>
            </w:tcBorders>
            <w:shd w:val="clear" w:color="auto" w:fill="auto"/>
            <w:noWrap/>
            <w:vAlign w:val="center"/>
            <w:hideMark/>
          </w:tcPr>
          <w:p w14:paraId="074F466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1,013,446</w:t>
            </w:r>
          </w:p>
        </w:tc>
        <w:tc>
          <w:tcPr>
            <w:tcW w:w="941" w:type="dxa"/>
            <w:tcBorders>
              <w:top w:val="nil"/>
              <w:left w:val="nil"/>
              <w:bottom w:val="single" w:sz="4" w:space="0" w:color="auto"/>
              <w:right w:val="nil"/>
            </w:tcBorders>
            <w:shd w:val="clear" w:color="auto" w:fill="auto"/>
            <w:noWrap/>
            <w:vAlign w:val="center"/>
            <w:hideMark/>
          </w:tcPr>
          <w:p w14:paraId="074C9CF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1,762,785</w:t>
            </w:r>
          </w:p>
        </w:tc>
        <w:tc>
          <w:tcPr>
            <w:tcW w:w="587" w:type="dxa"/>
            <w:tcBorders>
              <w:top w:val="nil"/>
              <w:left w:val="nil"/>
              <w:bottom w:val="single" w:sz="4" w:space="0" w:color="auto"/>
              <w:right w:val="nil"/>
            </w:tcBorders>
            <w:shd w:val="clear" w:color="auto" w:fill="auto"/>
            <w:noWrap/>
            <w:vAlign w:val="center"/>
            <w:hideMark/>
          </w:tcPr>
          <w:p w14:paraId="212E3E0B"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1,190,477</w:t>
            </w:r>
          </w:p>
        </w:tc>
      </w:tr>
      <w:tr w:rsidR="00FB6B80" w:rsidRPr="0084045A" w14:paraId="5CF45FB8"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079C68B9" w14:textId="5AC4ADA5"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11</w:t>
            </w:r>
          </w:p>
        </w:tc>
        <w:tc>
          <w:tcPr>
            <w:tcW w:w="941" w:type="dxa"/>
            <w:tcBorders>
              <w:top w:val="nil"/>
              <w:left w:val="nil"/>
              <w:bottom w:val="single" w:sz="4" w:space="0" w:color="auto"/>
              <w:right w:val="nil"/>
            </w:tcBorders>
            <w:shd w:val="clear" w:color="auto" w:fill="auto"/>
            <w:noWrap/>
            <w:vAlign w:val="center"/>
            <w:hideMark/>
          </w:tcPr>
          <w:p w14:paraId="166A2F1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1,523,948</w:t>
            </w:r>
          </w:p>
        </w:tc>
        <w:tc>
          <w:tcPr>
            <w:tcW w:w="852" w:type="dxa"/>
            <w:tcBorders>
              <w:top w:val="nil"/>
              <w:left w:val="nil"/>
              <w:bottom w:val="single" w:sz="4" w:space="0" w:color="auto"/>
              <w:right w:val="nil"/>
            </w:tcBorders>
            <w:shd w:val="clear" w:color="auto" w:fill="auto"/>
            <w:noWrap/>
            <w:vAlign w:val="center"/>
            <w:hideMark/>
          </w:tcPr>
          <w:p w14:paraId="029C58F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1,300,700</w:t>
            </w:r>
          </w:p>
        </w:tc>
        <w:tc>
          <w:tcPr>
            <w:tcW w:w="852" w:type="dxa"/>
            <w:tcBorders>
              <w:top w:val="nil"/>
              <w:left w:val="nil"/>
              <w:bottom w:val="single" w:sz="4" w:space="0" w:color="auto"/>
              <w:right w:val="nil"/>
            </w:tcBorders>
            <w:shd w:val="clear" w:color="auto" w:fill="auto"/>
            <w:noWrap/>
            <w:vAlign w:val="center"/>
            <w:hideMark/>
          </w:tcPr>
          <w:p w14:paraId="430D177A"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586,163</w:t>
            </w:r>
          </w:p>
        </w:tc>
        <w:tc>
          <w:tcPr>
            <w:tcW w:w="941" w:type="dxa"/>
            <w:tcBorders>
              <w:top w:val="nil"/>
              <w:left w:val="nil"/>
              <w:bottom w:val="single" w:sz="4" w:space="0" w:color="auto"/>
              <w:right w:val="nil"/>
            </w:tcBorders>
            <w:shd w:val="clear" w:color="auto" w:fill="auto"/>
            <w:noWrap/>
            <w:vAlign w:val="center"/>
            <w:hideMark/>
          </w:tcPr>
          <w:p w14:paraId="684A7BD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1,956,918</w:t>
            </w:r>
          </w:p>
        </w:tc>
        <w:tc>
          <w:tcPr>
            <w:tcW w:w="941" w:type="dxa"/>
            <w:tcBorders>
              <w:top w:val="nil"/>
              <w:left w:val="nil"/>
              <w:bottom w:val="single" w:sz="4" w:space="0" w:color="auto"/>
              <w:right w:val="nil"/>
            </w:tcBorders>
            <w:shd w:val="clear" w:color="auto" w:fill="auto"/>
            <w:noWrap/>
            <w:vAlign w:val="center"/>
            <w:hideMark/>
          </w:tcPr>
          <w:p w14:paraId="0C7CB8E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1,165,989</w:t>
            </w:r>
          </w:p>
        </w:tc>
        <w:tc>
          <w:tcPr>
            <w:tcW w:w="941" w:type="dxa"/>
            <w:tcBorders>
              <w:top w:val="nil"/>
              <w:left w:val="nil"/>
              <w:bottom w:val="single" w:sz="4" w:space="0" w:color="auto"/>
              <w:right w:val="nil"/>
            </w:tcBorders>
            <w:shd w:val="clear" w:color="auto" w:fill="auto"/>
            <w:noWrap/>
            <w:vAlign w:val="center"/>
            <w:hideMark/>
          </w:tcPr>
          <w:p w14:paraId="27CE1D5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1,865,751</w:t>
            </w:r>
          </w:p>
        </w:tc>
        <w:tc>
          <w:tcPr>
            <w:tcW w:w="852" w:type="dxa"/>
            <w:tcBorders>
              <w:top w:val="nil"/>
              <w:left w:val="nil"/>
              <w:bottom w:val="single" w:sz="4" w:space="0" w:color="auto"/>
              <w:right w:val="nil"/>
            </w:tcBorders>
            <w:shd w:val="clear" w:color="auto" w:fill="auto"/>
            <w:noWrap/>
            <w:vAlign w:val="center"/>
            <w:hideMark/>
          </w:tcPr>
          <w:p w14:paraId="29480E3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1,265,614</w:t>
            </w:r>
          </w:p>
        </w:tc>
        <w:tc>
          <w:tcPr>
            <w:tcW w:w="941" w:type="dxa"/>
            <w:tcBorders>
              <w:top w:val="nil"/>
              <w:left w:val="nil"/>
              <w:bottom w:val="single" w:sz="4" w:space="0" w:color="auto"/>
              <w:right w:val="nil"/>
            </w:tcBorders>
            <w:shd w:val="clear" w:color="auto" w:fill="auto"/>
            <w:noWrap/>
            <w:vAlign w:val="center"/>
            <w:hideMark/>
          </w:tcPr>
          <w:p w14:paraId="4C5505C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1,727,674</w:t>
            </w:r>
          </w:p>
        </w:tc>
        <w:tc>
          <w:tcPr>
            <w:tcW w:w="941" w:type="dxa"/>
            <w:tcBorders>
              <w:top w:val="nil"/>
              <w:left w:val="nil"/>
              <w:bottom w:val="single" w:sz="4" w:space="0" w:color="auto"/>
              <w:right w:val="nil"/>
            </w:tcBorders>
            <w:shd w:val="clear" w:color="auto" w:fill="auto"/>
            <w:noWrap/>
            <w:vAlign w:val="center"/>
            <w:hideMark/>
          </w:tcPr>
          <w:p w14:paraId="74CB81E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2,173,794</w:t>
            </w:r>
          </w:p>
        </w:tc>
        <w:tc>
          <w:tcPr>
            <w:tcW w:w="587" w:type="dxa"/>
            <w:tcBorders>
              <w:top w:val="nil"/>
              <w:left w:val="nil"/>
              <w:bottom w:val="single" w:sz="4" w:space="0" w:color="auto"/>
              <w:right w:val="nil"/>
            </w:tcBorders>
            <w:shd w:val="clear" w:color="auto" w:fill="auto"/>
            <w:noWrap/>
            <w:vAlign w:val="center"/>
            <w:hideMark/>
          </w:tcPr>
          <w:p w14:paraId="3E444AB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1,488,395</w:t>
            </w:r>
          </w:p>
        </w:tc>
      </w:tr>
      <w:tr w:rsidR="00FB6B80" w:rsidRPr="0084045A" w14:paraId="4F0CC301"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260909FC" w14:textId="4513B06C"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12</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19</w:t>
            </w:r>
          </w:p>
        </w:tc>
        <w:tc>
          <w:tcPr>
            <w:tcW w:w="941" w:type="dxa"/>
            <w:tcBorders>
              <w:top w:val="nil"/>
              <w:left w:val="nil"/>
              <w:bottom w:val="single" w:sz="4" w:space="0" w:color="auto"/>
              <w:right w:val="nil"/>
            </w:tcBorders>
            <w:shd w:val="clear" w:color="auto" w:fill="auto"/>
            <w:noWrap/>
            <w:vAlign w:val="center"/>
            <w:hideMark/>
          </w:tcPr>
          <w:p w14:paraId="43D0D0DA"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1,594,041</w:t>
            </w:r>
          </w:p>
        </w:tc>
        <w:tc>
          <w:tcPr>
            <w:tcW w:w="852" w:type="dxa"/>
            <w:tcBorders>
              <w:top w:val="nil"/>
              <w:left w:val="nil"/>
              <w:bottom w:val="single" w:sz="4" w:space="0" w:color="auto"/>
              <w:right w:val="nil"/>
            </w:tcBorders>
            <w:shd w:val="clear" w:color="auto" w:fill="auto"/>
            <w:noWrap/>
            <w:vAlign w:val="center"/>
            <w:hideMark/>
          </w:tcPr>
          <w:p w14:paraId="3CE91FE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1,344,530</w:t>
            </w:r>
          </w:p>
        </w:tc>
        <w:tc>
          <w:tcPr>
            <w:tcW w:w="852" w:type="dxa"/>
            <w:tcBorders>
              <w:top w:val="nil"/>
              <w:left w:val="nil"/>
              <w:bottom w:val="single" w:sz="4" w:space="0" w:color="auto"/>
              <w:right w:val="nil"/>
            </w:tcBorders>
            <w:shd w:val="clear" w:color="auto" w:fill="auto"/>
            <w:noWrap/>
            <w:vAlign w:val="center"/>
            <w:hideMark/>
          </w:tcPr>
          <w:p w14:paraId="5679993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613,104</w:t>
            </w:r>
          </w:p>
        </w:tc>
        <w:tc>
          <w:tcPr>
            <w:tcW w:w="941" w:type="dxa"/>
            <w:tcBorders>
              <w:top w:val="nil"/>
              <w:left w:val="nil"/>
              <w:bottom w:val="single" w:sz="4" w:space="0" w:color="auto"/>
              <w:right w:val="nil"/>
            </w:tcBorders>
            <w:shd w:val="clear" w:color="auto" w:fill="auto"/>
            <w:noWrap/>
            <w:vAlign w:val="center"/>
            <w:hideMark/>
          </w:tcPr>
          <w:p w14:paraId="11F6B01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2,044,572</w:t>
            </w:r>
          </w:p>
        </w:tc>
        <w:tc>
          <w:tcPr>
            <w:tcW w:w="941" w:type="dxa"/>
            <w:tcBorders>
              <w:top w:val="nil"/>
              <w:left w:val="nil"/>
              <w:bottom w:val="single" w:sz="4" w:space="0" w:color="auto"/>
              <w:right w:val="nil"/>
            </w:tcBorders>
            <w:shd w:val="clear" w:color="auto" w:fill="auto"/>
            <w:noWrap/>
            <w:vAlign w:val="center"/>
            <w:hideMark/>
          </w:tcPr>
          <w:p w14:paraId="3FCE1A2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1,425,795</w:t>
            </w:r>
          </w:p>
        </w:tc>
        <w:tc>
          <w:tcPr>
            <w:tcW w:w="941" w:type="dxa"/>
            <w:tcBorders>
              <w:top w:val="nil"/>
              <w:left w:val="nil"/>
              <w:bottom w:val="single" w:sz="4" w:space="0" w:color="auto"/>
              <w:right w:val="nil"/>
            </w:tcBorders>
            <w:shd w:val="clear" w:color="auto" w:fill="auto"/>
            <w:noWrap/>
            <w:vAlign w:val="center"/>
            <w:hideMark/>
          </w:tcPr>
          <w:p w14:paraId="60CF168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1,878,270</w:t>
            </w:r>
          </w:p>
        </w:tc>
        <w:tc>
          <w:tcPr>
            <w:tcW w:w="852" w:type="dxa"/>
            <w:tcBorders>
              <w:top w:val="nil"/>
              <w:left w:val="nil"/>
              <w:bottom w:val="single" w:sz="4" w:space="0" w:color="auto"/>
              <w:right w:val="nil"/>
            </w:tcBorders>
            <w:shd w:val="clear" w:color="auto" w:fill="auto"/>
            <w:noWrap/>
            <w:vAlign w:val="center"/>
            <w:hideMark/>
          </w:tcPr>
          <w:p w14:paraId="03A0EFC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1,413,979</w:t>
            </w:r>
          </w:p>
        </w:tc>
        <w:tc>
          <w:tcPr>
            <w:tcW w:w="941" w:type="dxa"/>
            <w:tcBorders>
              <w:top w:val="nil"/>
              <w:left w:val="nil"/>
              <w:bottom w:val="single" w:sz="4" w:space="0" w:color="auto"/>
              <w:right w:val="nil"/>
            </w:tcBorders>
            <w:shd w:val="clear" w:color="auto" w:fill="auto"/>
            <w:noWrap/>
            <w:vAlign w:val="center"/>
            <w:hideMark/>
          </w:tcPr>
          <w:p w14:paraId="501B3C8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1,758,493</w:t>
            </w:r>
          </w:p>
        </w:tc>
        <w:tc>
          <w:tcPr>
            <w:tcW w:w="941" w:type="dxa"/>
            <w:tcBorders>
              <w:top w:val="nil"/>
              <w:left w:val="nil"/>
              <w:bottom w:val="single" w:sz="4" w:space="0" w:color="auto"/>
              <w:right w:val="nil"/>
            </w:tcBorders>
            <w:shd w:val="clear" w:color="auto" w:fill="auto"/>
            <w:noWrap/>
            <w:vAlign w:val="center"/>
            <w:hideMark/>
          </w:tcPr>
          <w:p w14:paraId="3FED9FF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2,329,343</w:t>
            </w:r>
          </w:p>
        </w:tc>
        <w:tc>
          <w:tcPr>
            <w:tcW w:w="587" w:type="dxa"/>
            <w:tcBorders>
              <w:top w:val="nil"/>
              <w:left w:val="nil"/>
              <w:bottom w:val="single" w:sz="4" w:space="0" w:color="auto"/>
              <w:right w:val="nil"/>
            </w:tcBorders>
            <w:shd w:val="clear" w:color="auto" w:fill="auto"/>
            <w:noWrap/>
            <w:vAlign w:val="center"/>
            <w:hideMark/>
          </w:tcPr>
          <w:p w14:paraId="1A1FBFC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1,589,118</w:t>
            </w:r>
          </w:p>
        </w:tc>
      </w:tr>
      <w:tr w:rsidR="00FB6B80" w:rsidRPr="0084045A" w14:paraId="6B4DAC17"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37A1E06B" w14:textId="028E433F"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20</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24</w:t>
            </w:r>
          </w:p>
        </w:tc>
        <w:tc>
          <w:tcPr>
            <w:tcW w:w="941" w:type="dxa"/>
            <w:tcBorders>
              <w:top w:val="nil"/>
              <w:left w:val="nil"/>
              <w:bottom w:val="single" w:sz="4" w:space="0" w:color="auto"/>
              <w:right w:val="nil"/>
            </w:tcBorders>
            <w:shd w:val="clear" w:color="auto" w:fill="auto"/>
            <w:noWrap/>
            <w:vAlign w:val="center"/>
            <w:hideMark/>
          </w:tcPr>
          <w:p w14:paraId="582B47A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708,065</w:t>
            </w:r>
          </w:p>
        </w:tc>
        <w:tc>
          <w:tcPr>
            <w:tcW w:w="852" w:type="dxa"/>
            <w:tcBorders>
              <w:top w:val="nil"/>
              <w:left w:val="nil"/>
              <w:bottom w:val="single" w:sz="4" w:space="0" w:color="auto"/>
              <w:right w:val="nil"/>
            </w:tcBorders>
            <w:shd w:val="clear" w:color="auto" w:fill="auto"/>
            <w:noWrap/>
            <w:vAlign w:val="center"/>
            <w:hideMark/>
          </w:tcPr>
          <w:p w14:paraId="0F68C94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555,688</w:t>
            </w:r>
          </w:p>
        </w:tc>
        <w:tc>
          <w:tcPr>
            <w:tcW w:w="852" w:type="dxa"/>
            <w:tcBorders>
              <w:top w:val="nil"/>
              <w:left w:val="nil"/>
              <w:bottom w:val="single" w:sz="4" w:space="0" w:color="auto"/>
              <w:right w:val="nil"/>
            </w:tcBorders>
            <w:shd w:val="clear" w:color="auto" w:fill="auto"/>
            <w:noWrap/>
            <w:vAlign w:val="center"/>
            <w:hideMark/>
          </w:tcPr>
          <w:p w14:paraId="41FD988E"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263,779</w:t>
            </w:r>
          </w:p>
        </w:tc>
        <w:tc>
          <w:tcPr>
            <w:tcW w:w="941" w:type="dxa"/>
            <w:tcBorders>
              <w:top w:val="nil"/>
              <w:left w:val="nil"/>
              <w:bottom w:val="single" w:sz="4" w:space="0" w:color="auto"/>
              <w:right w:val="nil"/>
            </w:tcBorders>
            <w:shd w:val="clear" w:color="auto" w:fill="auto"/>
            <w:noWrap/>
            <w:vAlign w:val="center"/>
            <w:hideMark/>
          </w:tcPr>
          <w:p w14:paraId="38D2668A"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872,707</w:t>
            </w:r>
          </w:p>
        </w:tc>
        <w:tc>
          <w:tcPr>
            <w:tcW w:w="941" w:type="dxa"/>
            <w:tcBorders>
              <w:top w:val="nil"/>
              <w:left w:val="nil"/>
              <w:bottom w:val="single" w:sz="4" w:space="0" w:color="auto"/>
              <w:right w:val="nil"/>
            </w:tcBorders>
            <w:shd w:val="clear" w:color="auto" w:fill="auto"/>
            <w:noWrap/>
            <w:vAlign w:val="center"/>
            <w:hideMark/>
          </w:tcPr>
          <w:p w14:paraId="7AB485A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1,009,093</w:t>
            </w:r>
          </w:p>
        </w:tc>
        <w:tc>
          <w:tcPr>
            <w:tcW w:w="941" w:type="dxa"/>
            <w:tcBorders>
              <w:top w:val="nil"/>
              <w:left w:val="nil"/>
              <w:bottom w:val="single" w:sz="4" w:space="0" w:color="auto"/>
              <w:right w:val="nil"/>
            </w:tcBorders>
            <w:shd w:val="clear" w:color="auto" w:fill="auto"/>
            <w:noWrap/>
            <w:vAlign w:val="center"/>
            <w:hideMark/>
          </w:tcPr>
          <w:p w14:paraId="7A779F5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670,122</w:t>
            </w:r>
          </w:p>
        </w:tc>
        <w:tc>
          <w:tcPr>
            <w:tcW w:w="852" w:type="dxa"/>
            <w:tcBorders>
              <w:top w:val="nil"/>
              <w:left w:val="nil"/>
              <w:bottom w:val="single" w:sz="4" w:space="0" w:color="auto"/>
              <w:right w:val="nil"/>
            </w:tcBorders>
            <w:shd w:val="clear" w:color="auto" w:fill="auto"/>
            <w:noWrap/>
            <w:vAlign w:val="center"/>
            <w:hideMark/>
          </w:tcPr>
          <w:p w14:paraId="5A27F63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790,435</w:t>
            </w:r>
          </w:p>
        </w:tc>
        <w:tc>
          <w:tcPr>
            <w:tcW w:w="941" w:type="dxa"/>
            <w:tcBorders>
              <w:top w:val="nil"/>
              <w:left w:val="nil"/>
              <w:bottom w:val="single" w:sz="4" w:space="0" w:color="auto"/>
              <w:right w:val="nil"/>
            </w:tcBorders>
            <w:shd w:val="clear" w:color="auto" w:fill="auto"/>
            <w:noWrap/>
            <w:vAlign w:val="center"/>
            <w:hideMark/>
          </w:tcPr>
          <w:p w14:paraId="4A1D655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669,502</w:t>
            </w:r>
          </w:p>
        </w:tc>
        <w:tc>
          <w:tcPr>
            <w:tcW w:w="941" w:type="dxa"/>
            <w:tcBorders>
              <w:top w:val="nil"/>
              <w:left w:val="nil"/>
              <w:bottom w:val="single" w:sz="4" w:space="0" w:color="auto"/>
              <w:right w:val="nil"/>
            </w:tcBorders>
            <w:shd w:val="clear" w:color="auto" w:fill="auto"/>
            <w:noWrap/>
            <w:vAlign w:val="center"/>
            <w:hideMark/>
          </w:tcPr>
          <w:p w14:paraId="64C56769"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1,129,345</w:t>
            </w:r>
          </w:p>
        </w:tc>
        <w:tc>
          <w:tcPr>
            <w:tcW w:w="587" w:type="dxa"/>
            <w:tcBorders>
              <w:top w:val="nil"/>
              <w:left w:val="nil"/>
              <w:bottom w:val="single" w:sz="4" w:space="0" w:color="auto"/>
              <w:right w:val="nil"/>
            </w:tcBorders>
            <w:shd w:val="clear" w:color="auto" w:fill="auto"/>
            <w:noWrap/>
            <w:vAlign w:val="center"/>
            <w:hideMark/>
          </w:tcPr>
          <w:p w14:paraId="041D18D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761,670</w:t>
            </w:r>
          </w:p>
        </w:tc>
      </w:tr>
      <w:tr w:rsidR="00FB6B80" w:rsidRPr="0084045A" w14:paraId="52CB6041"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1DCFE7F7" w14:textId="2C9B711B"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25</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29</w:t>
            </w:r>
          </w:p>
        </w:tc>
        <w:tc>
          <w:tcPr>
            <w:tcW w:w="941" w:type="dxa"/>
            <w:tcBorders>
              <w:top w:val="nil"/>
              <w:left w:val="nil"/>
              <w:bottom w:val="single" w:sz="4" w:space="0" w:color="auto"/>
              <w:right w:val="nil"/>
            </w:tcBorders>
            <w:shd w:val="clear" w:color="auto" w:fill="auto"/>
            <w:noWrap/>
            <w:vAlign w:val="center"/>
            <w:hideMark/>
          </w:tcPr>
          <w:p w14:paraId="4C02C11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657,067</w:t>
            </w:r>
          </w:p>
        </w:tc>
        <w:tc>
          <w:tcPr>
            <w:tcW w:w="852" w:type="dxa"/>
            <w:tcBorders>
              <w:top w:val="nil"/>
              <w:left w:val="nil"/>
              <w:bottom w:val="single" w:sz="4" w:space="0" w:color="auto"/>
              <w:right w:val="nil"/>
            </w:tcBorders>
            <w:shd w:val="clear" w:color="auto" w:fill="auto"/>
            <w:noWrap/>
            <w:vAlign w:val="center"/>
            <w:hideMark/>
          </w:tcPr>
          <w:p w14:paraId="20B5E7A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513,093</w:t>
            </w:r>
          </w:p>
        </w:tc>
        <w:tc>
          <w:tcPr>
            <w:tcW w:w="852" w:type="dxa"/>
            <w:tcBorders>
              <w:top w:val="nil"/>
              <w:left w:val="nil"/>
              <w:bottom w:val="single" w:sz="4" w:space="0" w:color="auto"/>
              <w:right w:val="nil"/>
            </w:tcBorders>
            <w:shd w:val="clear" w:color="auto" w:fill="auto"/>
            <w:noWrap/>
            <w:vAlign w:val="center"/>
            <w:hideMark/>
          </w:tcPr>
          <w:p w14:paraId="7D84747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242,421</w:t>
            </w:r>
          </w:p>
        </w:tc>
        <w:tc>
          <w:tcPr>
            <w:tcW w:w="941" w:type="dxa"/>
            <w:tcBorders>
              <w:top w:val="nil"/>
              <w:left w:val="nil"/>
              <w:bottom w:val="single" w:sz="4" w:space="0" w:color="auto"/>
              <w:right w:val="nil"/>
            </w:tcBorders>
            <w:shd w:val="clear" w:color="auto" w:fill="auto"/>
            <w:noWrap/>
            <w:vAlign w:val="center"/>
            <w:hideMark/>
          </w:tcPr>
          <w:p w14:paraId="5D73E22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799,114</w:t>
            </w:r>
          </w:p>
        </w:tc>
        <w:tc>
          <w:tcPr>
            <w:tcW w:w="941" w:type="dxa"/>
            <w:tcBorders>
              <w:top w:val="nil"/>
              <w:left w:val="nil"/>
              <w:bottom w:val="single" w:sz="4" w:space="0" w:color="auto"/>
              <w:right w:val="nil"/>
            </w:tcBorders>
            <w:shd w:val="clear" w:color="auto" w:fill="auto"/>
            <w:noWrap/>
            <w:vAlign w:val="center"/>
            <w:hideMark/>
          </w:tcPr>
          <w:p w14:paraId="41B8AAFE"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922,694</w:t>
            </w:r>
          </w:p>
        </w:tc>
        <w:tc>
          <w:tcPr>
            <w:tcW w:w="941" w:type="dxa"/>
            <w:tcBorders>
              <w:top w:val="nil"/>
              <w:left w:val="nil"/>
              <w:bottom w:val="single" w:sz="4" w:space="0" w:color="auto"/>
              <w:right w:val="nil"/>
            </w:tcBorders>
            <w:shd w:val="clear" w:color="auto" w:fill="auto"/>
            <w:noWrap/>
            <w:vAlign w:val="center"/>
            <w:hideMark/>
          </w:tcPr>
          <w:p w14:paraId="6484B98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613,606</w:t>
            </w:r>
          </w:p>
        </w:tc>
        <w:tc>
          <w:tcPr>
            <w:tcW w:w="852" w:type="dxa"/>
            <w:tcBorders>
              <w:top w:val="nil"/>
              <w:left w:val="nil"/>
              <w:bottom w:val="single" w:sz="4" w:space="0" w:color="auto"/>
              <w:right w:val="nil"/>
            </w:tcBorders>
            <w:shd w:val="clear" w:color="auto" w:fill="auto"/>
            <w:noWrap/>
            <w:vAlign w:val="center"/>
            <w:hideMark/>
          </w:tcPr>
          <w:p w14:paraId="52CE2F0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726,859</w:t>
            </w:r>
          </w:p>
        </w:tc>
        <w:tc>
          <w:tcPr>
            <w:tcW w:w="941" w:type="dxa"/>
            <w:tcBorders>
              <w:top w:val="nil"/>
              <w:left w:val="nil"/>
              <w:bottom w:val="single" w:sz="4" w:space="0" w:color="auto"/>
              <w:right w:val="nil"/>
            </w:tcBorders>
            <w:shd w:val="clear" w:color="auto" w:fill="auto"/>
            <w:noWrap/>
            <w:vAlign w:val="center"/>
            <w:hideMark/>
          </w:tcPr>
          <w:p w14:paraId="4AF0231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619,779</w:t>
            </w:r>
          </w:p>
        </w:tc>
        <w:tc>
          <w:tcPr>
            <w:tcW w:w="941" w:type="dxa"/>
            <w:tcBorders>
              <w:top w:val="nil"/>
              <w:left w:val="nil"/>
              <w:bottom w:val="single" w:sz="4" w:space="0" w:color="auto"/>
              <w:right w:val="nil"/>
            </w:tcBorders>
            <w:shd w:val="clear" w:color="auto" w:fill="auto"/>
            <w:noWrap/>
            <w:vAlign w:val="center"/>
            <w:hideMark/>
          </w:tcPr>
          <w:p w14:paraId="797E547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1,054,080</w:t>
            </w:r>
          </w:p>
        </w:tc>
        <w:tc>
          <w:tcPr>
            <w:tcW w:w="587" w:type="dxa"/>
            <w:tcBorders>
              <w:top w:val="nil"/>
              <w:left w:val="nil"/>
              <w:bottom w:val="single" w:sz="4" w:space="0" w:color="auto"/>
              <w:right w:val="nil"/>
            </w:tcBorders>
            <w:shd w:val="clear" w:color="auto" w:fill="auto"/>
            <w:noWrap/>
            <w:vAlign w:val="center"/>
            <w:hideMark/>
          </w:tcPr>
          <w:p w14:paraId="7E7B146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717,363</w:t>
            </w:r>
          </w:p>
        </w:tc>
      </w:tr>
      <w:tr w:rsidR="00FB6B80" w:rsidRPr="0084045A" w14:paraId="6252DC57"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5F38828A" w14:textId="2A8F367E"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30</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34</w:t>
            </w:r>
          </w:p>
        </w:tc>
        <w:tc>
          <w:tcPr>
            <w:tcW w:w="941" w:type="dxa"/>
            <w:tcBorders>
              <w:top w:val="nil"/>
              <w:left w:val="nil"/>
              <w:bottom w:val="single" w:sz="4" w:space="0" w:color="auto"/>
              <w:right w:val="nil"/>
            </w:tcBorders>
            <w:shd w:val="clear" w:color="auto" w:fill="auto"/>
            <w:noWrap/>
            <w:vAlign w:val="center"/>
            <w:hideMark/>
          </w:tcPr>
          <w:p w14:paraId="15F4DBA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622,072</w:t>
            </w:r>
          </w:p>
        </w:tc>
        <w:tc>
          <w:tcPr>
            <w:tcW w:w="852" w:type="dxa"/>
            <w:tcBorders>
              <w:top w:val="nil"/>
              <w:left w:val="nil"/>
              <w:bottom w:val="single" w:sz="4" w:space="0" w:color="auto"/>
              <w:right w:val="nil"/>
            </w:tcBorders>
            <w:shd w:val="clear" w:color="auto" w:fill="auto"/>
            <w:noWrap/>
            <w:vAlign w:val="center"/>
            <w:hideMark/>
          </w:tcPr>
          <w:p w14:paraId="6D9C32C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486,370</w:t>
            </w:r>
          </w:p>
        </w:tc>
        <w:tc>
          <w:tcPr>
            <w:tcW w:w="852" w:type="dxa"/>
            <w:tcBorders>
              <w:top w:val="nil"/>
              <w:left w:val="nil"/>
              <w:bottom w:val="single" w:sz="4" w:space="0" w:color="auto"/>
              <w:right w:val="nil"/>
            </w:tcBorders>
            <w:shd w:val="clear" w:color="auto" w:fill="auto"/>
            <w:noWrap/>
            <w:vAlign w:val="center"/>
            <w:hideMark/>
          </w:tcPr>
          <w:p w14:paraId="1C548EE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229,588</w:t>
            </w:r>
          </w:p>
        </w:tc>
        <w:tc>
          <w:tcPr>
            <w:tcW w:w="941" w:type="dxa"/>
            <w:tcBorders>
              <w:top w:val="nil"/>
              <w:left w:val="nil"/>
              <w:bottom w:val="single" w:sz="4" w:space="0" w:color="auto"/>
              <w:right w:val="nil"/>
            </w:tcBorders>
            <w:shd w:val="clear" w:color="auto" w:fill="auto"/>
            <w:noWrap/>
            <w:vAlign w:val="center"/>
            <w:hideMark/>
          </w:tcPr>
          <w:p w14:paraId="72FA030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754,672</w:t>
            </w:r>
          </w:p>
        </w:tc>
        <w:tc>
          <w:tcPr>
            <w:tcW w:w="941" w:type="dxa"/>
            <w:tcBorders>
              <w:top w:val="nil"/>
              <w:left w:val="nil"/>
              <w:bottom w:val="single" w:sz="4" w:space="0" w:color="auto"/>
              <w:right w:val="nil"/>
            </w:tcBorders>
            <w:shd w:val="clear" w:color="auto" w:fill="auto"/>
            <w:noWrap/>
            <w:vAlign w:val="center"/>
            <w:hideMark/>
          </w:tcPr>
          <w:p w14:paraId="7C52698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867,403</w:t>
            </w:r>
          </w:p>
        </w:tc>
        <w:tc>
          <w:tcPr>
            <w:tcW w:w="941" w:type="dxa"/>
            <w:tcBorders>
              <w:top w:val="nil"/>
              <w:left w:val="nil"/>
              <w:bottom w:val="single" w:sz="4" w:space="0" w:color="auto"/>
              <w:right w:val="nil"/>
            </w:tcBorders>
            <w:shd w:val="clear" w:color="auto" w:fill="auto"/>
            <w:noWrap/>
            <w:vAlign w:val="center"/>
            <w:hideMark/>
          </w:tcPr>
          <w:p w14:paraId="00A8099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573,752</w:t>
            </w:r>
          </w:p>
        </w:tc>
        <w:tc>
          <w:tcPr>
            <w:tcW w:w="852" w:type="dxa"/>
            <w:tcBorders>
              <w:top w:val="nil"/>
              <w:left w:val="nil"/>
              <w:bottom w:val="single" w:sz="4" w:space="0" w:color="auto"/>
              <w:right w:val="nil"/>
            </w:tcBorders>
            <w:shd w:val="clear" w:color="auto" w:fill="auto"/>
            <w:noWrap/>
            <w:vAlign w:val="center"/>
            <w:hideMark/>
          </w:tcPr>
          <w:p w14:paraId="49847E5B"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676,092</w:t>
            </w:r>
          </w:p>
        </w:tc>
        <w:tc>
          <w:tcPr>
            <w:tcW w:w="941" w:type="dxa"/>
            <w:tcBorders>
              <w:top w:val="nil"/>
              <w:left w:val="nil"/>
              <w:bottom w:val="single" w:sz="4" w:space="0" w:color="auto"/>
              <w:right w:val="nil"/>
            </w:tcBorders>
            <w:shd w:val="clear" w:color="auto" w:fill="auto"/>
            <w:noWrap/>
            <w:vAlign w:val="center"/>
            <w:hideMark/>
          </w:tcPr>
          <w:p w14:paraId="7AF0521B"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573,684</w:t>
            </w:r>
          </w:p>
        </w:tc>
        <w:tc>
          <w:tcPr>
            <w:tcW w:w="941" w:type="dxa"/>
            <w:tcBorders>
              <w:top w:val="nil"/>
              <w:left w:val="nil"/>
              <w:bottom w:val="single" w:sz="4" w:space="0" w:color="auto"/>
              <w:right w:val="nil"/>
            </w:tcBorders>
            <w:shd w:val="clear" w:color="auto" w:fill="auto"/>
            <w:noWrap/>
            <w:vAlign w:val="center"/>
            <w:hideMark/>
          </w:tcPr>
          <w:p w14:paraId="708AD46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971,974</w:t>
            </w:r>
          </w:p>
        </w:tc>
        <w:tc>
          <w:tcPr>
            <w:tcW w:w="587" w:type="dxa"/>
            <w:tcBorders>
              <w:top w:val="nil"/>
              <w:left w:val="nil"/>
              <w:bottom w:val="single" w:sz="4" w:space="0" w:color="auto"/>
              <w:right w:val="nil"/>
            </w:tcBorders>
            <w:shd w:val="clear" w:color="auto" w:fill="auto"/>
            <w:noWrap/>
            <w:vAlign w:val="center"/>
            <w:hideMark/>
          </w:tcPr>
          <w:p w14:paraId="1904A5A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660,469</w:t>
            </w:r>
          </w:p>
        </w:tc>
      </w:tr>
      <w:tr w:rsidR="00FB6B80" w:rsidRPr="0084045A" w14:paraId="12446170"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1FDBE10E" w14:textId="717CA97D"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35</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39</w:t>
            </w:r>
          </w:p>
        </w:tc>
        <w:tc>
          <w:tcPr>
            <w:tcW w:w="941" w:type="dxa"/>
            <w:tcBorders>
              <w:top w:val="nil"/>
              <w:left w:val="nil"/>
              <w:bottom w:val="single" w:sz="4" w:space="0" w:color="auto"/>
              <w:right w:val="nil"/>
            </w:tcBorders>
            <w:shd w:val="clear" w:color="auto" w:fill="auto"/>
            <w:noWrap/>
            <w:vAlign w:val="center"/>
            <w:hideMark/>
          </w:tcPr>
          <w:p w14:paraId="51559BB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575,441</w:t>
            </w:r>
          </w:p>
        </w:tc>
        <w:tc>
          <w:tcPr>
            <w:tcW w:w="852" w:type="dxa"/>
            <w:tcBorders>
              <w:top w:val="nil"/>
              <w:left w:val="nil"/>
              <w:bottom w:val="single" w:sz="4" w:space="0" w:color="auto"/>
              <w:right w:val="nil"/>
            </w:tcBorders>
            <w:shd w:val="clear" w:color="auto" w:fill="auto"/>
            <w:noWrap/>
            <w:vAlign w:val="center"/>
            <w:hideMark/>
          </w:tcPr>
          <w:p w14:paraId="5C42CBB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453,050</w:t>
            </w:r>
          </w:p>
        </w:tc>
        <w:tc>
          <w:tcPr>
            <w:tcW w:w="852" w:type="dxa"/>
            <w:tcBorders>
              <w:top w:val="nil"/>
              <w:left w:val="nil"/>
              <w:bottom w:val="single" w:sz="4" w:space="0" w:color="auto"/>
              <w:right w:val="nil"/>
            </w:tcBorders>
            <w:shd w:val="clear" w:color="auto" w:fill="auto"/>
            <w:noWrap/>
            <w:vAlign w:val="center"/>
            <w:hideMark/>
          </w:tcPr>
          <w:p w14:paraId="098CF87B"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215,211</w:t>
            </w:r>
          </w:p>
        </w:tc>
        <w:tc>
          <w:tcPr>
            <w:tcW w:w="941" w:type="dxa"/>
            <w:tcBorders>
              <w:top w:val="nil"/>
              <w:left w:val="nil"/>
              <w:bottom w:val="single" w:sz="4" w:space="0" w:color="auto"/>
              <w:right w:val="nil"/>
            </w:tcBorders>
            <w:shd w:val="clear" w:color="auto" w:fill="auto"/>
            <w:noWrap/>
            <w:vAlign w:val="center"/>
            <w:hideMark/>
          </w:tcPr>
          <w:p w14:paraId="00253C7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711,627</w:t>
            </w:r>
          </w:p>
        </w:tc>
        <w:tc>
          <w:tcPr>
            <w:tcW w:w="941" w:type="dxa"/>
            <w:tcBorders>
              <w:top w:val="nil"/>
              <w:left w:val="nil"/>
              <w:bottom w:val="single" w:sz="4" w:space="0" w:color="auto"/>
              <w:right w:val="nil"/>
            </w:tcBorders>
            <w:shd w:val="clear" w:color="auto" w:fill="auto"/>
            <w:noWrap/>
            <w:vAlign w:val="center"/>
            <w:hideMark/>
          </w:tcPr>
          <w:p w14:paraId="2F8E248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822,200</w:t>
            </w:r>
          </w:p>
        </w:tc>
        <w:tc>
          <w:tcPr>
            <w:tcW w:w="941" w:type="dxa"/>
            <w:tcBorders>
              <w:top w:val="nil"/>
              <w:left w:val="nil"/>
              <w:bottom w:val="single" w:sz="4" w:space="0" w:color="auto"/>
              <w:right w:val="nil"/>
            </w:tcBorders>
            <w:shd w:val="clear" w:color="auto" w:fill="auto"/>
            <w:noWrap/>
            <w:vAlign w:val="center"/>
            <w:hideMark/>
          </w:tcPr>
          <w:p w14:paraId="7B1D4EA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545,759</w:t>
            </w:r>
          </w:p>
        </w:tc>
        <w:tc>
          <w:tcPr>
            <w:tcW w:w="852" w:type="dxa"/>
            <w:tcBorders>
              <w:top w:val="nil"/>
              <w:left w:val="nil"/>
              <w:bottom w:val="single" w:sz="4" w:space="0" w:color="auto"/>
              <w:right w:val="nil"/>
            </w:tcBorders>
            <w:shd w:val="clear" w:color="auto" w:fill="auto"/>
            <w:noWrap/>
            <w:vAlign w:val="center"/>
            <w:hideMark/>
          </w:tcPr>
          <w:p w14:paraId="2E602B1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643,904</w:t>
            </w:r>
          </w:p>
        </w:tc>
        <w:tc>
          <w:tcPr>
            <w:tcW w:w="941" w:type="dxa"/>
            <w:tcBorders>
              <w:top w:val="nil"/>
              <w:left w:val="nil"/>
              <w:bottom w:val="single" w:sz="4" w:space="0" w:color="auto"/>
              <w:right w:val="nil"/>
            </w:tcBorders>
            <w:shd w:val="clear" w:color="auto" w:fill="auto"/>
            <w:noWrap/>
            <w:vAlign w:val="center"/>
            <w:hideMark/>
          </w:tcPr>
          <w:p w14:paraId="3A6144DB"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545,892</w:t>
            </w:r>
          </w:p>
        </w:tc>
        <w:tc>
          <w:tcPr>
            <w:tcW w:w="941" w:type="dxa"/>
            <w:tcBorders>
              <w:top w:val="nil"/>
              <w:left w:val="nil"/>
              <w:bottom w:val="single" w:sz="4" w:space="0" w:color="auto"/>
              <w:right w:val="nil"/>
            </w:tcBorders>
            <w:shd w:val="clear" w:color="auto" w:fill="auto"/>
            <w:noWrap/>
            <w:vAlign w:val="center"/>
            <w:hideMark/>
          </w:tcPr>
          <w:p w14:paraId="409B4DF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922,294</w:t>
            </w:r>
          </w:p>
        </w:tc>
        <w:tc>
          <w:tcPr>
            <w:tcW w:w="587" w:type="dxa"/>
            <w:tcBorders>
              <w:top w:val="nil"/>
              <w:left w:val="nil"/>
              <w:bottom w:val="single" w:sz="4" w:space="0" w:color="auto"/>
              <w:right w:val="nil"/>
            </w:tcBorders>
            <w:shd w:val="clear" w:color="auto" w:fill="auto"/>
            <w:noWrap/>
            <w:vAlign w:val="center"/>
            <w:hideMark/>
          </w:tcPr>
          <w:p w14:paraId="2109DBD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623,887</w:t>
            </w:r>
          </w:p>
        </w:tc>
      </w:tr>
      <w:tr w:rsidR="00FB6B80" w:rsidRPr="0084045A" w14:paraId="6025D7F5"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645AC959" w14:textId="794360C1"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40</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44</w:t>
            </w:r>
          </w:p>
        </w:tc>
        <w:tc>
          <w:tcPr>
            <w:tcW w:w="941" w:type="dxa"/>
            <w:tcBorders>
              <w:top w:val="nil"/>
              <w:left w:val="nil"/>
              <w:bottom w:val="single" w:sz="4" w:space="0" w:color="auto"/>
              <w:right w:val="nil"/>
            </w:tcBorders>
            <w:shd w:val="clear" w:color="auto" w:fill="auto"/>
            <w:noWrap/>
            <w:vAlign w:val="center"/>
            <w:hideMark/>
          </w:tcPr>
          <w:p w14:paraId="09EB360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506,251</w:t>
            </w:r>
          </w:p>
        </w:tc>
        <w:tc>
          <w:tcPr>
            <w:tcW w:w="852" w:type="dxa"/>
            <w:tcBorders>
              <w:top w:val="nil"/>
              <w:left w:val="nil"/>
              <w:bottom w:val="single" w:sz="4" w:space="0" w:color="auto"/>
              <w:right w:val="nil"/>
            </w:tcBorders>
            <w:shd w:val="clear" w:color="auto" w:fill="auto"/>
            <w:noWrap/>
            <w:vAlign w:val="center"/>
            <w:hideMark/>
          </w:tcPr>
          <w:p w14:paraId="1F83493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403,115</w:t>
            </w:r>
          </w:p>
        </w:tc>
        <w:tc>
          <w:tcPr>
            <w:tcW w:w="852" w:type="dxa"/>
            <w:tcBorders>
              <w:top w:val="nil"/>
              <w:left w:val="nil"/>
              <w:bottom w:val="single" w:sz="4" w:space="0" w:color="auto"/>
              <w:right w:val="nil"/>
            </w:tcBorders>
            <w:shd w:val="clear" w:color="auto" w:fill="auto"/>
            <w:noWrap/>
            <w:vAlign w:val="center"/>
            <w:hideMark/>
          </w:tcPr>
          <w:p w14:paraId="0A9D5539"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193,653</w:t>
            </w:r>
          </w:p>
        </w:tc>
        <w:tc>
          <w:tcPr>
            <w:tcW w:w="941" w:type="dxa"/>
            <w:tcBorders>
              <w:top w:val="nil"/>
              <w:left w:val="nil"/>
              <w:bottom w:val="single" w:sz="4" w:space="0" w:color="auto"/>
              <w:right w:val="nil"/>
            </w:tcBorders>
            <w:shd w:val="clear" w:color="auto" w:fill="auto"/>
            <w:noWrap/>
            <w:vAlign w:val="center"/>
            <w:hideMark/>
          </w:tcPr>
          <w:p w14:paraId="50DB17B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647,041</w:t>
            </w:r>
          </w:p>
        </w:tc>
        <w:tc>
          <w:tcPr>
            <w:tcW w:w="941" w:type="dxa"/>
            <w:tcBorders>
              <w:top w:val="nil"/>
              <w:left w:val="nil"/>
              <w:bottom w:val="single" w:sz="4" w:space="0" w:color="auto"/>
              <w:right w:val="nil"/>
            </w:tcBorders>
            <w:shd w:val="clear" w:color="auto" w:fill="auto"/>
            <w:noWrap/>
            <w:vAlign w:val="center"/>
            <w:hideMark/>
          </w:tcPr>
          <w:p w14:paraId="0028ACA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754,478</w:t>
            </w:r>
          </w:p>
        </w:tc>
        <w:tc>
          <w:tcPr>
            <w:tcW w:w="941" w:type="dxa"/>
            <w:tcBorders>
              <w:top w:val="nil"/>
              <w:left w:val="nil"/>
              <w:bottom w:val="single" w:sz="4" w:space="0" w:color="auto"/>
              <w:right w:val="nil"/>
            </w:tcBorders>
            <w:shd w:val="clear" w:color="auto" w:fill="auto"/>
            <w:noWrap/>
            <w:vAlign w:val="center"/>
            <w:hideMark/>
          </w:tcPr>
          <w:p w14:paraId="33755EB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504,854</w:t>
            </w:r>
          </w:p>
        </w:tc>
        <w:tc>
          <w:tcPr>
            <w:tcW w:w="852" w:type="dxa"/>
            <w:tcBorders>
              <w:top w:val="nil"/>
              <w:left w:val="nil"/>
              <w:bottom w:val="single" w:sz="4" w:space="0" w:color="auto"/>
              <w:right w:val="nil"/>
            </w:tcBorders>
            <w:shd w:val="clear" w:color="auto" w:fill="auto"/>
            <w:noWrap/>
            <w:vAlign w:val="center"/>
            <w:hideMark/>
          </w:tcPr>
          <w:p w14:paraId="38BF3B3E"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599,875</w:t>
            </w:r>
          </w:p>
        </w:tc>
        <w:tc>
          <w:tcPr>
            <w:tcW w:w="941" w:type="dxa"/>
            <w:tcBorders>
              <w:top w:val="nil"/>
              <w:left w:val="nil"/>
              <w:bottom w:val="single" w:sz="4" w:space="0" w:color="auto"/>
              <w:right w:val="nil"/>
            </w:tcBorders>
            <w:shd w:val="clear" w:color="auto" w:fill="auto"/>
            <w:noWrap/>
            <w:vAlign w:val="center"/>
            <w:hideMark/>
          </w:tcPr>
          <w:p w14:paraId="1B509A8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511,836</w:t>
            </w:r>
          </w:p>
        </w:tc>
        <w:tc>
          <w:tcPr>
            <w:tcW w:w="941" w:type="dxa"/>
            <w:tcBorders>
              <w:top w:val="nil"/>
              <w:left w:val="nil"/>
              <w:bottom w:val="single" w:sz="4" w:space="0" w:color="auto"/>
              <w:right w:val="nil"/>
            </w:tcBorders>
            <w:shd w:val="clear" w:color="auto" w:fill="auto"/>
            <w:noWrap/>
            <w:vAlign w:val="center"/>
            <w:hideMark/>
          </w:tcPr>
          <w:p w14:paraId="7E461C0A"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869,992</w:t>
            </w:r>
          </w:p>
        </w:tc>
        <w:tc>
          <w:tcPr>
            <w:tcW w:w="587" w:type="dxa"/>
            <w:tcBorders>
              <w:top w:val="nil"/>
              <w:left w:val="nil"/>
              <w:bottom w:val="single" w:sz="4" w:space="0" w:color="auto"/>
              <w:right w:val="nil"/>
            </w:tcBorders>
            <w:shd w:val="clear" w:color="auto" w:fill="auto"/>
            <w:noWrap/>
            <w:vAlign w:val="center"/>
            <w:hideMark/>
          </w:tcPr>
          <w:p w14:paraId="62AE9F6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591,651</w:t>
            </w:r>
          </w:p>
        </w:tc>
      </w:tr>
      <w:tr w:rsidR="00FB6B80" w:rsidRPr="0084045A" w14:paraId="0C477A59"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26DAABEB" w14:textId="21D48711"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45</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49</w:t>
            </w:r>
          </w:p>
        </w:tc>
        <w:tc>
          <w:tcPr>
            <w:tcW w:w="941" w:type="dxa"/>
            <w:tcBorders>
              <w:top w:val="nil"/>
              <w:left w:val="nil"/>
              <w:bottom w:val="single" w:sz="4" w:space="0" w:color="auto"/>
              <w:right w:val="nil"/>
            </w:tcBorders>
            <w:shd w:val="clear" w:color="auto" w:fill="auto"/>
            <w:noWrap/>
            <w:vAlign w:val="center"/>
            <w:hideMark/>
          </w:tcPr>
          <w:p w14:paraId="2E022F0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426,232</w:t>
            </w:r>
          </w:p>
        </w:tc>
        <w:tc>
          <w:tcPr>
            <w:tcW w:w="852" w:type="dxa"/>
            <w:tcBorders>
              <w:top w:val="nil"/>
              <w:left w:val="nil"/>
              <w:bottom w:val="single" w:sz="4" w:space="0" w:color="auto"/>
              <w:right w:val="nil"/>
            </w:tcBorders>
            <w:shd w:val="clear" w:color="auto" w:fill="auto"/>
            <w:noWrap/>
            <w:vAlign w:val="center"/>
            <w:hideMark/>
          </w:tcPr>
          <w:p w14:paraId="24D25B5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341,004</w:t>
            </w:r>
          </w:p>
        </w:tc>
        <w:tc>
          <w:tcPr>
            <w:tcW w:w="852" w:type="dxa"/>
            <w:tcBorders>
              <w:top w:val="nil"/>
              <w:left w:val="nil"/>
              <w:bottom w:val="single" w:sz="4" w:space="0" w:color="auto"/>
              <w:right w:val="nil"/>
            </w:tcBorders>
            <w:shd w:val="clear" w:color="auto" w:fill="auto"/>
            <w:noWrap/>
            <w:vAlign w:val="center"/>
            <w:hideMark/>
          </w:tcPr>
          <w:p w14:paraId="3507A70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164,906</w:t>
            </w:r>
          </w:p>
        </w:tc>
        <w:tc>
          <w:tcPr>
            <w:tcW w:w="941" w:type="dxa"/>
            <w:tcBorders>
              <w:top w:val="nil"/>
              <w:left w:val="nil"/>
              <w:bottom w:val="single" w:sz="4" w:space="0" w:color="auto"/>
              <w:right w:val="nil"/>
            </w:tcBorders>
            <w:shd w:val="clear" w:color="auto" w:fill="auto"/>
            <w:noWrap/>
            <w:vAlign w:val="center"/>
            <w:hideMark/>
          </w:tcPr>
          <w:p w14:paraId="019F596A"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555,644</w:t>
            </w:r>
          </w:p>
        </w:tc>
        <w:tc>
          <w:tcPr>
            <w:tcW w:w="941" w:type="dxa"/>
            <w:tcBorders>
              <w:top w:val="nil"/>
              <w:left w:val="nil"/>
              <w:bottom w:val="single" w:sz="4" w:space="0" w:color="auto"/>
              <w:right w:val="nil"/>
            </w:tcBorders>
            <w:shd w:val="clear" w:color="auto" w:fill="auto"/>
            <w:noWrap/>
            <w:vAlign w:val="center"/>
            <w:hideMark/>
          </w:tcPr>
          <w:p w14:paraId="5935EEE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654,332</w:t>
            </w:r>
          </w:p>
        </w:tc>
        <w:tc>
          <w:tcPr>
            <w:tcW w:w="941" w:type="dxa"/>
            <w:tcBorders>
              <w:top w:val="nil"/>
              <w:left w:val="nil"/>
              <w:bottom w:val="single" w:sz="4" w:space="0" w:color="auto"/>
              <w:right w:val="nil"/>
            </w:tcBorders>
            <w:shd w:val="clear" w:color="auto" w:fill="auto"/>
            <w:noWrap/>
            <w:vAlign w:val="center"/>
            <w:hideMark/>
          </w:tcPr>
          <w:p w14:paraId="051A108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442,654</w:t>
            </w:r>
          </w:p>
        </w:tc>
        <w:tc>
          <w:tcPr>
            <w:tcW w:w="852" w:type="dxa"/>
            <w:tcBorders>
              <w:top w:val="nil"/>
              <w:left w:val="nil"/>
              <w:bottom w:val="single" w:sz="4" w:space="0" w:color="auto"/>
              <w:right w:val="nil"/>
            </w:tcBorders>
            <w:shd w:val="clear" w:color="auto" w:fill="auto"/>
            <w:noWrap/>
            <w:vAlign w:val="center"/>
            <w:hideMark/>
          </w:tcPr>
          <w:p w14:paraId="53F7A68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532,041</w:t>
            </w:r>
          </w:p>
        </w:tc>
        <w:tc>
          <w:tcPr>
            <w:tcW w:w="941" w:type="dxa"/>
            <w:tcBorders>
              <w:top w:val="nil"/>
              <w:left w:val="nil"/>
              <w:bottom w:val="single" w:sz="4" w:space="0" w:color="auto"/>
              <w:right w:val="nil"/>
            </w:tcBorders>
            <w:shd w:val="clear" w:color="auto" w:fill="auto"/>
            <w:noWrap/>
            <w:vAlign w:val="center"/>
            <w:hideMark/>
          </w:tcPr>
          <w:p w14:paraId="5EBBC94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459,140</w:t>
            </w:r>
          </w:p>
        </w:tc>
        <w:tc>
          <w:tcPr>
            <w:tcW w:w="941" w:type="dxa"/>
            <w:tcBorders>
              <w:top w:val="nil"/>
              <w:left w:val="nil"/>
              <w:bottom w:val="single" w:sz="4" w:space="0" w:color="auto"/>
              <w:right w:val="nil"/>
            </w:tcBorders>
            <w:shd w:val="clear" w:color="auto" w:fill="auto"/>
            <w:noWrap/>
            <w:vAlign w:val="center"/>
            <w:hideMark/>
          </w:tcPr>
          <w:p w14:paraId="652592E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788,652</w:t>
            </w:r>
          </w:p>
        </w:tc>
        <w:tc>
          <w:tcPr>
            <w:tcW w:w="587" w:type="dxa"/>
            <w:tcBorders>
              <w:top w:val="nil"/>
              <w:left w:val="nil"/>
              <w:bottom w:val="single" w:sz="4" w:space="0" w:color="auto"/>
              <w:right w:val="nil"/>
            </w:tcBorders>
            <w:shd w:val="clear" w:color="auto" w:fill="auto"/>
            <w:noWrap/>
            <w:vAlign w:val="center"/>
            <w:hideMark/>
          </w:tcPr>
          <w:p w14:paraId="6D81167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541,341</w:t>
            </w:r>
          </w:p>
        </w:tc>
      </w:tr>
      <w:tr w:rsidR="00FB6B80" w:rsidRPr="0084045A" w14:paraId="060B2374"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2D2D54EA" w14:textId="0E870092"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50</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54</w:t>
            </w:r>
          </w:p>
        </w:tc>
        <w:tc>
          <w:tcPr>
            <w:tcW w:w="941" w:type="dxa"/>
            <w:tcBorders>
              <w:top w:val="nil"/>
              <w:left w:val="nil"/>
              <w:bottom w:val="single" w:sz="4" w:space="0" w:color="auto"/>
              <w:right w:val="nil"/>
            </w:tcBorders>
            <w:shd w:val="clear" w:color="auto" w:fill="auto"/>
            <w:noWrap/>
            <w:vAlign w:val="center"/>
            <w:hideMark/>
          </w:tcPr>
          <w:p w14:paraId="3F1F71C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620,591</w:t>
            </w:r>
          </w:p>
        </w:tc>
        <w:tc>
          <w:tcPr>
            <w:tcW w:w="852" w:type="dxa"/>
            <w:tcBorders>
              <w:top w:val="nil"/>
              <w:left w:val="nil"/>
              <w:bottom w:val="single" w:sz="4" w:space="0" w:color="auto"/>
              <w:right w:val="nil"/>
            </w:tcBorders>
            <w:shd w:val="clear" w:color="auto" w:fill="auto"/>
            <w:noWrap/>
            <w:vAlign w:val="center"/>
            <w:hideMark/>
          </w:tcPr>
          <w:p w14:paraId="345C677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426,818</w:t>
            </w:r>
          </w:p>
        </w:tc>
        <w:tc>
          <w:tcPr>
            <w:tcW w:w="852" w:type="dxa"/>
            <w:tcBorders>
              <w:top w:val="nil"/>
              <w:left w:val="nil"/>
              <w:bottom w:val="single" w:sz="4" w:space="0" w:color="auto"/>
              <w:right w:val="nil"/>
            </w:tcBorders>
            <w:shd w:val="clear" w:color="auto" w:fill="auto"/>
            <w:noWrap/>
            <w:vAlign w:val="center"/>
            <w:hideMark/>
          </w:tcPr>
          <w:p w14:paraId="57F9EBF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170,098</w:t>
            </w:r>
          </w:p>
        </w:tc>
        <w:tc>
          <w:tcPr>
            <w:tcW w:w="941" w:type="dxa"/>
            <w:tcBorders>
              <w:top w:val="nil"/>
              <w:left w:val="nil"/>
              <w:bottom w:val="single" w:sz="4" w:space="0" w:color="auto"/>
              <w:right w:val="nil"/>
            </w:tcBorders>
            <w:shd w:val="clear" w:color="auto" w:fill="auto"/>
            <w:noWrap/>
            <w:vAlign w:val="center"/>
            <w:hideMark/>
          </w:tcPr>
          <w:p w14:paraId="29DF25B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708,848</w:t>
            </w:r>
          </w:p>
        </w:tc>
        <w:tc>
          <w:tcPr>
            <w:tcW w:w="941" w:type="dxa"/>
            <w:tcBorders>
              <w:top w:val="nil"/>
              <w:left w:val="nil"/>
              <w:bottom w:val="single" w:sz="4" w:space="0" w:color="auto"/>
              <w:right w:val="nil"/>
            </w:tcBorders>
            <w:shd w:val="clear" w:color="auto" w:fill="auto"/>
            <w:noWrap/>
            <w:vAlign w:val="center"/>
            <w:hideMark/>
          </w:tcPr>
          <w:p w14:paraId="70B7EC3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780,004</w:t>
            </w:r>
          </w:p>
        </w:tc>
        <w:tc>
          <w:tcPr>
            <w:tcW w:w="941" w:type="dxa"/>
            <w:tcBorders>
              <w:top w:val="nil"/>
              <w:left w:val="nil"/>
              <w:bottom w:val="single" w:sz="4" w:space="0" w:color="auto"/>
              <w:right w:val="nil"/>
            </w:tcBorders>
            <w:shd w:val="clear" w:color="auto" w:fill="auto"/>
            <w:noWrap/>
            <w:vAlign w:val="center"/>
            <w:hideMark/>
          </w:tcPr>
          <w:p w14:paraId="5AEF214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682,024</w:t>
            </w:r>
          </w:p>
        </w:tc>
        <w:tc>
          <w:tcPr>
            <w:tcW w:w="852" w:type="dxa"/>
            <w:tcBorders>
              <w:top w:val="nil"/>
              <w:left w:val="nil"/>
              <w:bottom w:val="single" w:sz="4" w:space="0" w:color="auto"/>
              <w:right w:val="nil"/>
            </w:tcBorders>
            <w:shd w:val="clear" w:color="auto" w:fill="auto"/>
            <w:noWrap/>
            <w:vAlign w:val="center"/>
            <w:hideMark/>
          </w:tcPr>
          <w:p w14:paraId="22DB718A"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677,626</w:t>
            </w:r>
          </w:p>
        </w:tc>
        <w:tc>
          <w:tcPr>
            <w:tcW w:w="941" w:type="dxa"/>
            <w:tcBorders>
              <w:top w:val="nil"/>
              <w:left w:val="nil"/>
              <w:bottom w:val="single" w:sz="4" w:space="0" w:color="auto"/>
              <w:right w:val="nil"/>
            </w:tcBorders>
            <w:shd w:val="clear" w:color="auto" w:fill="auto"/>
            <w:noWrap/>
            <w:vAlign w:val="center"/>
            <w:hideMark/>
          </w:tcPr>
          <w:p w14:paraId="579F741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851,767</w:t>
            </w:r>
          </w:p>
        </w:tc>
        <w:tc>
          <w:tcPr>
            <w:tcW w:w="941" w:type="dxa"/>
            <w:tcBorders>
              <w:top w:val="nil"/>
              <w:left w:val="nil"/>
              <w:bottom w:val="single" w:sz="4" w:space="0" w:color="auto"/>
              <w:right w:val="nil"/>
            </w:tcBorders>
            <w:shd w:val="clear" w:color="auto" w:fill="auto"/>
            <w:noWrap/>
            <w:vAlign w:val="center"/>
            <w:hideMark/>
          </w:tcPr>
          <w:p w14:paraId="1B34FEE8"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1,580,555</w:t>
            </w:r>
          </w:p>
        </w:tc>
        <w:tc>
          <w:tcPr>
            <w:tcW w:w="587" w:type="dxa"/>
            <w:tcBorders>
              <w:top w:val="nil"/>
              <w:left w:val="nil"/>
              <w:bottom w:val="single" w:sz="4" w:space="0" w:color="auto"/>
              <w:right w:val="nil"/>
            </w:tcBorders>
            <w:shd w:val="clear" w:color="auto" w:fill="auto"/>
            <w:noWrap/>
            <w:vAlign w:val="center"/>
            <w:hideMark/>
          </w:tcPr>
          <w:p w14:paraId="5B23C36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819,425</w:t>
            </w:r>
          </w:p>
        </w:tc>
      </w:tr>
      <w:tr w:rsidR="00FB6B80" w:rsidRPr="0084045A" w14:paraId="566B7FD1"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745BC9FE" w14:textId="6E07A95B"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55</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59</w:t>
            </w:r>
          </w:p>
        </w:tc>
        <w:tc>
          <w:tcPr>
            <w:tcW w:w="941" w:type="dxa"/>
            <w:tcBorders>
              <w:top w:val="nil"/>
              <w:left w:val="nil"/>
              <w:bottom w:val="single" w:sz="4" w:space="0" w:color="auto"/>
              <w:right w:val="nil"/>
            </w:tcBorders>
            <w:shd w:val="clear" w:color="auto" w:fill="auto"/>
            <w:noWrap/>
            <w:vAlign w:val="center"/>
            <w:hideMark/>
          </w:tcPr>
          <w:p w14:paraId="0060FF9A"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494,139</w:t>
            </w:r>
          </w:p>
        </w:tc>
        <w:tc>
          <w:tcPr>
            <w:tcW w:w="852" w:type="dxa"/>
            <w:tcBorders>
              <w:top w:val="nil"/>
              <w:left w:val="nil"/>
              <w:bottom w:val="single" w:sz="4" w:space="0" w:color="auto"/>
              <w:right w:val="nil"/>
            </w:tcBorders>
            <w:shd w:val="clear" w:color="auto" w:fill="auto"/>
            <w:noWrap/>
            <w:vAlign w:val="center"/>
            <w:hideMark/>
          </w:tcPr>
          <w:p w14:paraId="243A60D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342,152</w:t>
            </w:r>
          </w:p>
        </w:tc>
        <w:tc>
          <w:tcPr>
            <w:tcW w:w="852" w:type="dxa"/>
            <w:tcBorders>
              <w:top w:val="nil"/>
              <w:left w:val="nil"/>
              <w:bottom w:val="single" w:sz="4" w:space="0" w:color="auto"/>
              <w:right w:val="nil"/>
            </w:tcBorders>
            <w:shd w:val="clear" w:color="auto" w:fill="auto"/>
            <w:noWrap/>
            <w:vAlign w:val="center"/>
            <w:hideMark/>
          </w:tcPr>
          <w:p w14:paraId="6EA1937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137,293</w:t>
            </w:r>
          </w:p>
        </w:tc>
        <w:tc>
          <w:tcPr>
            <w:tcW w:w="941" w:type="dxa"/>
            <w:tcBorders>
              <w:top w:val="nil"/>
              <w:left w:val="nil"/>
              <w:bottom w:val="single" w:sz="4" w:space="0" w:color="auto"/>
              <w:right w:val="nil"/>
            </w:tcBorders>
            <w:shd w:val="clear" w:color="auto" w:fill="auto"/>
            <w:noWrap/>
            <w:vAlign w:val="center"/>
            <w:hideMark/>
          </w:tcPr>
          <w:p w14:paraId="47A2F40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575,685</w:t>
            </w:r>
          </w:p>
        </w:tc>
        <w:tc>
          <w:tcPr>
            <w:tcW w:w="941" w:type="dxa"/>
            <w:tcBorders>
              <w:top w:val="nil"/>
              <w:left w:val="nil"/>
              <w:bottom w:val="single" w:sz="4" w:space="0" w:color="auto"/>
              <w:right w:val="nil"/>
            </w:tcBorders>
            <w:shd w:val="clear" w:color="auto" w:fill="auto"/>
            <w:noWrap/>
            <w:vAlign w:val="center"/>
            <w:hideMark/>
          </w:tcPr>
          <w:p w14:paraId="51797D0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636,591</w:t>
            </w:r>
          </w:p>
        </w:tc>
        <w:tc>
          <w:tcPr>
            <w:tcW w:w="941" w:type="dxa"/>
            <w:tcBorders>
              <w:top w:val="nil"/>
              <w:left w:val="nil"/>
              <w:bottom w:val="single" w:sz="4" w:space="0" w:color="auto"/>
              <w:right w:val="nil"/>
            </w:tcBorders>
            <w:shd w:val="clear" w:color="auto" w:fill="auto"/>
            <w:noWrap/>
            <w:vAlign w:val="center"/>
            <w:hideMark/>
          </w:tcPr>
          <w:p w14:paraId="3CBD408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558,511</w:t>
            </w:r>
          </w:p>
        </w:tc>
        <w:tc>
          <w:tcPr>
            <w:tcW w:w="852" w:type="dxa"/>
            <w:tcBorders>
              <w:top w:val="nil"/>
              <w:left w:val="nil"/>
              <w:bottom w:val="single" w:sz="4" w:space="0" w:color="auto"/>
              <w:right w:val="nil"/>
            </w:tcBorders>
            <w:shd w:val="clear" w:color="auto" w:fill="auto"/>
            <w:noWrap/>
            <w:vAlign w:val="center"/>
            <w:hideMark/>
          </w:tcPr>
          <w:p w14:paraId="4360E7C9"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556,028</w:t>
            </w:r>
          </w:p>
        </w:tc>
        <w:tc>
          <w:tcPr>
            <w:tcW w:w="941" w:type="dxa"/>
            <w:tcBorders>
              <w:top w:val="nil"/>
              <w:left w:val="nil"/>
              <w:bottom w:val="single" w:sz="4" w:space="0" w:color="auto"/>
              <w:right w:val="nil"/>
            </w:tcBorders>
            <w:shd w:val="clear" w:color="auto" w:fill="auto"/>
            <w:noWrap/>
            <w:vAlign w:val="center"/>
            <w:hideMark/>
          </w:tcPr>
          <w:p w14:paraId="77A8F01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699,749</w:t>
            </w:r>
          </w:p>
        </w:tc>
        <w:tc>
          <w:tcPr>
            <w:tcW w:w="941" w:type="dxa"/>
            <w:tcBorders>
              <w:top w:val="nil"/>
              <w:left w:val="nil"/>
              <w:bottom w:val="single" w:sz="4" w:space="0" w:color="auto"/>
              <w:right w:val="nil"/>
            </w:tcBorders>
            <w:shd w:val="clear" w:color="auto" w:fill="auto"/>
            <w:noWrap/>
            <w:vAlign w:val="center"/>
            <w:hideMark/>
          </w:tcPr>
          <w:p w14:paraId="270ECB8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1,299,947</w:t>
            </w:r>
          </w:p>
        </w:tc>
        <w:tc>
          <w:tcPr>
            <w:tcW w:w="587" w:type="dxa"/>
            <w:tcBorders>
              <w:top w:val="nil"/>
              <w:left w:val="nil"/>
              <w:bottom w:val="single" w:sz="4" w:space="0" w:color="auto"/>
              <w:right w:val="nil"/>
            </w:tcBorders>
            <w:shd w:val="clear" w:color="auto" w:fill="auto"/>
            <w:noWrap/>
            <w:vAlign w:val="center"/>
            <w:hideMark/>
          </w:tcPr>
          <w:p w14:paraId="7DA24CD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675,234</w:t>
            </w:r>
          </w:p>
        </w:tc>
      </w:tr>
      <w:tr w:rsidR="00FB6B80" w:rsidRPr="0084045A" w14:paraId="490D3669"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75136457" w14:textId="2DF95317"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60</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64</w:t>
            </w:r>
          </w:p>
        </w:tc>
        <w:tc>
          <w:tcPr>
            <w:tcW w:w="941" w:type="dxa"/>
            <w:tcBorders>
              <w:top w:val="nil"/>
              <w:left w:val="nil"/>
              <w:bottom w:val="single" w:sz="4" w:space="0" w:color="auto"/>
              <w:right w:val="nil"/>
            </w:tcBorders>
            <w:shd w:val="clear" w:color="auto" w:fill="auto"/>
            <w:noWrap/>
            <w:vAlign w:val="center"/>
            <w:hideMark/>
          </w:tcPr>
          <w:p w14:paraId="03FD61A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381,962</w:t>
            </w:r>
          </w:p>
        </w:tc>
        <w:tc>
          <w:tcPr>
            <w:tcW w:w="852" w:type="dxa"/>
            <w:tcBorders>
              <w:top w:val="nil"/>
              <w:left w:val="nil"/>
              <w:bottom w:val="single" w:sz="4" w:space="0" w:color="auto"/>
              <w:right w:val="nil"/>
            </w:tcBorders>
            <w:shd w:val="clear" w:color="auto" w:fill="auto"/>
            <w:noWrap/>
            <w:vAlign w:val="center"/>
            <w:hideMark/>
          </w:tcPr>
          <w:p w14:paraId="2A97396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263,784</w:t>
            </w:r>
          </w:p>
        </w:tc>
        <w:tc>
          <w:tcPr>
            <w:tcW w:w="852" w:type="dxa"/>
            <w:tcBorders>
              <w:top w:val="nil"/>
              <w:left w:val="nil"/>
              <w:bottom w:val="single" w:sz="4" w:space="0" w:color="auto"/>
              <w:right w:val="nil"/>
            </w:tcBorders>
            <w:shd w:val="clear" w:color="auto" w:fill="auto"/>
            <w:noWrap/>
            <w:vAlign w:val="center"/>
            <w:hideMark/>
          </w:tcPr>
          <w:p w14:paraId="0682DF9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105,826</w:t>
            </w:r>
          </w:p>
        </w:tc>
        <w:tc>
          <w:tcPr>
            <w:tcW w:w="941" w:type="dxa"/>
            <w:tcBorders>
              <w:top w:val="nil"/>
              <w:left w:val="nil"/>
              <w:bottom w:val="single" w:sz="4" w:space="0" w:color="auto"/>
              <w:right w:val="nil"/>
            </w:tcBorders>
            <w:shd w:val="clear" w:color="auto" w:fill="auto"/>
            <w:noWrap/>
            <w:vAlign w:val="center"/>
            <w:hideMark/>
          </w:tcPr>
          <w:p w14:paraId="65C796C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444,756</w:t>
            </w:r>
          </w:p>
        </w:tc>
        <w:tc>
          <w:tcPr>
            <w:tcW w:w="941" w:type="dxa"/>
            <w:tcBorders>
              <w:top w:val="nil"/>
              <w:left w:val="nil"/>
              <w:bottom w:val="single" w:sz="4" w:space="0" w:color="auto"/>
              <w:right w:val="nil"/>
            </w:tcBorders>
            <w:shd w:val="clear" w:color="auto" w:fill="auto"/>
            <w:noWrap/>
            <w:vAlign w:val="center"/>
            <w:hideMark/>
          </w:tcPr>
          <w:p w14:paraId="34EFB5EB"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494,004</w:t>
            </w:r>
          </w:p>
        </w:tc>
        <w:tc>
          <w:tcPr>
            <w:tcW w:w="941" w:type="dxa"/>
            <w:tcBorders>
              <w:top w:val="nil"/>
              <w:left w:val="nil"/>
              <w:bottom w:val="single" w:sz="4" w:space="0" w:color="auto"/>
              <w:right w:val="nil"/>
            </w:tcBorders>
            <w:shd w:val="clear" w:color="auto" w:fill="auto"/>
            <w:noWrap/>
            <w:vAlign w:val="center"/>
            <w:hideMark/>
          </w:tcPr>
          <w:p w14:paraId="6B22D49B"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436,038</w:t>
            </w:r>
          </w:p>
        </w:tc>
        <w:tc>
          <w:tcPr>
            <w:tcW w:w="852" w:type="dxa"/>
            <w:tcBorders>
              <w:top w:val="nil"/>
              <w:left w:val="nil"/>
              <w:bottom w:val="single" w:sz="4" w:space="0" w:color="auto"/>
              <w:right w:val="nil"/>
            </w:tcBorders>
            <w:shd w:val="clear" w:color="auto" w:fill="auto"/>
            <w:noWrap/>
            <w:vAlign w:val="center"/>
            <w:hideMark/>
          </w:tcPr>
          <w:p w14:paraId="32432F2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437,106</w:t>
            </w:r>
          </w:p>
        </w:tc>
        <w:tc>
          <w:tcPr>
            <w:tcW w:w="941" w:type="dxa"/>
            <w:tcBorders>
              <w:top w:val="nil"/>
              <w:left w:val="nil"/>
              <w:bottom w:val="single" w:sz="4" w:space="0" w:color="auto"/>
              <w:right w:val="nil"/>
            </w:tcBorders>
            <w:shd w:val="clear" w:color="auto" w:fill="auto"/>
            <w:noWrap/>
            <w:vAlign w:val="center"/>
            <w:hideMark/>
          </w:tcPr>
          <w:p w14:paraId="5674B3E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553,942</w:t>
            </w:r>
          </w:p>
        </w:tc>
        <w:tc>
          <w:tcPr>
            <w:tcW w:w="941" w:type="dxa"/>
            <w:tcBorders>
              <w:top w:val="nil"/>
              <w:left w:val="nil"/>
              <w:bottom w:val="single" w:sz="4" w:space="0" w:color="auto"/>
              <w:right w:val="nil"/>
            </w:tcBorders>
            <w:shd w:val="clear" w:color="auto" w:fill="auto"/>
            <w:noWrap/>
            <w:vAlign w:val="center"/>
            <w:hideMark/>
          </w:tcPr>
          <w:p w14:paraId="56274CE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1,035,580</w:t>
            </w:r>
          </w:p>
        </w:tc>
        <w:tc>
          <w:tcPr>
            <w:tcW w:w="587" w:type="dxa"/>
            <w:tcBorders>
              <w:top w:val="nil"/>
              <w:left w:val="nil"/>
              <w:bottom w:val="single" w:sz="4" w:space="0" w:color="auto"/>
              <w:right w:val="nil"/>
            </w:tcBorders>
            <w:shd w:val="clear" w:color="auto" w:fill="auto"/>
            <w:noWrap/>
            <w:vAlign w:val="center"/>
            <w:hideMark/>
          </w:tcPr>
          <w:p w14:paraId="3CBD666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540,622</w:t>
            </w:r>
          </w:p>
        </w:tc>
      </w:tr>
      <w:tr w:rsidR="00FB6B80" w:rsidRPr="0084045A" w14:paraId="7F0E9299"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1AED2334" w14:textId="08E5E923"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65</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69</w:t>
            </w:r>
          </w:p>
        </w:tc>
        <w:tc>
          <w:tcPr>
            <w:tcW w:w="941" w:type="dxa"/>
            <w:tcBorders>
              <w:top w:val="nil"/>
              <w:left w:val="nil"/>
              <w:bottom w:val="single" w:sz="4" w:space="0" w:color="auto"/>
              <w:right w:val="nil"/>
            </w:tcBorders>
            <w:shd w:val="clear" w:color="auto" w:fill="auto"/>
            <w:noWrap/>
            <w:vAlign w:val="center"/>
            <w:hideMark/>
          </w:tcPr>
          <w:p w14:paraId="166C393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170,694</w:t>
            </w:r>
          </w:p>
        </w:tc>
        <w:tc>
          <w:tcPr>
            <w:tcW w:w="852" w:type="dxa"/>
            <w:tcBorders>
              <w:top w:val="nil"/>
              <w:left w:val="nil"/>
              <w:bottom w:val="single" w:sz="4" w:space="0" w:color="auto"/>
              <w:right w:val="nil"/>
            </w:tcBorders>
            <w:shd w:val="clear" w:color="auto" w:fill="auto"/>
            <w:noWrap/>
            <w:vAlign w:val="center"/>
            <w:hideMark/>
          </w:tcPr>
          <w:p w14:paraId="50DAC239"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111,087</w:t>
            </w:r>
          </w:p>
        </w:tc>
        <w:tc>
          <w:tcPr>
            <w:tcW w:w="852" w:type="dxa"/>
            <w:tcBorders>
              <w:top w:val="nil"/>
              <w:left w:val="nil"/>
              <w:bottom w:val="single" w:sz="4" w:space="0" w:color="auto"/>
              <w:right w:val="nil"/>
            </w:tcBorders>
            <w:shd w:val="clear" w:color="auto" w:fill="auto"/>
            <w:noWrap/>
            <w:vAlign w:val="center"/>
            <w:hideMark/>
          </w:tcPr>
          <w:p w14:paraId="7359F219"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59,214</w:t>
            </w:r>
          </w:p>
        </w:tc>
        <w:tc>
          <w:tcPr>
            <w:tcW w:w="941" w:type="dxa"/>
            <w:tcBorders>
              <w:top w:val="nil"/>
              <w:left w:val="nil"/>
              <w:bottom w:val="single" w:sz="4" w:space="0" w:color="auto"/>
              <w:right w:val="nil"/>
            </w:tcBorders>
            <w:shd w:val="clear" w:color="auto" w:fill="auto"/>
            <w:noWrap/>
            <w:vAlign w:val="center"/>
            <w:hideMark/>
          </w:tcPr>
          <w:p w14:paraId="5CA9B0C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254,719</w:t>
            </w:r>
          </w:p>
        </w:tc>
        <w:tc>
          <w:tcPr>
            <w:tcW w:w="941" w:type="dxa"/>
            <w:tcBorders>
              <w:top w:val="nil"/>
              <w:left w:val="nil"/>
              <w:bottom w:val="single" w:sz="4" w:space="0" w:color="auto"/>
              <w:right w:val="nil"/>
            </w:tcBorders>
            <w:shd w:val="clear" w:color="auto" w:fill="auto"/>
            <w:noWrap/>
            <w:vAlign w:val="center"/>
            <w:hideMark/>
          </w:tcPr>
          <w:p w14:paraId="74EF9A5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103,658</w:t>
            </w:r>
          </w:p>
        </w:tc>
        <w:tc>
          <w:tcPr>
            <w:tcW w:w="941" w:type="dxa"/>
            <w:tcBorders>
              <w:top w:val="nil"/>
              <w:left w:val="nil"/>
              <w:bottom w:val="single" w:sz="4" w:space="0" w:color="auto"/>
              <w:right w:val="nil"/>
            </w:tcBorders>
            <w:shd w:val="clear" w:color="auto" w:fill="auto"/>
            <w:noWrap/>
            <w:vAlign w:val="center"/>
            <w:hideMark/>
          </w:tcPr>
          <w:p w14:paraId="2700992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284,654</w:t>
            </w:r>
          </w:p>
        </w:tc>
        <w:tc>
          <w:tcPr>
            <w:tcW w:w="852" w:type="dxa"/>
            <w:tcBorders>
              <w:top w:val="nil"/>
              <w:left w:val="nil"/>
              <w:bottom w:val="single" w:sz="4" w:space="0" w:color="auto"/>
              <w:right w:val="nil"/>
            </w:tcBorders>
            <w:shd w:val="clear" w:color="auto" w:fill="auto"/>
            <w:noWrap/>
            <w:vAlign w:val="center"/>
            <w:hideMark/>
          </w:tcPr>
          <w:p w14:paraId="5CFF505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101,033</w:t>
            </w:r>
          </w:p>
        </w:tc>
        <w:tc>
          <w:tcPr>
            <w:tcW w:w="941" w:type="dxa"/>
            <w:tcBorders>
              <w:top w:val="nil"/>
              <w:left w:val="nil"/>
              <w:bottom w:val="single" w:sz="4" w:space="0" w:color="auto"/>
              <w:right w:val="nil"/>
            </w:tcBorders>
            <w:shd w:val="clear" w:color="auto" w:fill="auto"/>
            <w:noWrap/>
            <w:vAlign w:val="center"/>
            <w:hideMark/>
          </w:tcPr>
          <w:p w14:paraId="49BA132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273,551</w:t>
            </w:r>
          </w:p>
        </w:tc>
        <w:tc>
          <w:tcPr>
            <w:tcW w:w="941" w:type="dxa"/>
            <w:tcBorders>
              <w:top w:val="nil"/>
              <w:left w:val="nil"/>
              <w:bottom w:val="single" w:sz="4" w:space="0" w:color="auto"/>
              <w:right w:val="nil"/>
            </w:tcBorders>
            <w:shd w:val="clear" w:color="auto" w:fill="auto"/>
            <w:noWrap/>
            <w:vAlign w:val="center"/>
            <w:hideMark/>
          </w:tcPr>
          <w:p w14:paraId="027D176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453,897</w:t>
            </w:r>
          </w:p>
        </w:tc>
        <w:tc>
          <w:tcPr>
            <w:tcW w:w="587" w:type="dxa"/>
            <w:tcBorders>
              <w:top w:val="nil"/>
              <w:left w:val="nil"/>
              <w:bottom w:val="single" w:sz="4" w:space="0" w:color="auto"/>
              <w:right w:val="nil"/>
            </w:tcBorders>
            <w:shd w:val="clear" w:color="auto" w:fill="auto"/>
            <w:noWrap/>
            <w:vAlign w:val="center"/>
            <w:hideMark/>
          </w:tcPr>
          <w:p w14:paraId="13F6D32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235,797</w:t>
            </w:r>
          </w:p>
        </w:tc>
      </w:tr>
      <w:tr w:rsidR="00FB6B80" w:rsidRPr="0084045A" w14:paraId="3F47308A"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6D1AE0DB" w14:textId="7D72BC2E"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70</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74</w:t>
            </w:r>
          </w:p>
        </w:tc>
        <w:tc>
          <w:tcPr>
            <w:tcW w:w="941" w:type="dxa"/>
            <w:tcBorders>
              <w:top w:val="nil"/>
              <w:left w:val="nil"/>
              <w:bottom w:val="single" w:sz="4" w:space="0" w:color="auto"/>
              <w:right w:val="nil"/>
            </w:tcBorders>
            <w:shd w:val="clear" w:color="auto" w:fill="auto"/>
            <w:noWrap/>
            <w:vAlign w:val="center"/>
            <w:hideMark/>
          </w:tcPr>
          <w:p w14:paraId="3B31135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128,393</w:t>
            </w:r>
          </w:p>
        </w:tc>
        <w:tc>
          <w:tcPr>
            <w:tcW w:w="852" w:type="dxa"/>
            <w:tcBorders>
              <w:top w:val="nil"/>
              <w:left w:val="nil"/>
              <w:bottom w:val="single" w:sz="4" w:space="0" w:color="auto"/>
              <w:right w:val="nil"/>
            </w:tcBorders>
            <w:shd w:val="clear" w:color="auto" w:fill="auto"/>
            <w:noWrap/>
            <w:vAlign w:val="center"/>
            <w:hideMark/>
          </w:tcPr>
          <w:p w14:paraId="64BFCC1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83,191</w:t>
            </w:r>
          </w:p>
        </w:tc>
        <w:tc>
          <w:tcPr>
            <w:tcW w:w="852" w:type="dxa"/>
            <w:tcBorders>
              <w:top w:val="nil"/>
              <w:left w:val="nil"/>
              <w:bottom w:val="single" w:sz="4" w:space="0" w:color="auto"/>
              <w:right w:val="nil"/>
            </w:tcBorders>
            <w:shd w:val="clear" w:color="auto" w:fill="auto"/>
            <w:noWrap/>
            <w:vAlign w:val="center"/>
            <w:hideMark/>
          </w:tcPr>
          <w:p w14:paraId="2D05863E"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44,172</w:t>
            </w:r>
          </w:p>
        </w:tc>
        <w:tc>
          <w:tcPr>
            <w:tcW w:w="941" w:type="dxa"/>
            <w:tcBorders>
              <w:top w:val="nil"/>
              <w:left w:val="nil"/>
              <w:bottom w:val="single" w:sz="4" w:space="0" w:color="auto"/>
              <w:right w:val="nil"/>
            </w:tcBorders>
            <w:shd w:val="clear" w:color="auto" w:fill="auto"/>
            <w:noWrap/>
            <w:vAlign w:val="center"/>
            <w:hideMark/>
          </w:tcPr>
          <w:p w14:paraId="47FBC3FA"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189,317</w:t>
            </w:r>
          </w:p>
        </w:tc>
        <w:tc>
          <w:tcPr>
            <w:tcW w:w="941" w:type="dxa"/>
            <w:tcBorders>
              <w:top w:val="nil"/>
              <w:left w:val="nil"/>
              <w:bottom w:val="single" w:sz="4" w:space="0" w:color="auto"/>
              <w:right w:val="nil"/>
            </w:tcBorders>
            <w:shd w:val="clear" w:color="auto" w:fill="auto"/>
            <w:noWrap/>
            <w:vAlign w:val="center"/>
            <w:hideMark/>
          </w:tcPr>
          <w:p w14:paraId="209A244A"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76,737</w:t>
            </w:r>
          </w:p>
        </w:tc>
        <w:tc>
          <w:tcPr>
            <w:tcW w:w="941" w:type="dxa"/>
            <w:tcBorders>
              <w:top w:val="nil"/>
              <w:left w:val="nil"/>
              <w:bottom w:val="single" w:sz="4" w:space="0" w:color="auto"/>
              <w:right w:val="nil"/>
            </w:tcBorders>
            <w:shd w:val="clear" w:color="auto" w:fill="auto"/>
            <w:noWrap/>
            <w:vAlign w:val="center"/>
            <w:hideMark/>
          </w:tcPr>
          <w:p w14:paraId="546EF5E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209,745</w:t>
            </w:r>
          </w:p>
        </w:tc>
        <w:tc>
          <w:tcPr>
            <w:tcW w:w="852" w:type="dxa"/>
            <w:tcBorders>
              <w:top w:val="nil"/>
              <w:left w:val="nil"/>
              <w:bottom w:val="single" w:sz="4" w:space="0" w:color="auto"/>
              <w:right w:val="nil"/>
            </w:tcBorders>
            <w:shd w:val="clear" w:color="auto" w:fill="auto"/>
            <w:noWrap/>
            <w:vAlign w:val="center"/>
            <w:hideMark/>
          </w:tcPr>
          <w:p w14:paraId="3FDBD87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74,042</w:t>
            </w:r>
          </w:p>
        </w:tc>
        <w:tc>
          <w:tcPr>
            <w:tcW w:w="941" w:type="dxa"/>
            <w:tcBorders>
              <w:top w:val="nil"/>
              <w:left w:val="nil"/>
              <w:bottom w:val="single" w:sz="4" w:space="0" w:color="auto"/>
              <w:right w:val="nil"/>
            </w:tcBorders>
            <w:shd w:val="clear" w:color="auto" w:fill="auto"/>
            <w:noWrap/>
            <w:vAlign w:val="center"/>
            <w:hideMark/>
          </w:tcPr>
          <w:p w14:paraId="700CF0C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199,249</w:t>
            </w:r>
          </w:p>
        </w:tc>
        <w:tc>
          <w:tcPr>
            <w:tcW w:w="941" w:type="dxa"/>
            <w:tcBorders>
              <w:top w:val="nil"/>
              <w:left w:val="nil"/>
              <w:bottom w:val="single" w:sz="4" w:space="0" w:color="auto"/>
              <w:right w:val="nil"/>
            </w:tcBorders>
            <w:shd w:val="clear" w:color="auto" w:fill="auto"/>
            <w:noWrap/>
            <w:vAlign w:val="center"/>
            <w:hideMark/>
          </w:tcPr>
          <w:p w14:paraId="3B7DD31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328,503</w:t>
            </w:r>
          </w:p>
        </w:tc>
        <w:tc>
          <w:tcPr>
            <w:tcW w:w="587" w:type="dxa"/>
            <w:tcBorders>
              <w:top w:val="nil"/>
              <w:left w:val="nil"/>
              <w:bottom w:val="single" w:sz="4" w:space="0" w:color="auto"/>
              <w:right w:val="nil"/>
            </w:tcBorders>
            <w:shd w:val="clear" w:color="auto" w:fill="auto"/>
            <w:noWrap/>
            <w:vAlign w:val="center"/>
            <w:hideMark/>
          </w:tcPr>
          <w:p w14:paraId="651705D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169,662</w:t>
            </w:r>
          </w:p>
        </w:tc>
      </w:tr>
      <w:tr w:rsidR="00FB6B80" w:rsidRPr="0084045A" w14:paraId="2C8F92FF"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291E0383" w14:textId="5462A9C6"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75</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79</w:t>
            </w:r>
          </w:p>
        </w:tc>
        <w:tc>
          <w:tcPr>
            <w:tcW w:w="941" w:type="dxa"/>
            <w:tcBorders>
              <w:top w:val="nil"/>
              <w:left w:val="nil"/>
              <w:bottom w:val="single" w:sz="4" w:space="0" w:color="auto"/>
              <w:right w:val="nil"/>
            </w:tcBorders>
            <w:shd w:val="clear" w:color="auto" w:fill="auto"/>
            <w:noWrap/>
            <w:vAlign w:val="center"/>
            <w:hideMark/>
          </w:tcPr>
          <w:p w14:paraId="7F798936"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91,810</w:t>
            </w:r>
          </w:p>
        </w:tc>
        <w:tc>
          <w:tcPr>
            <w:tcW w:w="852" w:type="dxa"/>
            <w:tcBorders>
              <w:top w:val="nil"/>
              <w:left w:val="nil"/>
              <w:bottom w:val="single" w:sz="4" w:space="0" w:color="auto"/>
              <w:right w:val="nil"/>
            </w:tcBorders>
            <w:shd w:val="clear" w:color="auto" w:fill="auto"/>
            <w:noWrap/>
            <w:vAlign w:val="center"/>
            <w:hideMark/>
          </w:tcPr>
          <w:p w14:paraId="7491C789"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59,419</w:t>
            </w:r>
          </w:p>
        </w:tc>
        <w:tc>
          <w:tcPr>
            <w:tcW w:w="852" w:type="dxa"/>
            <w:tcBorders>
              <w:top w:val="nil"/>
              <w:left w:val="nil"/>
              <w:bottom w:val="single" w:sz="4" w:space="0" w:color="auto"/>
              <w:right w:val="nil"/>
            </w:tcBorders>
            <w:shd w:val="clear" w:color="auto" w:fill="auto"/>
            <w:noWrap/>
            <w:vAlign w:val="center"/>
            <w:hideMark/>
          </w:tcPr>
          <w:p w14:paraId="17A0DAC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31,450</w:t>
            </w:r>
          </w:p>
        </w:tc>
        <w:tc>
          <w:tcPr>
            <w:tcW w:w="941" w:type="dxa"/>
            <w:tcBorders>
              <w:top w:val="nil"/>
              <w:left w:val="nil"/>
              <w:bottom w:val="single" w:sz="4" w:space="0" w:color="auto"/>
              <w:right w:val="nil"/>
            </w:tcBorders>
            <w:shd w:val="clear" w:color="auto" w:fill="auto"/>
            <w:noWrap/>
            <w:vAlign w:val="center"/>
            <w:hideMark/>
          </w:tcPr>
          <w:p w14:paraId="10F55EC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134,218</w:t>
            </w:r>
          </w:p>
        </w:tc>
        <w:tc>
          <w:tcPr>
            <w:tcW w:w="941" w:type="dxa"/>
            <w:tcBorders>
              <w:top w:val="nil"/>
              <w:left w:val="nil"/>
              <w:bottom w:val="single" w:sz="4" w:space="0" w:color="auto"/>
              <w:right w:val="nil"/>
            </w:tcBorders>
            <w:shd w:val="clear" w:color="auto" w:fill="auto"/>
            <w:noWrap/>
            <w:vAlign w:val="center"/>
            <w:hideMark/>
          </w:tcPr>
          <w:p w14:paraId="3040EBE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54,149</w:t>
            </w:r>
          </w:p>
        </w:tc>
        <w:tc>
          <w:tcPr>
            <w:tcW w:w="941" w:type="dxa"/>
            <w:tcBorders>
              <w:top w:val="nil"/>
              <w:left w:val="nil"/>
              <w:bottom w:val="single" w:sz="4" w:space="0" w:color="auto"/>
              <w:right w:val="nil"/>
            </w:tcBorders>
            <w:shd w:val="clear" w:color="auto" w:fill="auto"/>
            <w:noWrap/>
            <w:vAlign w:val="center"/>
            <w:hideMark/>
          </w:tcPr>
          <w:p w14:paraId="45A5E17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147,323</w:t>
            </w:r>
          </w:p>
        </w:tc>
        <w:tc>
          <w:tcPr>
            <w:tcW w:w="852" w:type="dxa"/>
            <w:tcBorders>
              <w:top w:val="nil"/>
              <w:left w:val="nil"/>
              <w:bottom w:val="single" w:sz="4" w:space="0" w:color="auto"/>
              <w:right w:val="nil"/>
            </w:tcBorders>
            <w:shd w:val="clear" w:color="auto" w:fill="auto"/>
            <w:noWrap/>
            <w:vAlign w:val="center"/>
            <w:hideMark/>
          </w:tcPr>
          <w:p w14:paraId="07C6899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51,785</w:t>
            </w:r>
          </w:p>
        </w:tc>
        <w:tc>
          <w:tcPr>
            <w:tcW w:w="941" w:type="dxa"/>
            <w:tcBorders>
              <w:top w:val="nil"/>
              <w:left w:val="nil"/>
              <w:bottom w:val="single" w:sz="4" w:space="0" w:color="auto"/>
              <w:right w:val="nil"/>
            </w:tcBorders>
            <w:shd w:val="clear" w:color="auto" w:fill="auto"/>
            <w:noWrap/>
            <w:vAlign w:val="center"/>
            <w:hideMark/>
          </w:tcPr>
          <w:p w14:paraId="66982729"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138,828</w:t>
            </w:r>
          </w:p>
        </w:tc>
        <w:tc>
          <w:tcPr>
            <w:tcW w:w="941" w:type="dxa"/>
            <w:tcBorders>
              <w:top w:val="nil"/>
              <w:left w:val="nil"/>
              <w:bottom w:val="single" w:sz="4" w:space="0" w:color="auto"/>
              <w:right w:val="nil"/>
            </w:tcBorders>
            <w:shd w:val="clear" w:color="auto" w:fill="auto"/>
            <w:noWrap/>
            <w:vAlign w:val="center"/>
            <w:hideMark/>
          </w:tcPr>
          <w:p w14:paraId="7623458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228,072</w:t>
            </w:r>
          </w:p>
        </w:tc>
        <w:tc>
          <w:tcPr>
            <w:tcW w:w="587" w:type="dxa"/>
            <w:tcBorders>
              <w:top w:val="nil"/>
              <w:left w:val="nil"/>
              <w:bottom w:val="single" w:sz="4" w:space="0" w:color="auto"/>
              <w:right w:val="nil"/>
            </w:tcBorders>
            <w:shd w:val="clear" w:color="auto" w:fill="auto"/>
            <w:noWrap/>
            <w:vAlign w:val="center"/>
            <w:hideMark/>
          </w:tcPr>
          <w:p w14:paraId="422F52F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117,335</w:t>
            </w:r>
          </w:p>
        </w:tc>
      </w:tr>
      <w:tr w:rsidR="00FB6B80" w:rsidRPr="0084045A" w14:paraId="7A116395"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1B07075F" w14:textId="306EF560"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80</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84</w:t>
            </w:r>
          </w:p>
        </w:tc>
        <w:tc>
          <w:tcPr>
            <w:tcW w:w="941" w:type="dxa"/>
            <w:tcBorders>
              <w:top w:val="nil"/>
              <w:left w:val="nil"/>
              <w:bottom w:val="single" w:sz="4" w:space="0" w:color="auto"/>
              <w:right w:val="nil"/>
            </w:tcBorders>
            <w:shd w:val="clear" w:color="auto" w:fill="auto"/>
            <w:noWrap/>
            <w:vAlign w:val="center"/>
            <w:hideMark/>
          </w:tcPr>
          <w:p w14:paraId="77B28CF8"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57,909</w:t>
            </w:r>
          </w:p>
        </w:tc>
        <w:tc>
          <w:tcPr>
            <w:tcW w:w="852" w:type="dxa"/>
            <w:tcBorders>
              <w:top w:val="nil"/>
              <w:left w:val="nil"/>
              <w:bottom w:val="single" w:sz="4" w:space="0" w:color="auto"/>
              <w:right w:val="nil"/>
            </w:tcBorders>
            <w:shd w:val="clear" w:color="auto" w:fill="auto"/>
            <w:noWrap/>
            <w:vAlign w:val="center"/>
            <w:hideMark/>
          </w:tcPr>
          <w:p w14:paraId="17D6EE8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37,801</w:t>
            </w:r>
          </w:p>
        </w:tc>
        <w:tc>
          <w:tcPr>
            <w:tcW w:w="852" w:type="dxa"/>
            <w:tcBorders>
              <w:top w:val="nil"/>
              <w:left w:val="nil"/>
              <w:bottom w:val="single" w:sz="4" w:space="0" w:color="auto"/>
              <w:right w:val="nil"/>
            </w:tcBorders>
            <w:shd w:val="clear" w:color="auto" w:fill="auto"/>
            <w:noWrap/>
            <w:vAlign w:val="center"/>
            <w:hideMark/>
          </w:tcPr>
          <w:p w14:paraId="2B8A2C6E"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20,167</w:t>
            </w:r>
          </w:p>
        </w:tc>
        <w:tc>
          <w:tcPr>
            <w:tcW w:w="941" w:type="dxa"/>
            <w:tcBorders>
              <w:top w:val="nil"/>
              <w:left w:val="nil"/>
              <w:bottom w:val="single" w:sz="4" w:space="0" w:color="auto"/>
              <w:right w:val="nil"/>
            </w:tcBorders>
            <w:shd w:val="clear" w:color="auto" w:fill="auto"/>
            <w:noWrap/>
            <w:vAlign w:val="center"/>
            <w:hideMark/>
          </w:tcPr>
          <w:p w14:paraId="6ED73AF2"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86,609</w:t>
            </w:r>
          </w:p>
        </w:tc>
        <w:tc>
          <w:tcPr>
            <w:tcW w:w="941" w:type="dxa"/>
            <w:tcBorders>
              <w:top w:val="nil"/>
              <w:left w:val="nil"/>
              <w:bottom w:val="single" w:sz="4" w:space="0" w:color="auto"/>
              <w:right w:val="nil"/>
            </w:tcBorders>
            <w:shd w:val="clear" w:color="auto" w:fill="auto"/>
            <w:noWrap/>
            <w:vAlign w:val="center"/>
            <w:hideMark/>
          </w:tcPr>
          <w:p w14:paraId="51FD3E9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35,081</w:t>
            </w:r>
          </w:p>
        </w:tc>
        <w:tc>
          <w:tcPr>
            <w:tcW w:w="941" w:type="dxa"/>
            <w:tcBorders>
              <w:top w:val="nil"/>
              <w:left w:val="nil"/>
              <w:bottom w:val="single" w:sz="4" w:space="0" w:color="auto"/>
              <w:right w:val="nil"/>
            </w:tcBorders>
            <w:shd w:val="clear" w:color="auto" w:fill="auto"/>
            <w:noWrap/>
            <w:vAlign w:val="center"/>
            <w:hideMark/>
          </w:tcPr>
          <w:p w14:paraId="7B56F74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95,577</w:t>
            </w:r>
          </w:p>
        </w:tc>
        <w:tc>
          <w:tcPr>
            <w:tcW w:w="852" w:type="dxa"/>
            <w:tcBorders>
              <w:top w:val="nil"/>
              <w:left w:val="nil"/>
              <w:bottom w:val="single" w:sz="4" w:space="0" w:color="auto"/>
              <w:right w:val="nil"/>
            </w:tcBorders>
            <w:shd w:val="clear" w:color="auto" w:fill="auto"/>
            <w:noWrap/>
            <w:vAlign w:val="center"/>
            <w:hideMark/>
          </w:tcPr>
          <w:p w14:paraId="52584EA1"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33,557</w:t>
            </w:r>
          </w:p>
        </w:tc>
        <w:tc>
          <w:tcPr>
            <w:tcW w:w="941" w:type="dxa"/>
            <w:tcBorders>
              <w:top w:val="nil"/>
              <w:left w:val="nil"/>
              <w:bottom w:val="single" w:sz="4" w:space="0" w:color="auto"/>
              <w:right w:val="nil"/>
            </w:tcBorders>
            <w:shd w:val="clear" w:color="auto" w:fill="auto"/>
            <w:noWrap/>
            <w:vAlign w:val="center"/>
            <w:hideMark/>
          </w:tcPr>
          <w:p w14:paraId="20CD6469"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89,681</w:t>
            </w:r>
          </w:p>
        </w:tc>
        <w:tc>
          <w:tcPr>
            <w:tcW w:w="941" w:type="dxa"/>
            <w:tcBorders>
              <w:top w:val="nil"/>
              <w:left w:val="nil"/>
              <w:bottom w:val="single" w:sz="4" w:space="0" w:color="auto"/>
              <w:right w:val="nil"/>
            </w:tcBorders>
            <w:shd w:val="clear" w:color="auto" w:fill="auto"/>
            <w:noWrap/>
            <w:vAlign w:val="center"/>
            <w:hideMark/>
          </w:tcPr>
          <w:p w14:paraId="0291D588"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146,715</w:t>
            </w:r>
          </w:p>
        </w:tc>
        <w:tc>
          <w:tcPr>
            <w:tcW w:w="587" w:type="dxa"/>
            <w:tcBorders>
              <w:top w:val="nil"/>
              <w:left w:val="nil"/>
              <w:bottom w:val="single" w:sz="4" w:space="0" w:color="auto"/>
              <w:right w:val="nil"/>
            </w:tcBorders>
            <w:shd w:val="clear" w:color="auto" w:fill="auto"/>
            <w:noWrap/>
            <w:vAlign w:val="center"/>
            <w:hideMark/>
          </w:tcPr>
          <w:p w14:paraId="2FB97D8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75,136</w:t>
            </w:r>
          </w:p>
        </w:tc>
      </w:tr>
      <w:tr w:rsidR="00FB6B80" w:rsidRPr="0084045A" w14:paraId="68E1CB9B"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08263D2C" w14:textId="78E63F76"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85</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89</w:t>
            </w:r>
          </w:p>
        </w:tc>
        <w:tc>
          <w:tcPr>
            <w:tcW w:w="941" w:type="dxa"/>
            <w:tcBorders>
              <w:top w:val="nil"/>
              <w:left w:val="nil"/>
              <w:bottom w:val="single" w:sz="4" w:space="0" w:color="auto"/>
              <w:right w:val="nil"/>
            </w:tcBorders>
            <w:shd w:val="clear" w:color="auto" w:fill="auto"/>
            <w:noWrap/>
            <w:vAlign w:val="center"/>
            <w:hideMark/>
          </w:tcPr>
          <w:p w14:paraId="3E05862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30,966</w:t>
            </w:r>
          </w:p>
        </w:tc>
        <w:tc>
          <w:tcPr>
            <w:tcW w:w="852" w:type="dxa"/>
            <w:tcBorders>
              <w:top w:val="nil"/>
              <w:left w:val="nil"/>
              <w:bottom w:val="single" w:sz="4" w:space="0" w:color="auto"/>
              <w:right w:val="nil"/>
            </w:tcBorders>
            <w:shd w:val="clear" w:color="auto" w:fill="auto"/>
            <w:noWrap/>
            <w:vAlign w:val="center"/>
            <w:hideMark/>
          </w:tcPr>
          <w:p w14:paraId="74F8060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20,301</w:t>
            </w:r>
          </w:p>
        </w:tc>
        <w:tc>
          <w:tcPr>
            <w:tcW w:w="852" w:type="dxa"/>
            <w:tcBorders>
              <w:top w:val="nil"/>
              <w:left w:val="nil"/>
              <w:bottom w:val="single" w:sz="4" w:space="0" w:color="auto"/>
              <w:right w:val="nil"/>
            </w:tcBorders>
            <w:shd w:val="clear" w:color="auto" w:fill="auto"/>
            <w:noWrap/>
            <w:vAlign w:val="center"/>
            <w:hideMark/>
          </w:tcPr>
          <w:p w14:paraId="6A0BB9B7"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10,883</w:t>
            </w:r>
          </w:p>
        </w:tc>
        <w:tc>
          <w:tcPr>
            <w:tcW w:w="941" w:type="dxa"/>
            <w:tcBorders>
              <w:top w:val="nil"/>
              <w:left w:val="nil"/>
              <w:bottom w:val="single" w:sz="4" w:space="0" w:color="auto"/>
              <w:right w:val="nil"/>
            </w:tcBorders>
            <w:shd w:val="clear" w:color="auto" w:fill="auto"/>
            <w:noWrap/>
            <w:vAlign w:val="center"/>
            <w:hideMark/>
          </w:tcPr>
          <w:p w14:paraId="5EE0A1D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47,015</w:t>
            </w:r>
          </w:p>
        </w:tc>
        <w:tc>
          <w:tcPr>
            <w:tcW w:w="941" w:type="dxa"/>
            <w:tcBorders>
              <w:top w:val="nil"/>
              <w:left w:val="nil"/>
              <w:bottom w:val="single" w:sz="4" w:space="0" w:color="auto"/>
              <w:right w:val="nil"/>
            </w:tcBorders>
            <w:shd w:val="clear" w:color="auto" w:fill="auto"/>
            <w:noWrap/>
            <w:vAlign w:val="center"/>
            <w:hideMark/>
          </w:tcPr>
          <w:p w14:paraId="6AAD47F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19,184</w:t>
            </w:r>
          </w:p>
        </w:tc>
        <w:tc>
          <w:tcPr>
            <w:tcW w:w="941" w:type="dxa"/>
            <w:tcBorders>
              <w:top w:val="nil"/>
              <w:left w:val="nil"/>
              <w:bottom w:val="single" w:sz="4" w:space="0" w:color="auto"/>
              <w:right w:val="nil"/>
            </w:tcBorders>
            <w:shd w:val="clear" w:color="auto" w:fill="auto"/>
            <w:noWrap/>
            <w:vAlign w:val="center"/>
            <w:hideMark/>
          </w:tcPr>
          <w:p w14:paraId="14AF860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52,708</w:t>
            </w:r>
          </w:p>
        </w:tc>
        <w:tc>
          <w:tcPr>
            <w:tcW w:w="852" w:type="dxa"/>
            <w:tcBorders>
              <w:top w:val="nil"/>
              <w:left w:val="nil"/>
              <w:bottom w:val="single" w:sz="4" w:space="0" w:color="auto"/>
              <w:right w:val="nil"/>
            </w:tcBorders>
            <w:shd w:val="clear" w:color="auto" w:fill="auto"/>
            <w:noWrap/>
            <w:vAlign w:val="center"/>
            <w:hideMark/>
          </w:tcPr>
          <w:p w14:paraId="2CB6BC6D"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18,668</w:t>
            </w:r>
          </w:p>
        </w:tc>
        <w:tc>
          <w:tcPr>
            <w:tcW w:w="941" w:type="dxa"/>
            <w:tcBorders>
              <w:top w:val="nil"/>
              <w:left w:val="nil"/>
              <w:bottom w:val="single" w:sz="4" w:space="0" w:color="auto"/>
              <w:right w:val="nil"/>
            </w:tcBorders>
            <w:shd w:val="clear" w:color="auto" w:fill="auto"/>
            <w:noWrap/>
            <w:vAlign w:val="center"/>
            <w:hideMark/>
          </w:tcPr>
          <w:p w14:paraId="7967664E"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50,296</w:t>
            </w:r>
          </w:p>
        </w:tc>
        <w:tc>
          <w:tcPr>
            <w:tcW w:w="941" w:type="dxa"/>
            <w:tcBorders>
              <w:top w:val="nil"/>
              <w:left w:val="nil"/>
              <w:bottom w:val="single" w:sz="4" w:space="0" w:color="auto"/>
              <w:right w:val="nil"/>
            </w:tcBorders>
            <w:shd w:val="clear" w:color="auto" w:fill="auto"/>
            <w:noWrap/>
            <w:vAlign w:val="center"/>
            <w:hideMark/>
          </w:tcPr>
          <w:p w14:paraId="0ECCADD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82,808</w:t>
            </w:r>
          </w:p>
        </w:tc>
        <w:tc>
          <w:tcPr>
            <w:tcW w:w="587" w:type="dxa"/>
            <w:tcBorders>
              <w:top w:val="nil"/>
              <w:left w:val="nil"/>
              <w:bottom w:val="single" w:sz="4" w:space="0" w:color="auto"/>
              <w:right w:val="nil"/>
            </w:tcBorders>
            <w:shd w:val="clear" w:color="auto" w:fill="auto"/>
            <w:noWrap/>
            <w:vAlign w:val="center"/>
            <w:hideMark/>
          </w:tcPr>
          <w:p w14:paraId="5D3582A5"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42,579</w:t>
            </w:r>
          </w:p>
        </w:tc>
      </w:tr>
      <w:tr w:rsidR="00FB6B80" w:rsidRPr="0084045A" w14:paraId="20B3C850"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394CE714" w14:textId="3070187D" w:rsidR="00FB6B80" w:rsidRPr="0084045A" w:rsidRDefault="00FB6B80"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90</w:t>
            </w:r>
            <w:r w:rsidR="00C15652" w:rsidRPr="0084045A">
              <w:rPr>
                <w:rFonts w:ascii="Arial" w:eastAsia="Times New Roman" w:hAnsi="Arial" w:cs="Arial"/>
                <w:noProof/>
                <w:sz w:val="16"/>
                <w:szCs w:val="16"/>
                <w:lang w:val="en-GB" w:eastAsia="es-MX"/>
              </w:rPr>
              <w:t>–</w:t>
            </w:r>
            <w:r w:rsidRPr="0084045A">
              <w:rPr>
                <w:rFonts w:ascii="Arial" w:eastAsia="Times New Roman" w:hAnsi="Arial" w:cs="Arial"/>
                <w:noProof/>
                <w:sz w:val="16"/>
                <w:szCs w:val="16"/>
                <w:lang w:val="en-GB" w:eastAsia="es-MX"/>
              </w:rPr>
              <w:t>94</w:t>
            </w:r>
          </w:p>
        </w:tc>
        <w:tc>
          <w:tcPr>
            <w:tcW w:w="941" w:type="dxa"/>
            <w:tcBorders>
              <w:top w:val="nil"/>
              <w:left w:val="nil"/>
              <w:bottom w:val="single" w:sz="4" w:space="0" w:color="auto"/>
              <w:right w:val="nil"/>
            </w:tcBorders>
            <w:shd w:val="clear" w:color="auto" w:fill="auto"/>
            <w:noWrap/>
            <w:vAlign w:val="center"/>
            <w:hideMark/>
          </w:tcPr>
          <w:p w14:paraId="5649C813"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13,027</w:t>
            </w:r>
          </w:p>
        </w:tc>
        <w:tc>
          <w:tcPr>
            <w:tcW w:w="852" w:type="dxa"/>
            <w:tcBorders>
              <w:top w:val="nil"/>
              <w:left w:val="nil"/>
              <w:bottom w:val="single" w:sz="4" w:space="0" w:color="auto"/>
              <w:right w:val="nil"/>
            </w:tcBorders>
            <w:shd w:val="clear" w:color="auto" w:fill="auto"/>
            <w:noWrap/>
            <w:vAlign w:val="center"/>
            <w:hideMark/>
          </w:tcPr>
          <w:p w14:paraId="678D6AA0" w14:textId="576840A9"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8648</w:t>
            </w:r>
          </w:p>
        </w:tc>
        <w:tc>
          <w:tcPr>
            <w:tcW w:w="852" w:type="dxa"/>
            <w:tcBorders>
              <w:top w:val="nil"/>
              <w:left w:val="nil"/>
              <w:bottom w:val="single" w:sz="4" w:space="0" w:color="auto"/>
              <w:right w:val="nil"/>
            </w:tcBorders>
            <w:shd w:val="clear" w:color="auto" w:fill="auto"/>
            <w:noWrap/>
            <w:vAlign w:val="center"/>
            <w:hideMark/>
          </w:tcPr>
          <w:p w14:paraId="37406147" w14:textId="558577A6"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4690</w:t>
            </w:r>
          </w:p>
        </w:tc>
        <w:tc>
          <w:tcPr>
            <w:tcW w:w="941" w:type="dxa"/>
            <w:tcBorders>
              <w:top w:val="nil"/>
              <w:left w:val="nil"/>
              <w:bottom w:val="single" w:sz="4" w:space="0" w:color="auto"/>
              <w:right w:val="nil"/>
            </w:tcBorders>
            <w:shd w:val="clear" w:color="auto" w:fill="auto"/>
            <w:noWrap/>
            <w:vAlign w:val="center"/>
            <w:hideMark/>
          </w:tcPr>
          <w:p w14:paraId="3BE0C2E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20,451</w:t>
            </w:r>
          </w:p>
        </w:tc>
        <w:tc>
          <w:tcPr>
            <w:tcW w:w="941" w:type="dxa"/>
            <w:tcBorders>
              <w:top w:val="nil"/>
              <w:left w:val="nil"/>
              <w:bottom w:val="single" w:sz="4" w:space="0" w:color="auto"/>
              <w:right w:val="nil"/>
            </w:tcBorders>
            <w:shd w:val="clear" w:color="auto" w:fill="auto"/>
            <w:noWrap/>
            <w:vAlign w:val="center"/>
            <w:hideMark/>
          </w:tcPr>
          <w:p w14:paraId="38A0DC4C" w14:textId="7C4BF67D"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8402</w:t>
            </w:r>
          </w:p>
        </w:tc>
        <w:tc>
          <w:tcPr>
            <w:tcW w:w="941" w:type="dxa"/>
            <w:tcBorders>
              <w:top w:val="nil"/>
              <w:left w:val="nil"/>
              <w:bottom w:val="single" w:sz="4" w:space="0" w:color="auto"/>
              <w:right w:val="nil"/>
            </w:tcBorders>
            <w:shd w:val="clear" w:color="auto" w:fill="auto"/>
            <w:noWrap/>
            <w:vAlign w:val="center"/>
            <w:hideMark/>
          </w:tcPr>
          <w:p w14:paraId="0E30300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23,202</w:t>
            </w:r>
          </w:p>
        </w:tc>
        <w:tc>
          <w:tcPr>
            <w:tcW w:w="852" w:type="dxa"/>
            <w:tcBorders>
              <w:top w:val="nil"/>
              <w:left w:val="nil"/>
              <w:bottom w:val="single" w:sz="4" w:space="0" w:color="auto"/>
              <w:right w:val="nil"/>
            </w:tcBorders>
            <w:shd w:val="clear" w:color="auto" w:fill="auto"/>
            <w:noWrap/>
            <w:vAlign w:val="center"/>
            <w:hideMark/>
          </w:tcPr>
          <w:p w14:paraId="69AFE711" w14:textId="093C1BCA"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8257</w:t>
            </w:r>
          </w:p>
        </w:tc>
        <w:tc>
          <w:tcPr>
            <w:tcW w:w="941" w:type="dxa"/>
            <w:tcBorders>
              <w:top w:val="nil"/>
              <w:left w:val="nil"/>
              <w:bottom w:val="single" w:sz="4" w:space="0" w:color="auto"/>
              <w:right w:val="nil"/>
            </w:tcBorders>
            <w:shd w:val="clear" w:color="auto" w:fill="auto"/>
            <w:noWrap/>
            <w:vAlign w:val="center"/>
            <w:hideMark/>
          </w:tcPr>
          <w:p w14:paraId="1C40658C"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22,362</w:t>
            </w:r>
          </w:p>
        </w:tc>
        <w:tc>
          <w:tcPr>
            <w:tcW w:w="941" w:type="dxa"/>
            <w:tcBorders>
              <w:top w:val="nil"/>
              <w:left w:val="nil"/>
              <w:bottom w:val="single" w:sz="4" w:space="0" w:color="auto"/>
              <w:right w:val="nil"/>
            </w:tcBorders>
            <w:shd w:val="clear" w:color="auto" w:fill="auto"/>
            <w:noWrap/>
            <w:vAlign w:val="center"/>
            <w:hideMark/>
          </w:tcPr>
          <w:p w14:paraId="6D8474B0"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37,055</w:t>
            </w:r>
          </w:p>
        </w:tc>
        <w:tc>
          <w:tcPr>
            <w:tcW w:w="587" w:type="dxa"/>
            <w:tcBorders>
              <w:top w:val="nil"/>
              <w:left w:val="nil"/>
              <w:bottom w:val="single" w:sz="4" w:space="0" w:color="auto"/>
              <w:right w:val="nil"/>
            </w:tcBorders>
            <w:shd w:val="clear" w:color="auto" w:fill="auto"/>
            <w:noWrap/>
            <w:vAlign w:val="center"/>
            <w:hideMark/>
          </w:tcPr>
          <w:p w14:paraId="0D7D730F"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19,203</w:t>
            </w:r>
          </w:p>
        </w:tc>
      </w:tr>
      <w:tr w:rsidR="00FB6B80" w:rsidRPr="0084045A" w14:paraId="75CAEEC1" w14:textId="77777777" w:rsidTr="00333403">
        <w:trPr>
          <w:trHeight w:hRule="exact" w:val="284"/>
          <w:jc w:val="center"/>
        </w:trPr>
        <w:tc>
          <w:tcPr>
            <w:tcW w:w="709" w:type="dxa"/>
            <w:tcBorders>
              <w:top w:val="nil"/>
              <w:left w:val="nil"/>
              <w:bottom w:val="double" w:sz="6" w:space="0" w:color="auto"/>
              <w:right w:val="nil"/>
            </w:tcBorders>
            <w:shd w:val="clear" w:color="auto" w:fill="auto"/>
            <w:noWrap/>
            <w:vAlign w:val="center"/>
            <w:hideMark/>
          </w:tcPr>
          <w:p w14:paraId="2C1871F1" w14:textId="6202C9F4" w:rsidR="00FB6B80" w:rsidRPr="0084045A" w:rsidRDefault="00C15652" w:rsidP="00333403">
            <w:pPr>
              <w:spacing w:after="0" w:line="240" w:lineRule="auto"/>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w:t>
            </w:r>
            <w:r w:rsidR="00FB6B80" w:rsidRPr="0084045A">
              <w:rPr>
                <w:rFonts w:ascii="Arial" w:eastAsia="Times New Roman" w:hAnsi="Arial" w:cs="Arial"/>
                <w:noProof/>
                <w:sz w:val="16"/>
                <w:szCs w:val="16"/>
                <w:lang w:val="en-GB" w:eastAsia="es-MX"/>
              </w:rPr>
              <w:t>95</w:t>
            </w:r>
          </w:p>
        </w:tc>
        <w:tc>
          <w:tcPr>
            <w:tcW w:w="941" w:type="dxa"/>
            <w:tcBorders>
              <w:top w:val="nil"/>
              <w:left w:val="nil"/>
              <w:bottom w:val="double" w:sz="6" w:space="0" w:color="auto"/>
              <w:right w:val="nil"/>
            </w:tcBorders>
            <w:shd w:val="clear" w:color="auto" w:fill="auto"/>
            <w:noWrap/>
            <w:vAlign w:val="center"/>
            <w:hideMark/>
          </w:tcPr>
          <w:p w14:paraId="40D7EBF7" w14:textId="200A90FA"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5526</w:t>
            </w:r>
          </w:p>
        </w:tc>
        <w:tc>
          <w:tcPr>
            <w:tcW w:w="852" w:type="dxa"/>
            <w:tcBorders>
              <w:top w:val="nil"/>
              <w:left w:val="nil"/>
              <w:bottom w:val="double" w:sz="6" w:space="0" w:color="auto"/>
              <w:right w:val="nil"/>
            </w:tcBorders>
            <w:shd w:val="clear" w:color="auto" w:fill="auto"/>
            <w:noWrap/>
            <w:vAlign w:val="center"/>
            <w:hideMark/>
          </w:tcPr>
          <w:p w14:paraId="36842C29" w14:textId="5068798C"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3566</w:t>
            </w:r>
          </w:p>
        </w:tc>
        <w:tc>
          <w:tcPr>
            <w:tcW w:w="852" w:type="dxa"/>
            <w:tcBorders>
              <w:top w:val="nil"/>
              <w:left w:val="nil"/>
              <w:bottom w:val="double" w:sz="6" w:space="0" w:color="auto"/>
              <w:right w:val="nil"/>
            </w:tcBorders>
            <w:shd w:val="clear" w:color="auto" w:fill="auto"/>
            <w:noWrap/>
            <w:vAlign w:val="center"/>
            <w:hideMark/>
          </w:tcPr>
          <w:p w14:paraId="079EFB09" w14:textId="530BC893"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1899</w:t>
            </w:r>
          </w:p>
        </w:tc>
        <w:tc>
          <w:tcPr>
            <w:tcW w:w="941" w:type="dxa"/>
            <w:tcBorders>
              <w:top w:val="nil"/>
              <w:left w:val="nil"/>
              <w:bottom w:val="double" w:sz="6" w:space="0" w:color="auto"/>
              <w:right w:val="nil"/>
            </w:tcBorders>
            <w:shd w:val="clear" w:color="auto" w:fill="auto"/>
            <w:noWrap/>
            <w:vAlign w:val="center"/>
            <w:hideMark/>
          </w:tcPr>
          <w:p w14:paraId="79114F73" w14:textId="061A8BA5"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8208</w:t>
            </w:r>
          </w:p>
        </w:tc>
        <w:tc>
          <w:tcPr>
            <w:tcW w:w="941" w:type="dxa"/>
            <w:tcBorders>
              <w:top w:val="nil"/>
              <w:left w:val="nil"/>
              <w:bottom w:val="double" w:sz="6" w:space="0" w:color="auto"/>
              <w:right w:val="nil"/>
            </w:tcBorders>
            <w:shd w:val="clear" w:color="auto" w:fill="auto"/>
            <w:noWrap/>
            <w:vAlign w:val="center"/>
            <w:hideMark/>
          </w:tcPr>
          <w:p w14:paraId="2821DE0C" w14:textId="436BDD0F"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3368</w:t>
            </w:r>
          </w:p>
        </w:tc>
        <w:tc>
          <w:tcPr>
            <w:tcW w:w="941" w:type="dxa"/>
            <w:tcBorders>
              <w:top w:val="nil"/>
              <w:left w:val="nil"/>
              <w:bottom w:val="double" w:sz="6" w:space="0" w:color="auto"/>
              <w:right w:val="nil"/>
            </w:tcBorders>
            <w:shd w:val="clear" w:color="auto" w:fill="auto"/>
            <w:noWrap/>
            <w:vAlign w:val="center"/>
            <w:hideMark/>
          </w:tcPr>
          <w:p w14:paraId="36504229" w14:textId="1C0C510F"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9345</w:t>
            </w:r>
          </w:p>
        </w:tc>
        <w:tc>
          <w:tcPr>
            <w:tcW w:w="852" w:type="dxa"/>
            <w:tcBorders>
              <w:top w:val="nil"/>
              <w:left w:val="nil"/>
              <w:bottom w:val="double" w:sz="6" w:space="0" w:color="auto"/>
              <w:right w:val="nil"/>
            </w:tcBorders>
            <w:shd w:val="clear" w:color="auto" w:fill="auto"/>
            <w:noWrap/>
            <w:vAlign w:val="center"/>
            <w:hideMark/>
          </w:tcPr>
          <w:p w14:paraId="4006E387" w14:textId="1F8E604D"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3353</w:t>
            </w:r>
          </w:p>
        </w:tc>
        <w:tc>
          <w:tcPr>
            <w:tcW w:w="941" w:type="dxa"/>
            <w:tcBorders>
              <w:top w:val="nil"/>
              <w:left w:val="nil"/>
              <w:bottom w:val="double" w:sz="6" w:space="0" w:color="auto"/>
              <w:right w:val="nil"/>
            </w:tcBorders>
            <w:shd w:val="clear" w:color="auto" w:fill="auto"/>
            <w:noWrap/>
            <w:vAlign w:val="center"/>
            <w:hideMark/>
          </w:tcPr>
          <w:p w14:paraId="63539A91" w14:textId="34113820"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9168</w:t>
            </w:r>
          </w:p>
        </w:tc>
        <w:tc>
          <w:tcPr>
            <w:tcW w:w="941" w:type="dxa"/>
            <w:tcBorders>
              <w:top w:val="nil"/>
              <w:left w:val="nil"/>
              <w:bottom w:val="double" w:sz="6" w:space="0" w:color="auto"/>
              <w:right w:val="nil"/>
            </w:tcBorders>
            <w:shd w:val="clear" w:color="auto" w:fill="auto"/>
            <w:noWrap/>
            <w:vAlign w:val="center"/>
            <w:hideMark/>
          </w:tcPr>
          <w:p w14:paraId="195D956E" w14:textId="13A2E86A"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15331</w:t>
            </w:r>
          </w:p>
        </w:tc>
        <w:tc>
          <w:tcPr>
            <w:tcW w:w="587" w:type="dxa"/>
            <w:tcBorders>
              <w:top w:val="nil"/>
              <w:left w:val="nil"/>
              <w:bottom w:val="double" w:sz="6" w:space="0" w:color="auto"/>
              <w:right w:val="nil"/>
            </w:tcBorders>
            <w:shd w:val="clear" w:color="auto" w:fill="auto"/>
            <w:noWrap/>
            <w:vAlign w:val="center"/>
            <w:hideMark/>
          </w:tcPr>
          <w:p w14:paraId="363A4DE4" w14:textId="77777777" w:rsidR="00FB6B80" w:rsidRPr="0084045A" w:rsidRDefault="00FB6B80" w:rsidP="00333403">
            <w:pPr>
              <w:spacing w:after="0" w:line="240" w:lineRule="auto"/>
              <w:jc w:val="right"/>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8,008</w:t>
            </w:r>
          </w:p>
        </w:tc>
      </w:tr>
      <w:tr w:rsidR="00FB6B80" w:rsidRPr="0084045A" w14:paraId="624710EF" w14:textId="77777777" w:rsidTr="00333403">
        <w:trPr>
          <w:trHeight w:hRule="exact" w:val="284"/>
          <w:jc w:val="center"/>
        </w:trPr>
        <w:tc>
          <w:tcPr>
            <w:tcW w:w="709" w:type="dxa"/>
            <w:tcBorders>
              <w:top w:val="nil"/>
              <w:left w:val="nil"/>
              <w:bottom w:val="single" w:sz="4" w:space="0" w:color="auto"/>
              <w:right w:val="nil"/>
            </w:tcBorders>
            <w:shd w:val="clear" w:color="auto" w:fill="auto"/>
            <w:noWrap/>
            <w:vAlign w:val="center"/>
            <w:hideMark/>
          </w:tcPr>
          <w:p w14:paraId="05365488" w14:textId="77777777" w:rsidR="00FB6B80" w:rsidRPr="0084045A" w:rsidRDefault="00FB6B80" w:rsidP="00333403">
            <w:pPr>
              <w:spacing w:after="0" w:line="240" w:lineRule="auto"/>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TOTAL</w:t>
            </w:r>
          </w:p>
        </w:tc>
        <w:tc>
          <w:tcPr>
            <w:tcW w:w="941" w:type="dxa"/>
            <w:tcBorders>
              <w:top w:val="nil"/>
              <w:left w:val="nil"/>
              <w:bottom w:val="single" w:sz="4" w:space="0" w:color="auto"/>
              <w:right w:val="nil"/>
            </w:tcBorders>
            <w:shd w:val="clear" w:color="auto" w:fill="auto"/>
            <w:noWrap/>
            <w:vAlign w:val="center"/>
            <w:hideMark/>
          </w:tcPr>
          <w:p w14:paraId="1055A6F9" w14:textId="77777777" w:rsidR="00FB6B80" w:rsidRPr="0084045A" w:rsidRDefault="00FB6B80" w:rsidP="00333403">
            <w:pPr>
              <w:spacing w:after="0" w:line="240" w:lineRule="auto"/>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10,121,012</w:t>
            </w:r>
          </w:p>
        </w:tc>
        <w:tc>
          <w:tcPr>
            <w:tcW w:w="852" w:type="dxa"/>
            <w:tcBorders>
              <w:top w:val="nil"/>
              <w:left w:val="nil"/>
              <w:bottom w:val="single" w:sz="4" w:space="0" w:color="auto"/>
              <w:right w:val="nil"/>
            </w:tcBorders>
            <w:shd w:val="clear" w:color="auto" w:fill="auto"/>
            <w:noWrap/>
            <w:vAlign w:val="center"/>
            <w:hideMark/>
          </w:tcPr>
          <w:p w14:paraId="40F34F76" w14:textId="77777777" w:rsidR="00FB6B80" w:rsidRPr="0084045A" w:rsidRDefault="00FB6B80" w:rsidP="00333403">
            <w:pPr>
              <w:spacing w:after="0" w:line="240" w:lineRule="auto"/>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8,289,457</w:t>
            </w:r>
          </w:p>
        </w:tc>
        <w:tc>
          <w:tcPr>
            <w:tcW w:w="852" w:type="dxa"/>
            <w:tcBorders>
              <w:top w:val="nil"/>
              <w:left w:val="nil"/>
              <w:bottom w:val="single" w:sz="4" w:space="0" w:color="auto"/>
              <w:right w:val="nil"/>
            </w:tcBorders>
            <w:shd w:val="clear" w:color="auto" w:fill="auto"/>
            <w:noWrap/>
            <w:vAlign w:val="center"/>
            <w:hideMark/>
          </w:tcPr>
          <w:p w14:paraId="513C33C3" w14:textId="77777777" w:rsidR="00FB6B80" w:rsidRPr="0084045A" w:rsidRDefault="00FB6B80" w:rsidP="00333403">
            <w:pPr>
              <w:spacing w:after="0" w:line="240" w:lineRule="auto"/>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3,617,815</w:t>
            </w:r>
          </w:p>
        </w:tc>
        <w:tc>
          <w:tcPr>
            <w:tcW w:w="941" w:type="dxa"/>
            <w:tcBorders>
              <w:top w:val="nil"/>
              <w:left w:val="nil"/>
              <w:bottom w:val="single" w:sz="4" w:space="0" w:color="auto"/>
              <w:right w:val="nil"/>
            </w:tcBorders>
            <w:shd w:val="clear" w:color="auto" w:fill="auto"/>
            <w:noWrap/>
            <w:vAlign w:val="center"/>
            <w:hideMark/>
          </w:tcPr>
          <w:p w14:paraId="0D9AAE23" w14:textId="77777777" w:rsidR="00FB6B80" w:rsidRPr="0084045A" w:rsidRDefault="00FB6B80" w:rsidP="00333403">
            <w:pPr>
              <w:spacing w:after="0" w:line="240" w:lineRule="auto"/>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12,792,227</w:t>
            </w:r>
          </w:p>
        </w:tc>
        <w:tc>
          <w:tcPr>
            <w:tcW w:w="941" w:type="dxa"/>
            <w:tcBorders>
              <w:top w:val="nil"/>
              <w:left w:val="nil"/>
              <w:bottom w:val="single" w:sz="4" w:space="0" w:color="auto"/>
              <w:right w:val="nil"/>
            </w:tcBorders>
            <w:shd w:val="clear" w:color="auto" w:fill="auto"/>
            <w:noWrap/>
            <w:vAlign w:val="center"/>
            <w:hideMark/>
          </w:tcPr>
          <w:p w14:paraId="02173695" w14:textId="77777777" w:rsidR="00FB6B80" w:rsidRPr="0084045A" w:rsidRDefault="00FB6B80" w:rsidP="00333403">
            <w:pPr>
              <w:spacing w:after="0" w:line="240" w:lineRule="auto"/>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11,242,231</w:t>
            </w:r>
          </w:p>
        </w:tc>
        <w:tc>
          <w:tcPr>
            <w:tcW w:w="941" w:type="dxa"/>
            <w:tcBorders>
              <w:top w:val="nil"/>
              <w:left w:val="nil"/>
              <w:bottom w:val="single" w:sz="4" w:space="0" w:color="auto"/>
              <w:right w:val="nil"/>
            </w:tcBorders>
            <w:shd w:val="clear" w:color="auto" w:fill="auto"/>
            <w:noWrap/>
            <w:vAlign w:val="center"/>
            <w:hideMark/>
          </w:tcPr>
          <w:p w14:paraId="4F9598A4" w14:textId="77777777" w:rsidR="00FB6B80" w:rsidRPr="0084045A" w:rsidRDefault="00FB6B80" w:rsidP="00333403">
            <w:pPr>
              <w:spacing w:after="0" w:line="240" w:lineRule="auto"/>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11,378,804</w:t>
            </w:r>
          </w:p>
        </w:tc>
        <w:tc>
          <w:tcPr>
            <w:tcW w:w="852" w:type="dxa"/>
            <w:tcBorders>
              <w:top w:val="nil"/>
              <w:left w:val="nil"/>
              <w:bottom w:val="single" w:sz="4" w:space="0" w:color="auto"/>
              <w:right w:val="nil"/>
            </w:tcBorders>
            <w:shd w:val="clear" w:color="auto" w:fill="auto"/>
            <w:noWrap/>
            <w:vAlign w:val="center"/>
            <w:hideMark/>
          </w:tcPr>
          <w:p w14:paraId="390DB35B" w14:textId="77777777" w:rsidR="00FB6B80" w:rsidRPr="0084045A" w:rsidRDefault="00FB6B80" w:rsidP="00333403">
            <w:pPr>
              <w:spacing w:after="0" w:line="240" w:lineRule="auto"/>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9,881,013</w:t>
            </w:r>
          </w:p>
        </w:tc>
        <w:tc>
          <w:tcPr>
            <w:tcW w:w="941" w:type="dxa"/>
            <w:tcBorders>
              <w:top w:val="nil"/>
              <w:left w:val="nil"/>
              <w:bottom w:val="single" w:sz="4" w:space="0" w:color="auto"/>
              <w:right w:val="nil"/>
            </w:tcBorders>
            <w:shd w:val="clear" w:color="auto" w:fill="auto"/>
            <w:noWrap/>
            <w:vAlign w:val="center"/>
            <w:hideMark/>
          </w:tcPr>
          <w:p w14:paraId="5DA68A7D" w14:textId="77777777" w:rsidR="00FB6B80" w:rsidRPr="0084045A" w:rsidRDefault="00FB6B80" w:rsidP="00333403">
            <w:pPr>
              <w:spacing w:after="0" w:line="240" w:lineRule="auto"/>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11,021,963</w:t>
            </w:r>
          </w:p>
        </w:tc>
        <w:tc>
          <w:tcPr>
            <w:tcW w:w="941" w:type="dxa"/>
            <w:tcBorders>
              <w:top w:val="nil"/>
              <w:left w:val="nil"/>
              <w:bottom w:val="single" w:sz="4" w:space="0" w:color="auto"/>
              <w:right w:val="nil"/>
            </w:tcBorders>
            <w:shd w:val="clear" w:color="auto" w:fill="auto"/>
            <w:noWrap/>
            <w:vAlign w:val="center"/>
            <w:hideMark/>
          </w:tcPr>
          <w:p w14:paraId="591BD4D8" w14:textId="77777777" w:rsidR="00FB6B80" w:rsidRPr="0084045A" w:rsidRDefault="00FB6B80" w:rsidP="00333403">
            <w:pPr>
              <w:spacing w:after="0" w:line="240" w:lineRule="auto"/>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17,652,432</w:t>
            </w:r>
          </w:p>
        </w:tc>
        <w:tc>
          <w:tcPr>
            <w:tcW w:w="587" w:type="dxa"/>
            <w:tcBorders>
              <w:top w:val="nil"/>
              <w:left w:val="nil"/>
              <w:bottom w:val="single" w:sz="4" w:space="0" w:color="auto"/>
              <w:right w:val="nil"/>
            </w:tcBorders>
            <w:shd w:val="clear" w:color="auto" w:fill="auto"/>
            <w:noWrap/>
            <w:vAlign w:val="center"/>
            <w:hideMark/>
          </w:tcPr>
          <w:p w14:paraId="1BC150D7" w14:textId="77777777" w:rsidR="00FB6B80" w:rsidRPr="0084045A" w:rsidRDefault="00FB6B80" w:rsidP="00333403">
            <w:pPr>
              <w:spacing w:after="0" w:line="240" w:lineRule="auto"/>
              <w:jc w:val="right"/>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11,165,666</w:t>
            </w:r>
          </w:p>
        </w:tc>
      </w:tr>
    </w:tbl>
    <w:p w14:paraId="5B618FF1" w14:textId="77777777" w:rsidR="00FB6B80" w:rsidRPr="0084045A" w:rsidRDefault="00FB6B80" w:rsidP="00FB6B80">
      <w:pPr>
        <w:spacing w:after="0" w:line="240" w:lineRule="auto"/>
        <w:jc w:val="both"/>
        <w:rPr>
          <w:rFonts w:cstheme="minorHAnsi"/>
          <w:noProof/>
          <w:color w:val="000000" w:themeColor="text1"/>
          <w:lang w:val="en-GB"/>
        </w:rPr>
      </w:pPr>
    </w:p>
    <w:p w14:paraId="48DBF8B3" w14:textId="77777777" w:rsidR="00FB6B80" w:rsidRPr="0084045A" w:rsidRDefault="00FB6B80" w:rsidP="00FB6B80">
      <w:pPr>
        <w:spacing w:after="0" w:line="480" w:lineRule="auto"/>
        <w:jc w:val="right"/>
        <w:rPr>
          <w:rFonts w:ascii="Arial" w:hAnsi="Arial" w:cs="Arial"/>
          <w:noProof/>
          <w:color w:val="000000" w:themeColor="text1"/>
          <w:sz w:val="20"/>
          <w:szCs w:val="20"/>
          <w:lang w:val="en-GB"/>
        </w:rPr>
      </w:pPr>
      <w:r w:rsidRPr="0084045A">
        <w:rPr>
          <w:rFonts w:ascii="Arial" w:hAnsi="Arial" w:cs="Arial"/>
          <w:i/>
          <w:noProof/>
          <w:color w:val="000000" w:themeColor="text1"/>
          <w:sz w:val="20"/>
          <w:szCs w:val="20"/>
          <w:lang w:val="en-GB"/>
        </w:rPr>
        <w:t xml:space="preserve">Source: </w:t>
      </w:r>
      <w:r w:rsidRPr="0084045A">
        <w:rPr>
          <w:rFonts w:ascii="Arial" w:hAnsi="Arial" w:cs="Arial"/>
          <w:noProof/>
          <w:color w:val="000000" w:themeColor="text1"/>
          <w:sz w:val="20"/>
          <w:szCs w:val="20"/>
          <w:lang w:val="en-GB"/>
        </w:rPr>
        <w:t>estimation using data from CDC and official population projections</w:t>
      </w:r>
    </w:p>
    <w:p w14:paraId="6688B7F3" w14:textId="77777777" w:rsidR="00091A14" w:rsidRPr="0084045A" w:rsidRDefault="00091A14">
      <w:pPr>
        <w:rPr>
          <w:rFonts w:ascii="Arial" w:hAnsi="Arial" w:cs="Arial"/>
          <w:b/>
          <w:i/>
          <w:iCs/>
          <w:noProof/>
          <w:color w:val="000000" w:themeColor="text1"/>
          <w:lang w:val="en-GB"/>
        </w:rPr>
      </w:pPr>
      <w:r w:rsidRPr="0084045A">
        <w:rPr>
          <w:rFonts w:ascii="Arial" w:hAnsi="Arial" w:cs="Arial"/>
          <w:b/>
          <w:i/>
          <w:iCs/>
          <w:noProof/>
          <w:color w:val="000000" w:themeColor="text1"/>
          <w:lang w:val="en-GB"/>
        </w:rPr>
        <w:br w:type="page"/>
      </w:r>
    </w:p>
    <w:p w14:paraId="39E0D74D" w14:textId="10068E2B" w:rsidR="00FB6B80" w:rsidRPr="0084045A" w:rsidRDefault="00FB6B80" w:rsidP="0026691C">
      <w:pPr>
        <w:pStyle w:val="Ttulo2"/>
        <w:rPr>
          <w:noProof/>
          <w:lang w:val="en-GB"/>
        </w:rPr>
      </w:pPr>
      <w:r w:rsidRPr="0084045A">
        <w:rPr>
          <w:noProof/>
          <w:lang w:val="en-GB"/>
        </w:rPr>
        <w:lastRenderedPageBreak/>
        <w:t>Table S2.5. Likelihood of seeking medical care by age group (scenario 0)</w:t>
      </w:r>
    </w:p>
    <w:tbl>
      <w:tblPr>
        <w:tblW w:w="3180" w:type="dxa"/>
        <w:tblCellMar>
          <w:left w:w="70" w:type="dxa"/>
          <w:right w:w="70" w:type="dxa"/>
        </w:tblCellMar>
        <w:tblLook w:val="04A0" w:firstRow="1" w:lastRow="0" w:firstColumn="1" w:lastColumn="0" w:noHBand="0" w:noVBand="1"/>
      </w:tblPr>
      <w:tblGrid>
        <w:gridCol w:w="1760"/>
        <w:gridCol w:w="1420"/>
      </w:tblGrid>
      <w:tr w:rsidR="00FB6B80" w:rsidRPr="00626DDA" w14:paraId="67AD95D1" w14:textId="77777777" w:rsidTr="003B2744">
        <w:trPr>
          <w:trHeight w:hRule="exact" w:val="284"/>
        </w:trPr>
        <w:tc>
          <w:tcPr>
            <w:tcW w:w="1760" w:type="dxa"/>
            <w:tcBorders>
              <w:top w:val="nil"/>
              <w:left w:val="nil"/>
              <w:bottom w:val="single" w:sz="8" w:space="0" w:color="auto"/>
              <w:right w:val="nil"/>
            </w:tcBorders>
            <w:shd w:val="clear" w:color="auto" w:fill="auto"/>
            <w:noWrap/>
            <w:vAlign w:val="center"/>
            <w:hideMark/>
          </w:tcPr>
          <w:p w14:paraId="01B06A83" w14:textId="0B3F3846" w:rsidR="00FB6B80" w:rsidRPr="003B2744" w:rsidRDefault="00FB6B80" w:rsidP="00333403">
            <w:pPr>
              <w:spacing w:after="0" w:line="240" w:lineRule="auto"/>
              <w:jc w:val="center"/>
              <w:rPr>
                <w:rFonts w:ascii="Arial" w:eastAsia="Times New Roman" w:hAnsi="Arial" w:cs="Arial"/>
                <w:b/>
                <w:bCs/>
                <w:noProof/>
                <w:color w:val="000000"/>
                <w:lang w:val="en-GB" w:eastAsia="es-ES"/>
              </w:rPr>
            </w:pPr>
            <w:r w:rsidRPr="003B2744">
              <w:rPr>
                <w:rFonts w:ascii="Arial" w:eastAsia="Times New Roman" w:hAnsi="Arial" w:cs="Arial"/>
                <w:b/>
                <w:bCs/>
                <w:noProof/>
                <w:color w:val="000000"/>
                <w:lang w:val="en-GB" w:eastAsia="es-ES"/>
              </w:rPr>
              <w:t>Age group</w:t>
            </w:r>
            <w:r w:rsidR="00451B07" w:rsidRPr="003B2744">
              <w:rPr>
                <w:rFonts w:ascii="Arial" w:eastAsia="Times New Roman" w:hAnsi="Arial" w:cs="Arial"/>
                <w:b/>
                <w:bCs/>
                <w:noProof/>
                <w:color w:val="000000"/>
                <w:lang w:val="en-GB" w:eastAsia="es-ES"/>
              </w:rPr>
              <w:t>, years</w:t>
            </w:r>
          </w:p>
        </w:tc>
        <w:tc>
          <w:tcPr>
            <w:tcW w:w="1420" w:type="dxa"/>
            <w:tcBorders>
              <w:top w:val="nil"/>
              <w:left w:val="nil"/>
              <w:bottom w:val="single" w:sz="8" w:space="0" w:color="auto"/>
              <w:right w:val="nil"/>
            </w:tcBorders>
            <w:shd w:val="clear" w:color="auto" w:fill="auto"/>
            <w:noWrap/>
            <w:vAlign w:val="center"/>
            <w:hideMark/>
          </w:tcPr>
          <w:p w14:paraId="67F2C648" w14:textId="77777777" w:rsidR="00FB6B80" w:rsidRPr="003B2744" w:rsidRDefault="00FB6B80" w:rsidP="00333403">
            <w:pPr>
              <w:spacing w:after="0" w:line="240" w:lineRule="auto"/>
              <w:jc w:val="center"/>
              <w:rPr>
                <w:rFonts w:ascii="Arial" w:eastAsia="Times New Roman" w:hAnsi="Arial" w:cs="Arial"/>
                <w:b/>
                <w:bCs/>
                <w:noProof/>
                <w:color w:val="000000"/>
                <w:lang w:val="en-GB" w:eastAsia="es-ES"/>
              </w:rPr>
            </w:pPr>
            <w:r w:rsidRPr="003B2744">
              <w:rPr>
                <w:rFonts w:ascii="Arial" w:eastAsia="Times New Roman" w:hAnsi="Arial" w:cs="Arial"/>
                <w:b/>
                <w:bCs/>
                <w:noProof/>
                <w:color w:val="000000"/>
                <w:lang w:val="en-GB" w:eastAsia="es-ES"/>
              </w:rPr>
              <w:t>Likelihood</w:t>
            </w:r>
          </w:p>
        </w:tc>
      </w:tr>
      <w:tr w:rsidR="00FB6B80" w:rsidRPr="00626DDA" w14:paraId="2672445B" w14:textId="77777777" w:rsidTr="003B2744">
        <w:trPr>
          <w:trHeight w:hRule="exact" w:val="284"/>
        </w:trPr>
        <w:tc>
          <w:tcPr>
            <w:tcW w:w="1760" w:type="dxa"/>
            <w:tcBorders>
              <w:top w:val="nil"/>
              <w:left w:val="nil"/>
              <w:bottom w:val="single" w:sz="4" w:space="0" w:color="auto"/>
              <w:right w:val="nil"/>
            </w:tcBorders>
            <w:shd w:val="clear" w:color="auto" w:fill="auto"/>
            <w:noWrap/>
            <w:vAlign w:val="center"/>
            <w:hideMark/>
          </w:tcPr>
          <w:p w14:paraId="095965B8" w14:textId="6BBAD43E" w:rsidR="00FB6B80" w:rsidRPr="003B2744" w:rsidRDefault="00FB6B80" w:rsidP="00333403">
            <w:pPr>
              <w:spacing w:after="0" w:line="240" w:lineRule="auto"/>
              <w:jc w:val="center"/>
              <w:rPr>
                <w:rFonts w:ascii="Arial" w:eastAsia="Times New Roman" w:hAnsi="Arial" w:cs="Arial"/>
                <w:noProof/>
                <w:color w:val="000000"/>
                <w:lang w:val="en-GB" w:eastAsia="es-ES"/>
              </w:rPr>
            </w:pPr>
            <w:r w:rsidRPr="003B2744">
              <w:rPr>
                <w:rFonts w:ascii="Arial" w:eastAsia="Times New Roman" w:hAnsi="Arial" w:cs="Arial"/>
                <w:noProof/>
                <w:color w:val="000000"/>
                <w:lang w:val="en-GB" w:eastAsia="es-ES"/>
              </w:rPr>
              <w:t>0</w:t>
            </w:r>
            <w:r w:rsidR="00C15652" w:rsidRPr="003B2744">
              <w:rPr>
                <w:rFonts w:ascii="Arial" w:eastAsia="Times New Roman" w:hAnsi="Arial" w:cs="Arial"/>
                <w:noProof/>
                <w:color w:val="000000"/>
                <w:lang w:val="en-GB" w:eastAsia="es-ES"/>
              </w:rPr>
              <w:t>–</w:t>
            </w:r>
            <w:r w:rsidRPr="003B2744">
              <w:rPr>
                <w:rFonts w:ascii="Arial" w:eastAsia="Times New Roman" w:hAnsi="Arial" w:cs="Arial"/>
                <w:noProof/>
                <w:color w:val="000000"/>
                <w:lang w:val="en-GB" w:eastAsia="es-ES"/>
              </w:rPr>
              <w:t>4</w:t>
            </w:r>
          </w:p>
        </w:tc>
        <w:tc>
          <w:tcPr>
            <w:tcW w:w="1420" w:type="dxa"/>
            <w:tcBorders>
              <w:top w:val="nil"/>
              <w:left w:val="nil"/>
              <w:bottom w:val="single" w:sz="4" w:space="0" w:color="auto"/>
              <w:right w:val="nil"/>
            </w:tcBorders>
            <w:shd w:val="clear" w:color="auto" w:fill="auto"/>
            <w:noWrap/>
            <w:vAlign w:val="center"/>
            <w:hideMark/>
          </w:tcPr>
          <w:p w14:paraId="45A001CF" w14:textId="77777777" w:rsidR="00FB6B80" w:rsidRPr="003B2744" w:rsidRDefault="00FB6B80" w:rsidP="00333403">
            <w:pPr>
              <w:spacing w:after="0" w:line="240" w:lineRule="auto"/>
              <w:jc w:val="center"/>
              <w:rPr>
                <w:rFonts w:ascii="Arial" w:eastAsia="Times New Roman" w:hAnsi="Arial" w:cs="Arial"/>
                <w:noProof/>
                <w:color w:val="000000"/>
                <w:lang w:val="en-GB" w:eastAsia="es-ES"/>
              </w:rPr>
            </w:pPr>
            <w:r w:rsidRPr="003B2744">
              <w:rPr>
                <w:rFonts w:ascii="Arial" w:eastAsia="Times New Roman" w:hAnsi="Arial" w:cs="Arial"/>
                <w:noProof/>
                <w:color w:val="000000"/>
                <w:lang w:val="en-GB" w:eastAsia="es-ES"/>
              </w:rPr>
              <w:t>0.5309</w:t>
            </w:r>
          </w:p>
        </w:tc>
      </w:tr>
      <w:tr w:rsidR="00FB6B80" w:rsidRPr="00626DDA" w14:paraId="37A4FE4E" w14:textId="77777777" w:rsidTr="003B2744">
        <w:trPr>
          <w:trHeight w:hRule="exact" w:val="284"/>
        </w:trPr>
        <w:tc>
          <w:tcPr>
            <w:tcW w:w="1760" w:type="dxa"/>
            <w:tcBorders>
              <w:top w:val="nil"/>
              <w:left w:val="nil"/>
              <w:bottom w:val="single" w:sz="4" w:space="0" w:color="auto"/>
              <w:right w:val="nil"/>
            </w:tcBorders>
            <w:shd w:val="clear" w:color="auto" w:fill="auto"/>
            <w:noWrap/>
            <w:vAlign w:val="center"/>
            <w:hideMark/>
          </w:tcPr>
          <w:p w14:paraId="08B52EF4" w14:textId="796D2F07" w:rsidR="00FB6B80" w:rsidRPr="003B2744" w:rsidRDefault="00FB6B80" w:rsidP="00333403">
            <w:pPr>
              <w:spacing w:after="0" w:line="240" w:lineRule="auto"/>
              <w:jc w:val="center"/>
              <w:rPr>
                <w:rFonts w:ascii="Arial" w:eastAsia="Times New Roman" w:hAnsi="Arial" w:cs="Arial"/>
                <w:noProof/>
                <w:color w:val="000000"/>
                <w:lang w:val="en-GB" w:eastAsia="es-ES"/>
              </w:rPr>
            </w:pPr>
            <w:r w:rsidRPr="003B2744">
              <w:rPr>
                <w:rFonts w:ascii="Arial" w:eastAsia="Times New Roman" w:hAnsi="Arial" w:cs="Arial"/>
                <w:noProof/>
                <w:color w:val="000000"/>
                <w:lang w:val="en-GB" w:eastAsia="es-ES"/>
              </w:rPr>
              <w:t>5</w:t>
            </w:r>
            <w:r w:rsidR="00C15652" w:rsidRPr="003B2744">
              <w:rPr>
                <w:rFonts w:ascii="Arial" w:eastAsia="Times New Roman" w:hAnsi="Arial" w:cs="Arial"/>
                <w:noProof/>
                <w:color w:val="000000"/>
                <w:lang w:val="en-GB" w:eastAsia="es-ES"/>
              </w:rPr>
              <w:t>–</w:t>
            </w:r>
            <w:r w:rsidRPr="003B2744">
              <w:rPr>
                <w:rFonts w:ascii="Arial" w:eastAsia="Times New Roman" w:hAnsi="Arial" w:cs="Arial"/>
                <w:noProof/>
                <w:color w:val="000000"/>
                <w:lang w:val="en-GB" w:eastAsia="es-ES"/>
              </w:rPr>
              <w:t>17</w:t>
            </w:r>
          </w:p>
        </w:tc>
        <w:tc>
          <w:tcPr>
            <w:tcW w:w="1420" w:type="dxa"/>
            <w:tcBorders>
              <w:top w:val="nil"/>
              <w:left w:val="nil"/>
              <w:bottom w:val="single" w:sz="4" w:space="0" w:color="auto"/>
              <w:right w:val="nil"/>
            </w:tcBorders>
            <w:shd w:val="clear" w:color="auto" w:fill="auto"/>
            <w:noWrap/>
            <w:vAlign w:val="center"/>
            <w:hideMark/>
          </w:tcPr>
          <w:p w14:paraId="29D6FC97" w14:textId="77777777" w:rsidR="00FB6B80" w:rsidRPr="003B2744" w:rsidRDefault="00FB6B80" w:rsidP="00333403">
            <w:pPr>
              <w:spacing w:after="0" w:line="240" w:lineRule="auto"/>
              <w:jc w:val="center"/>
              <w:rPr>
                <w:rFonts w:ascii="Arial" w:eastAsia="Times New Roman" w:hAnsi="Arial" w:cs="Arial"/>
                <w:noProof/>
                <w:color w:val="000000"/>
                <w:lang w:val="en-GB" w:eastAsia="es-ES"/>
              </w:rPr>
            </w:pPr>
            <w:r w:rsidRPr="003B2744">
              <w:rPr>
                <w:rFonts w:ascii="Arial" w:eastAsia="Times New Roman" w:hAnsi="Arial" w:cs="Arial"/>
                <w:noProof/>
                <w:color w:val="000000"/>
                <w:lang w:val="en-GB" w:eastAsia="es-ES"/>
              </w:rPr>
              <w:t>0.6814</w:t>
            </w:r>
          </w:p>
        </w:tc>
      </w:tr>
      <w:tr w:rsidR="00FB6B80" w:rsidRPr="00626DDA" w14:paraId="44F4565E" w14:textId="77777777" w:rsidTr="003B2744">
        <w:trPr>
          <w:trHeight w:hRule="exact" w:val="284"/>
        </w:trPr>
        <w:tc>
          <w:tcPr>
            <w:tcW w:w="1760" w:type="dxa"/>
            <w:tcBorders>
              <w:top w:val="nil"/>
              <w:left w:val="nil"/>
              <w:bottom w:val="single" w:sz="4" w:space="0" w:color="auto"/>
              <w:right w:val="nil"/>
            </w:tcBorders>
            <w:shd w:val="clear" w:color="auto" w:fill="auto"/>
            <w:noWrap/>
            <w:vAlign w:val="center"/>
            <w:hideMark/>
          </w:tcPr>
          <w:p w14:paraId="4FBCBAD2" w14:textId="6CB21DF2" w:rsidR="00FB6B80" w:rsidRPr="003B2744" w:rsidRDefault="00FB6B80" w:rsidP="00333403">
            <w:pPr>
              <w:spacing w:after="0" w:line="240" w:lineRule="auto"/>
              <w:jc w:val="center"/>
              <w:rPr>
                <w:rFonts w:ascii="Arial" w:eastAsia="Times New Roman" w:hAnsi="Arial" w:cs="Arial"/>
                <w:noProof/>
                <w:color w:val="000000"/>
                <w:lang w:val="en-GB" w:eastAsia="es-ES"/>
              </w:rPr>
            </w:pPr>
            <w:r w:rsidRPr="003B2744">
              <w:rPr>
                <w:rFonts w:ascii="Arial" w:eastAsia="Times New Roman" w:hAnsi="Arial" w:cs="Arial"/>
                <w:noProof/>
                <w:color w:val="000000"/>
                <w:lang w:val="en-GB" w:eastAsia="es-ES"/>
              </w:rPr>
              <w:t>18</w:t>
            </w:r>
            <w:r w:rsidR="00C15652" w:rsidRPr="003B2744">
              <w:rPr>
                <w:rFonts w:ascii="Arial" w:eastAsia="Times New Roman" w:hAnsi="Arial" w:cs="Arial"/>
                <w:noProof/>
                <w:color w:val="000000"/>
                <w:lang w:val="en-GB" w:eastAsia="es-ES"/>
              </w:rPr>
              <w:t>–</w:t>
            </w:r>
            <w:r w:rsidRPr="003B2744">
              <w:rPr>
                <w:rFonts w:ascii="Arial" w:eastAsia="Times New Roman" w:hAnsi="Arial" w:cs="Arial"/>
                <w:noProof/>
                <w:color w:val="000000"/>
                <w:lang w:val="en-GB" w:eastAsia="es-ES"/>
              </w:rPr>
              <w:t>49</w:t>
            </w:r>
          </w:p>
        </w:tc>
        <w:tc>
          <w:tcPr>
            <w:tcW w:w="1420" w:type="dxa"/>
            <w:tcBorders>
              <w:top w:val="nil"/>
              <w:left w:val="nil"/>
              <w:bottom w:val="single" w:sz="4" w:space="0" w:color="auto"/>
              <w:right w:val="nil"/>
            </w:tcBorders>
            <w:shd w:val="clear" w:color="auto" w:fill="auto"/>
            <w:noWrap/>
            <w:vAlign w:val="center"/>
            <w:hideMark/>
          </w:tcPr>
          <w:p w14:paraId="1657E4E1" w14:textId="77777777" w:rsidR="00FB6B80" w:rsidRPr="003B2744" w:rsidRDefault="00FB6B80" w:rsidP="00333403">
            <w:pPr>
              <w:spacing w:after="0" w:line="240" w:lineRule="auto"/>
              <w:jc w:val="center"/>
              <w:rPr>
                <w:rFonts w:ascii="Arial" w:eastAsia="Times New Roman" w:hAnsi="Arial" w:cs="Arial"/>
                <w:noProof/>
                <w:color w:val="000000"/>
                <w:lang w:val="en-GB" w:eastAsia="es-ES"/>
              </w:rPr>
            </w:pPr>
            <w:r w:rsidRPr="003B2744">
              <w:rPr>
                <w:rFonts w:ascii="Arial" w:eastAsia="Times New Roman" w:hAnsi="Arial" w:cs="Arial"/>
                <w:noProof/>
                <w:color w:val="000000"/>
                <w:lang w:val="en-GB" w:eastAsia="es-ES"/>
              </w:rPr>
              <w:t>0.6827</w:t>
            </w:r>
          </w:p>
        </w:tc>
      </w:tr>
      <w:tr w:rsidR="00FB6B80" w:rsidRPr="00626DDA" w14:paraId="29C73E7B" w14:textId="77777777" w:rsidTr="003B2744">
        <w:trPr>
          <w:trHeight w:hRule="exact" w:val="284"/>
        </w:trPr>
        <w:tc>
          <w:tcPr>
            <w:tcW w:w="1760" w:type="dxa"/>
            <w:tcBorders>
              <w:top w:val="nil"/>
              <w:left w:val="nil"/>
              <w:bottom w:val="single" w:sz="4" w:space="0" w:color="auto"/>
              <w:right w:val="nil"/>
            </w:tcBorders>
            <w:shd w:val="clear" w:color="auto" w:fill="auto"/>
            <w:noWrap/>
            <w:vAlign w:val="center"/>
            <w:hideMark/>
          </w:tcPr>
          <w:p w14:paraId="6CA22AB0" w14:textId="0833B73E" w:rsidR="00FB6B80" w:rsidRPr="003B2744" w:rsidRDefault="00FB6B80" w:rsidP="00333403">
            <w:pPr>
              <w:spacing w:after="0" w:line="240" w:lineRule="auto"/>
              <w:jc w:val="center"/>
              <w:rPr>
                <w:rFonts w:ascii="Arial" w:eastAsia="Times New Roman" w:hAnsi="Arial" w:cs="Arial"/>
                <w:noProof/>
                <w:color w:val="000000"/>
                <w:lang w:val="en-GB" w:eastAsia="es-ES"/>
              </w:rPr>
            </w:pPr>
            <w:r w:rsidRPr="003B2744">
              <w:rPr>
                <w:rFonts w:ascii="Arial" w:eastAsia="Times New Roman" w:hAnsi="Arial" w:cs="Arial"/>
                <w:noProof/>
                <w:color w:val="000000"/>
                <w:lang w:val="en-GB" w:eastAsia="es-ES"/>
              </w:rPr>
              <w:t>50</w:t>
            </w:r>
            <w:r w:rsidR="00C15652" w:rsidRPr="003B2744">
              <w:rPr>
                <w:rFonts w:ascii="Arial" w:eastAsia="Times New Roman" w:hAnsi="Arial" w:cs="Arial"/>
                <w:noProof/>
                <w:color w:val="000000"/>
                <w:lang w:val="en-GB" w:eastAsia="es-ES"/>
              </w:rPr>
              <w:t>–</w:t>
            </w:r>
            <w:r w:rsidRPr="003B2744">
              <w:rPr>
                <w:rFonts w:ascii="Arial" w:eastAsia="Times New Roman" w:hAnsi="Arial" w:cs="Arial"/>
                <w:noProof/>
                <w:color w:val="000000"/>
                <w:lang w:val="en-GB" w:eastAsia="es-ES"/>
              </w:rPr>
              <w:t>64</w:t>
            </w:r>
          </w:p>
        </w:tc>
        <w:tc>
          <w:tcPr>
            <w:tcW w:w="1420" w:type="dxa"/>
            <w:tcBorders>
              <w:top w:val="nil"/>
              <w:left w:val="nil"/>
              <w:bottom w:val="single" w:sz="4" w:space="0" w:color="auto"/>
              <w:right w:val="nil"/>
            </w:tcBorders>
            <w:shd w:val="clear" w:color="auto" w:fill="auto"/>
            <w:noWrap/>
            <w:vAlign w:val="center"/>
            <w:hideMark/>
          </w:tcPr>
          <w:p w14:paraId="244C9A46" w14:textId="77777777" w:rsidR="00FB6B80" w:rsidRPr="003B2744" w:rsidRDefault="00FB6B80" w:rsidP="00333403">
            <w:pPr>
              <w:spacing w:after="0" w:line="240" w:lineRule="auto"/>
              <w:jc w:val="center"/>
              <w:rPr>
                <w:rFonts w:ascii="Arial" w:eastAsia="Times New Roman" w:hAnsi="Arial" w:cs="Arial"/>
                <w:noProof/>
                <w:color w:val="000000"/>
                <w:lang w:val="en-GB" w:eastAsia="es-ES"/>
              </w:rPr>
            </w:pPr>
            <w:r w:rsidRPr="003B2744">
              <w:rPr>
                <w:rFonts w:ascii="Arial" w:eastAsia="Times New Roman" w:hAnsi="Arial" w:cs="Arial"/>
                <w:noProof/>
                <w:color w:val="000000"/>
                <w:lang w:val="en-GB" w:eastAsia="es-ES"/>
              </w:rPr>
              <w:t>0.6664</w:t>
            </w:r>
          </w:p>
        </w:tc>
      </w:tr>
      <w:tr w:rsidR="00FB6B80" w:rsidRPr="00626DDA" w14:paraId="1D4174C0" w14:textId="77777777" w:rsidTr="003B2744">
        <w:trPr>
          <w:trHeight w:hRule="exact" w:val="284"/>
        </w:trPr>
        <w:tc>
          <w:tcPr>
            <w:tcW w:w="1760" w:type="dxa"/>
            <w:tcBorders>
              <w:top w:val="nil"/>
              <w:left w:val="nil"/>
              <w:bottom w:val="single" w:sz="4" w:space="0" w:color="auto"/>
              <w:right w:val="nil"/>
            </w:tcBorders>
            <w:shd w:val="clear" w:color="auto" w:fill="auto"/>
            <w:noWrap/>
            <w:vAlign w:val="center"/>
            <w:hideMark/>
          </w:tcPr>
          <w:p w14:paraId="5BB4C05C" w14:textId="43096F69" w:rsidR="00FB6B80" w:rsidRPr="003B2744" w:rsidRDefault="00C15652" w:rsidP="00333403">
            <w:pPr>
              <w:spacing w:after="0" w:line="240" w:lineRule="auto"/>
              <w:jc w:val="center"/>
              <w:rPr>
                <w:rFonts w:ascii="Arial" w:eastAsia="Times New Roman" w:hAnsi="Arial" w:cs="Arial"/>
                <w:noProof/>
                <w:color w:val="000000"/>
                <w:lang w:val="en-GB" w:eastAsia="es-ES"/>
              </w:rPr>
            </w:pPr>
            <w:r w:rsidRPr="003B2744">
              <w:rPr>
                <w:rFonts w:ascii="Arial" w:eastAsia="Times New Roman" w:hAnsi="Arial" w:cs="Arial"/>
                <w:noProof/>
                <w:color w:val="000000"/>
                <w:lang w:val="en-GB" w:eastAsia="es-ES"/>
              </w:rPr>
              <w:t>≥</w:t>
            </w:r>
            <w:r w:rsidR="00FB6B80" w:rsidRPr="003B2744">
              <w:rPr>
                <w:rFonts w:ascii="Arial" w:eastAsia="Times New Roman" w:hAnsi="Arial" w:cs="Arial"/>
                <w:noProof/>
                <w:color w:val="000000"/>
                <w:lang w:val="en-GB" w:eastAsia="es-ES"/>
              </w:rPr>
              <w:t>65</w:t>
            </w:r>
          </w:p>
        </w:tc>
        <w:tc>
          <w:tcPr>
            <w:tcW w:w="1420" w:type="dxa"/>
            <w:tcBorders>
              <w:top w:val="nil"/>
              <w:left w:val="nil"/>
              <w:bottom w:val="single" w:sz="4" w:space="0" w:color="auto"/>
              <w:right w:val="nil"/>
            </w:tcBorders>
            <w:shd w:val="clear" w:color="auto" w:fill="auto"/>
            <w:noWrap/>
            <w:vAlign w:val="center"/>
            <w:hideMark/>
          </w:tcPr>
          <w:p w14:paraId="404474CB" w14:textId="77777777" w:rsidR="00FB6B80" w:rsidRPr="003B2744" w:rsidRDefault="00FB6B80" w:rsidP="00333403">
            <w:pPr>
              <w:spacing w:after="0" w:line="240" w:lineRule="auto"/>
              <w:jc w:val="center"/>
              <w:rPr>
                <w:rFonts w:ascii="Arial" w:eastAsia="Times New Roman" w:hAnsi="Arial" w:cs="Arial"/>
                <w:noProof/>
                <w:color w:val="000000"/>
                <w:lang w:val="en-GB" w:eastAsia="es-ES"/>
              </w:rPr>
            </w:pPr>
            <w:r w:rsidRPr="003B2744">
              <w:rPr>
                <w:rFonts w:ascii="Arial" w:eastAsia="Times New Roman" w:hAnsi="Arial" w:cs="Arial"/>
                <w:noProof/>
                <w:color w:val="000000"/>
                <w:lang w:val="en-GB" w:eastAsia="es-ES"/>
              </w:rPr>
              <w:t>0.3262</w:t>
            </w:r>
          </w:p>
        </w:tc>
      </w:tr>
    </w:tbl>
    <w:p w14:paraId="7328BDE4" w14:textId="77777777" w:rsidR="00FB6B80" w:rsidRDefault="00FB6B80" w:rsidP="00FB6B80">
      <w:pPr>
        <w:spacing w:after="0" w:line="240" w:lineRule="auto"/>
        <w:jc w:val="both"/>
        <w:rPr>
          <w:rFonts w:cstheme="minorHAnsi"/>
          <w:noProof/>
          <w:color w:val="000000" w:themeColor="text1"/>
          <w:lang w:val="en-GB"/>
        </w:rPr>
      </w:pPr>
    </w:p>
    <w:p w14:paraId="62D0ABBC" w14:textId="172B38C5" w:rsidR="00626DDA" w:rsidRDefault="00EF0C97" w:rsidP="003B2744">
      <w:pPr>
        <w:spacing w:after="0" w:line="480" w:lineRule="auto"/>
        <w:ind w:right="1608"/>
        <w:rPr>
          <w:rFonts w:ascii="Arial" w:hAnsi="Arial" w:cs="Arial"/>
          <w:noProof/>
          <w:color w:val="000000" w:themeColor="text1"/>
          <w:sz w:val="20"/>
          <w:szCs w:val="20"/>
          <w:lang w:val="en-GB"/>
        </w:rPr>
      </w:pPr>
      <w:r w:rsidRPr="002F66A4">
        <w:rPr>
          <w:rFonts w:ascii="Arial" w:hAnsi="Arial" w:cs="Arial"/>
          <w:i/>
          <w:noProof/>
          <w:color w:val="000000" w:themeColor="text1"/>
          <w:sz w:val="20"/>
          <w:szCs w:val="20"/>
        </w:rPr>
        <w:t>Fuente:</w:t>
      </w:r>
      <w:r w:rsidR="002F66A4" w:rsidRPr="002F66A4">
        <w:rPr>
          <w:rFonts w:cstheme="minorHAnsi"/>
          <w:noProof/>
          <w:color w:val="000000" w:themeColor="text1"/>
        </w:rPr>
        <w:t xml:space="preserve"> </w:t>
      </w:r>
      <w:r w:rsidR="002F66A4" w:rsidRPr="002F66A4">
        <w:rPr>
          <w:rFonts w:ascii="Arial" w:hAnsi="Arial" w:cs="Arial"/>
          <w:noProof/>
          <w:color w:val="000000" w:themeColor="text1"/>
          <w:sz w:val="20"/>
          <w:szCs w:val="20"/>
        </w:rPr>
        <w:t>Molinari NA, Ortega-Sanchez IR, Messonnier ML, Thompson WW, Wortley</w:t>
      </w:r>
      <w:r w:rsidR="00626DDA">
        <w:rPr>
          <w:rFonts w:ascii="Arial" w:hAnsi="Arial" w:cs="Arial"/>
          <w:noProof/>
          <w:color w:val="000000" w:themeColor="text1"/>
          <w:sz w:val="20"/>
          <w:szCs w:val="20"/>
        </w:rPr>
        <w:t xml:space="preserve"> </w:t>
      </w:r>
      <w:r w:rsidR="002F66A4" w:rsidRPr="002F66A4">
        <w:rPr>
          <w:rFonts w:ascii="Arial" w:hAnsi="Arial" w:cs="Arial"/>
          <w:noProof/>
          <w:color w:val="000000" w:themeColor="text1"/>
          <w:sz w:val="20"/>
          <w:szCs w:val="20"/>
          <w:lang w:val="en-GB"/>
        </w:rPr>
        <w:t>PM, Weintraub E, Bridges CB. The annual impact of seasonal influenza in the US: measuring disease burden and costs. Vaccine. 2007;25:5086–96</w:t>
      </w:r>
    </w:p>
    <w:p w14:paraId="7D09D35A" w14:textId="23E9FE62" w:rsidR="00FB6B80" w:rsidRPr="0084045A" w:rsidRDefault="00FB6B80" w:rsidP="003B2744">
      <w:pPr>
        <w:spacing w:after="0" w:line="480" w:lineRule="auto"/>
        <w:jc w:val="right"/>
        <w:rPr>
          <w:rFonts w:ascii="Arial" w:hAnsi="Arial" w:cs="Arial"/>
          <w:b/>
          <w:i/>
          <w:iCs/>
          <w:noProof/>
          <w:color w:val="000000" w:themeColor="text1"/>
          <w:lang w:val="en-GB"/>
        </w:rPr>
      </w:pPr>
      <w:r w:rsidRPr="0084045A">
        <w:rPr>
          <w:rFonts w:ascii="Arial" w:hAnsi="Arial" w:cs="Arial"/>
          <w:b/>
          <w:i/>
          <w:iCs/>
          <w:noProof/>
          <w:color w:val="000000" w:themeColor="text1"/>
          <w:lang w:val="en-GB"/>
        </w:rPr>
        <w:br w:type="page"/>
      </w:r>
    </w:p>
    <w:p w14:paraId="7CFE29E3" w14:textId="77777777" w:rsidR="00FB6B80" w:rsidRPr="0084045A" w:rsidRDefault="00FB6B80" w:rsidP="0026691C">
      <w:pPr>
        <w:pStyle w:val="Ttulo2"/>
        <w:rPr>
          <w:noProof/>
          <w:lang w:val="en-GB"/>
        </w:rPr>
      </w:pPr>
      <w:r w:rsidRPr="0084045A">
        <w:rPr>
          <w:noProof/>
          <w:lang w:val="en-GB"/>
        </w:rPr>
        <w:lastRenderedPageBreak/>
        <w:t>Table S2.6. Classification of cases in each scenario according to health outcome</w:t>
      </w:r>
    </w:p>
    <w:tbl>
      <w:tblPr>
        <w:tblStyle w:val="Tablaconcuadrcula"/>
        <w:tblW w:w="883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85"/>
        <w:gridCol w:w="6121"/>
        <w:gridCol w:w="1031"/>
      </w:tblGrid>
      <w:tr w:rsidR="00FB6B80" w:rsidRPr="0084045A" w14:paraId="6FD72F15" w14:textId="77777777" w:rsidTr="00096BA7">
        <w:trPr>
          <w:trHeight w:val="296"/>
          <w:tblHeader/>
        </w:trPr>
        <w:tc>
          <w:tcPr>
            <w:tcW w:w="1685" w:type="dxa"/>
            <w:vAlign w:val="center"/>
          </w:tcPr>
          <w:p w14:paraId="3D99F5F5" w14:textId="77777777" w:rsidR="00FB6B80" w:rsidRPr="0084045A" w:rsidRDefault="00FB6B80" w:rsidP="00333403">
            <w:pPr>
              <w:jc w:val="both"/>
              <w:rPr>
                <w:rFonts w:ascii="Arial" w:hAnsi="Arial" w:cs="Arial"/>
                <w:b/>
                <w:noProof/>
                <w:color w:val="000000" w:themeColor="text1"/>
                <w:sz w:val="18"/>
                <w:szCs w:val="18"/>
                <w:lang w:val="en-GB"/>
              </w:rPr>
            </w:pPr>
            <w:r w:rsidRPr="0084045A">
              <w:rPr>
                <w:rFonts w:ascii="Arial" w:hAnsi="Arial" w:cs="Arial"/>
                <w:b/>
                <w:noProof/>
                <w:color w:val="000000" w:themeColor="text1"/>
                <w:sz w:val="18"/>
                <w:szCs w:val="18"/>
                <w:lang w:val="en-GB"/>
              </w:rPr>
              <w:t>SISVEFLU Code</w:t>
            </w:r>
          </w:p>
        </w:tc>
        <w:tc>
          <w:tcPr>
            <w:tcW w:w="6121" w:type="dxa"/>
            <w:vAlign w:val="center"/>
          </w:tcPr>
          <w:p w14:paraId="567D81A8" w14:textId="77777777" w:rsidR="00FB6B80" w:rsidRPr="0084045A" w:rsidRDefault="00FB6B80" w:rsidP="00333403">
            <w:pPr>
              <w:jc w:val="both"/>
              <w:rPr>
                <w:rFonts w:ascii="Arial" w:hAnsi="Arial" w:cs="Arial"/>
                <w:b/>
                <w:noProof/>
                <w:color w:val="000000" w:themeColor="text1"/>
                <w:sz w:val="18"/>
                <w:szCs w:val="18"/>
                <w:lang w:val="en-GB"/>
              </w:rPr>
            </w:pPr>
            <w:r w:rsidRPr="0084045A">
              <w:rPr>
                <w:rFonts w:ascii="Arial" w:hAnsi="Arial" w:cs="Arial"/>
                <w:b/>
                <w:noProof/>
                <w:color w:val="000000" w:themeColor="text1"/>
                <w:sz w:val="18"/>
                <w:szCs w:val="18"/>
                <w:lang w:val="en-GB"/>
              </w:rPr>
              <w:t>Description</w:t>
            </w:r>
          </w:p>
        </w:tc>
        <w:tc>
          <w:tcPr>
            <w:tcW w:w="1031" w:type="dxa"/>
            <w:vAlign w:val="center"/>
          </w:tcPr>
          <w:p w14:paraId="27E3F914" w14:textId="77777777" w:rsidR="00FB6B80" w:rsidRPr="0084045A" w:rsidRDefault="00FB6B80" w:rsidP="00333403">
            <w:pPr>
              <w:jc w:val="both"/>
              <w:rPr>
                <w:rFonts w:ascii="Arial" w:hAnsi="Arial" w:cs="Arial"/>
                <w:b/>
                <w:noProof/>
                <w:color w:val="000000" w:themeColor="text1"/>
                <w:sz w:val="18"/>
                <w:szCs w:val="18"/>
                <w:lang w:val="en-GB"/>
              </w:rPr>
            </w:pPr>
            <w:r w:rsidRPr="0084045A">
              <w:rPr>
                <w:rFonts w:ascii="Arial" w:hAnsi="Arial" w:cs="Arial"/>
                <w:b/>
                <w:noProof/>
                <w:color w:val="000000" w:themeColor="text1"/>
                <w:sz w:val="18"/>
                <w:szCs w:val="18"/>
                <w:lang w:val="en-GB"/>
              </w:rPr>
              <w:t>Scenario</w:t>
            </w:r>
          </w:p>
        </w:tc>
      </w:tr>
      <w:tr w:rsidR="00FB6B80" w:rsidRPr="00626DDA" w14:paraId="11D09057" w14:textId="77777777" w:rsidTr="00096BA7">
        <w:trPr>
          <w:trHeight w:val="424"/>
        </w:trPr>
        <w:tc>
          <w:tcPr>
            <w:tcW w:w="8837" w:type="dxa"/>
            <w:gridSpan w:val="3"/>
            <w:shd w:val="clear" w:color="auto" w:fill="D9D9D9" w:themeFill="background1" w:themeFillShade="D9"/>
            <w:vAlign w:val="center"/>
          </w:tcPr>
          <w:p w14:paraId="2D362906" w14:textId="77777777" w:rsidR="00FB6B80" w:rsidRPr="0084045A" w:rsidRDefault="00FB6B80" w:rsidP="00333403">
            <w:pPr>
              <w:jc w:val="both"/>
              <w:rPr>
                <w:rFonts w:ascii="Arial" w:hAnsi="Arial" w:cs="Arial"/>
                <w:b/>
                <w:noProof/>
                <w:color w:val="000000" w:themeColor="text1"/>
                <w:sz w:val="18"/>
                <w:szCs w:val="18"/>
                <w:lang w:val="en-GB"/>
              </w:rPr>
            </w:pPr>
            <w:r w:rsidRPr="0084045A">
              <w:rPr>
                <w:rFonts w:ascii="Arial" w:hAnsi="Arial" w:cs="Arial"/>
                <w:b/>
                <w:noProof/>
                <w:color w:val="000000" w:themeColor="text1"/>
                <w:sz w:val="18"/>
                <w:szCs w:val="18"/>
                <w:lang w:val="en-GB"/>
              </w:rPr>
              <w:t>Patients who seek ambulatory care</w:t>
            </w:r>
          </w:p>
        </w:tc>
      </w:tr>
      <w:tr w:rsidR="00FB6B80" w:rsidRPr="0084045A" w14:paraId="13C7D8F1" w14:textId="77777777" w:rsidTr="00096BA7">
        <w:trPr>
          <w:trHeight w:val="403"/>
        </w:trPr>
        <w:tc>
          <w:tcPr>
            <w:tcW w:w="1685" w:type="dxa"/>
            <w:vAlign w:val="center"/>
          </w:tcPr>
          <w:p w14:paraId="093E2630"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eastAsia="Times New Roman" w:hAnsi="Arial" w:cs="Arial"/>
                <w:noProof/>
                <w:color w:val="000000"/>
                <w:sz w:val="18"/>
                <w:szCs w:val="18"/>
                <w:lang w:val="en-GB" w:eastAsia="es-ES"/>
              </w:rPr>
              <w:t>DISCHARGE</w:t>
            </w:r>
          </w:p>
        </w:tc>
        <w:tc>
          <w:tcPr>
            <w:tcW w:w="6121" w:type="dxa"/>
            <w:vAlign w:val="center"/>
          </w:tcPr>
          <w:p w14:paraId="304BA4FA" w14:textId="77777777"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ambulatory care and was discharged. It is not clear if the patient continued pharmacological treatment after discharge; nonetheless the costs of drug therapy are already executed.</w:t>
            </w:r>
          </w:p>
        </w:tc>
        <w:tc>
          <w:tcPr>
            <w:tcW w:w="1031" w:type="dxa"/>
            <w:vAlign w:val="center"/>
          </w:tcPr>
          <w:p w14:paraId="6104E4BC"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1</w:t>
            </w:r>
          </w:p>
        </w:tc>
      </w:tr>
      <w:tr w:rsidR="00FB6B80" w:rsidRPr="0084045A" w14:paraId="6316E450" w14:textId="77777777" w:rsidTr="00096BA7">
        <w:trPr>
          <w:trHeight w:hRule="exact" w:val="497"/>
        </w:trPr>
        <w:tc>
          <w:tcPr>
            <w:tcW w:w="1685" w:type="dxa"/>
            <w:vAlign w:val="center"/>
          </w:tcPr>
          <w:p w14:paraId="74DA4474"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eastAsia="Times New Roman" w:hAnsi="Arial" w:cs="Arial"/>
                <w:noProof/>
                <w:color w:val="000000"/>
                <w:sz w:val="18"/>
                <w:szCs w:val="18"/>
                <w:lang w:val="en-GB" w:eastAsia="es-ES"/>
              </w:rPr>
              <w:t>UNDER TREATMENT</w:t>
            </w:r>
          </w:p>
        </w:tc>
        <w:tc>
          <w:tcPr>
            <w:tcW w:w="6121" w:type="dxa"/>
            <w:vAlign w:val="center"/>
          </w:tcPr>
          <w:p w14:paraId="74810B1A" w14:textId="34F7D11D"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ambulatory care, was discharged</w:t>
            </w:r>
            <w:r w:rsidR="00C15652"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 xml:space="preserve"> and continued treatment.</w:t>
            </w:r>
          </w:p>
        </w:tc>
        <w:tc>
          <w:tcPr>
            <w:tcW w:w="1031" w:type="dxa"/>
            <w:vAlign w:val="center"/>
          </w:tcPr>
          <w:p w14:paraId="1593D31E"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1</w:t>
            </w:r>
          </w:p>
        </w:tc>
      </w:tr>
      <w:tr w:rsidR="00FB6B80" w:rsidRPr="0084045A" w14:paraId="5B2C4855" w14:textId="77777777" w:rsidTr="00096BA7">
        <w:trPr>
          <w:trHeight w:hRule="exact" w:val="497"/>
        </w:trPr>
        <w:tc>
          <w:tcPr>
            <w:tcW w:w="1685" w:type="dxa"/>
            <w:vAlign w:val="center"/>
          </w:tcPr>
          <w:p w14:paraId="0041B6AB"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eastAsia="Times New Roman" w:hAnsi="Arial" w:cs="Arial"/>
                <w:noProof/>
                <w:color w:val="000000"/>
                <w:sz w:val="18"/>
                <w:szCs w:val="18"/>
                <w:lang w:val="en-GB" w:eastAsia="es-ES"/>
              </w:rPr>
              <w:t>HOUSEHOLD FOLLOW-UP</w:t>
            </w:r>
          </w:p>
        </w:tc>
        <w:tc>
          <w:tcPr>
            <w:tcW w:w="6121" w:type="dxa"/>
            <w:vAlign w:val="center"/>
          </w:tcPr>
          <w:p w14:paraId="74097D48" w14:textId="221E1ACE"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ambulatory care, was discharged</w:t>
            </w:r>
            <w:r w:rsidR="00C15652"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 xml:space="preserve"> and continued treatment with household visits.</w:t>
            </w:r>
          </w:p>
        </w:tc>
        <w:tc>
          <w:tcPr>
            <w:tcW w:w="1031" w:type="dxa"/>
            <w:vAlign w:val="center"/>
          </w:tcPr>
          <w:p w14:paraId="2B183815"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1</w:t>
            </w:r>
          </w:p>
        </w:tc>
      </w:tr>
      <w:tr w:rsidR="00FB6B80" w:rsidRPr="0084045A" w14:paraId="16CF0F22" w14:textId="77777777" w:rsidTr="00096BA7">
        <w:trPr>
          <w:trHeight w:hRule="exact" w:val="497"/>
        </w:trPr>
        <w:tc>
          <w:tcPr>
            <w:tcW w:w="1685" w:type="dxa"/>
            <w:vAlign w:val="center"/>
          </w:tcPr>
          <w:p w14:paraId="4CDFC264"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eastAsia="Times New Roman" w:hAnsi="Arial" w:cs="Arial"/>
                <w:noProof/>
                <w:color w:val="000000"/>
                <w:sz w:val="18"/>
                <w:szCs w:val="18"/>
                <w:lang w:val="en-GB" w:eastAsia="es-ES"/>
              </w:rPr>
              <w:t>FINALISED TREATMENT</w:t>
            </w:r>
          </w:p>
        </w:tc>
        <w:tc>
          <w:tcPr>
            <w:tcW w:w="6121" w:type="dxa"/>
            <w:vAlign w:val="center"/>
          </w:tcPr>
          <w:p w14:paraId="3F31442E" w14:textId="77F71F6F"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ambulatory care, was discharged</w:t>
            </w:r>
            <w:r w:rsidR="00C15652"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 xml:space="preserve"> and finalised treatment.</w:t>
            </w:r>
          </w:p>
        </w:tc>
        <w:tc>
          <w:tcPr>
            <w:tcW w:w="1031" w:type="dxa"/>
            <w:vAlign w:val="center"/>
          </w:tcPr>
          <w:p w14:paraId="601167FC"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1</w:t>
            </w:r>
          </w:p>
        </w:tc>
      </w:tr>
      <w:tr w:rsidR="00FB6B80" w:rsidRPr="0084045A" w14:paraId="6625B3BB" w14:textId="77777777" w:rsidTr="003B2744">
        <w:trPr>
          <w:trHeight w:hRule="exact" w:val="478"/>
        </w:trPr>
        <w:tc>
          <w:tcPr>
            <w:tcW w:w="1685" w:type="dxa"/>
            <w:vAlign w:val="center"/>
          </w:tcPr>
          <w:p w14:paraId="20844400"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eastAsia="Times New Roman" w:hAnsi="Arial" w:cs="Arial"/>
                <w:noProof/>
                <w:color w:val="000000"/>
                <w:sz w:val="18"/>
                <w:szCs w:val="18"/>
                <w:lang w:val="en-GB" w:eastAsia="es-ES"/>
              </w:rPr>
              <w:t>REFERRAL</w:t>
            </w:r>
          </w:p>
        </w:tc>
        <w:tc>
          <w:tcPr>
            <w:tcW w:w="6121" w:type="dxa"/>
            <w:vAlign w:val="center"/>
          </w:tcPr>
          <w:p w14:paraId="0D3173C4" w14:textId="5C03D739"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ambulatory care and was referred to a hospital for follow-up</w:t>
            </w:r>
          </w:p>
        </w:tc>
        <w:tc>
          <w:tcPr>
            <w:tcW w:w="1031" w:type="dxa"/>
            <w:vAlign w:val="center"/>
          </w:tcPr>
          <w:p w14:paraId="3D32EFC9"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2</w:t>
            </w:r>
          </w:p>
        </w:tc>
      </w:tr>
      <w:tr w:rsidR="00FB6B80" w:rsidRPr="0084045A" w14:paraId="6D665C7D" w14:textId="77777777" w:rsidTr="00096BA7">
        <w:trPr>
          <w:trHeight w:hRule="exact" w:val="497"/>
        </w:trPr>
        <w:tc>
          <w:tcPr>
            <w:tcW w:w="1685" w:type="dxa"/>
            <w:vAlign w:val="center"/>
          </w:tcPr>
          <w:p w14:paraId="4F6CF23C"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eastAsia="Times New Roman" w:hAnsi="Arial" w:cs="Arial"/>
                <w:noProof/>
                <w:color w:val="000000"/>
                <w:sz w:val="18"/>
                <w:szCs w:val="18"/>
                <w:lang w:val="en-GB" w:eastAsia="es-ES"/>
              </w:rPr>
              <w:t>DEATH</w:t>
            </w:r>
          </w:p>
        </w:tc>
        <w:tc>
          <w:tcPr>
            <w:tcW w:w="6121" w:type="dxa"/>
            <w:vAlign w:val="center"/>
          </w:tcPr>
          <w:p w14:paraId="2195D7D1" w14:textId="1A649BDF"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ambulatory care</w:t>
            </w:r>
            <w:r w:rsidR="00C15652" w:rsidRPr="0084045A">
              <w:rPr>
                <w:rFonts w:ascii="Arial" w:eastAsia="Times New Roman" w:hAnsi="Arial" w:cs="Arial"/>
                <w:noProof/>
                <w:color w:val="000000"/>
                <w:sz w:val="18"/>
                <w:szCs w:val="18"/>
                <w:lang w:val="en-GB" w:eastAsia="es-ES"/>
              </w:rPr>
              <w:t xml:space="preserve"> </w:t>
            </w:r>
            <w:r w:rsidRPr="0084045A">
              <w:rPr>
                <w:rFonts w:ascii="Arial" w:eastAsia="Times New Roman" w:hAnsi="Arial" w:cs="Arial"/>
                <w:noProof/>
                <w:color w:val="000000"/>
                <w:sz w:val="18"/>
                <w:szCs w:val="18"/>
                <w:lang w:val="en-GB" w:eastAsia="es-ES"/>
              </w:rPr>
              <w:t>and resulted in death.</w:t>
            </w:r>
          </w:p>
        </w:tc>
        <w:tc>
          <w:tcPr>
            <w:tcW w:w="1031" w:type="dxa"/>
            <w:vAlign w:val="center"/>
          </w:tcPr>
          <w:p w14:paraId="0C85359C"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3</w:t>
            </w:r>
          </w:p>
        </w:tc>
      </w:tr>
      <w:tr w:rsidR="00FB6B80" w:rsidRPr="0084045A" w14:paraId="6E748EE1" w14:textId="77777777" w:rsidTr="00096BA7">
        <w:trPr>
          <w:trHeight w:val="968"/>
        </w:trPr>
        <w:tc>
          <w:tcPr>
            <w:tcW w:w="1685" w:type="dxa"/>
            <w:vAlign w:val="center"/>
          </w:tcPr>
          <w:p w14:paraId="0AF717CE"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eastAsia="Times New Roman" w:hAnsi="Arial" w:cs="Arial"/>
                <w:noProof/>
                <w:color w:val="000000"/>
                <w:sz w:val="18"/>
                <w:szCs w:val="18"/>
                <w:lang w:val="en-GB" w:eastAsia="es-ES"/>
              </w:rPr>
              <w:t>NA</w:t>
            </w:r>
          </w:p>
        </w:tc>
        <w:tc>
          <w:tcPr>
            <w:tcW w:w="6121" w:type="dxa"/>
            <w:vAlign w:val="center"/>
          </w:tcPr>
          <w:p w14:paraId="4458FEFF" w14:textId="77777777"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ambulatory care and whose health outcome is unknown. Given that health monitoring units follow a comprehensive protocol to register the final outcome of each case, it is inferred that these cases did not have any complications, and the outcome was discharge.</w:t>
            </w:r>
          </w:p>
        </w:tc>
        <w:tc>
          <w:tcPr>
            <w:tcW w:w="1031" w:type="dxa"/>
            <w:vAlign w:val="center"/>
          </w:tcPr>
          <w:p w14:paraId="253B4937"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1</w:t>
            </w:r>
          </w:p>
        </w:tc>
      </w:tr>
      <w:tr w:rsidR="00FB6B80" w:rsidRPr="00626DDA" w14:paraId="22AFC818" w14:textId="77777777" w:rsidTr="00096BA7">
        <w:trPr>
          <w:trHeight w:val="426"/>
        </w:trPr>
        <w:tc>
          <w:tcPr>
            <w:tcW w:w="8837" w:type="dxa"/>
            <w:gridSpan w:val="3"/>
            <w:shd w:val="clear" w:color="auto" w:fill="D9D9D9" w:themeFill="background1" w:themeFillShade="D9"/>
            <w:vAlign w:val="center"/>
          </w:tcPr>
          <w:p w14:paraId="089A4E05" w14:textId="77777777" w:rsidR="00FB6B80" w:rsidRPr="0084045A" w:rsidRDefault="00FB6B80" w:rsidP="00333403">
            <w:pPr>
              <w:rPr>
                <w:rFonts w:ascii="Arial" w:hAnsi="Arial" w:cs="Arial"/>
                <w:b/>
                <w:noProof/>
                <w:color w:val="000000" w:themeColor="text1"/>
                <w:sz w:val="18"/>
                <w:szCs w:val="18"/>
                <w:lang w:val="en-GB"/>
              </w:rPr>
            </w:pPr>
            <w:r w:rsidRPr="0084045A">
              <w:rPr>
                <w:rFonts w:ascii="Arial" w:hAnsi="Arial" w:cs="Arial"/>
                <w:b/>
                <w:noProof/>
                <w:color w:val="000000" w:themeColor="text1"/>
                <w:sz w:val="18"/>
                <w:szCs w:val="18"/>
                <w:lang w:val="en-GB"/>
              </w:rPr>
              <w:t xml:space="preserve">Patients who seek inpatient care </w:t>
            </w:r>
          </w:p>
        </w:tc>
      </w:tr>
      <w:tr w:rsidR="00FB6B80" w:rsidRPr="0084045A" w14:paraId="18A75C07" w14:textId="77777777" w:rsidTr="00096BA7">
        <w:trPr>
          <w:trHeight w:val="792"/>
        </w:trPr>
        <w:tc>
          <w:tcPr>
            <w:tcW w:w="1685" w:type="dxa"/>
            <w:vAlign w:val="center"/>
          </w:tcPr>
          <w:p w14:paraId="4C9C15FD"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eastAsia="Times New Roman" w:hAnsi="Arial" w:cs="Arial"/>
                <w:noProof/>
                <w:color w:val="000000"/>
                <w:sz w:val="18"/>
                <w:szCs w:val="18"/>
                <w:lang w:val="en-GB" w:eastAsia="es-ES"/>
              </w:rPr>
              <w:t>UNDER TREATMENT</w:t>
            </w:r>
          </w:p>
        </w:tc>
        <w:tc>
          <w:tcPr>
            <w:tcW w:w="6121" w:type="dxa"/>
            <w:vAlign w:val="center"/>
          </w:tcPr>
          <w:p w14:paraId="1B045983" w14:textId="20BC7EA6"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inpatient care, was discharged</w:t>
            </w:r>
            <w:r w:rsidR="00C15652"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 xml:space="preserve"> and continued treatment in an ambulatory unit. In this case, we assumed that patients only entered the emergency room and were not hospitalised during their stay.</w:t>
            </w:r>
          </w:p>
        </w:tc>
        <w:tc>
          <w:tcPr>
            <w:tcW w:w="1031" w:type="dxa"/>
            <w:vAlign w:val="center"/>
          </w:tcPr>
          <w:p w14:paraId="10EABED3"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1</w:t>
            </w:r>
          </w:p>
        </w:tc>
      </w:tr>
      <w:tr w:rsidR="00FB6B80" w:rsidRPr="0084045A" w14:paraId="1AB447D4" w14:textId="77777777" w:rsidTr="00096BA7">
        <w:trPr>
          <w:trHeight w:hRule="exact" w:val="573"/>
        </w:trPr>
        <w:tc>
          <w:tcPr>
            <w:tcW w:w="1685" w:type="dxa"/>
            <w:vAlign w:val="center"/>
          </w:tcPr>
          <w:p w14:paraId="678234EF"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eastAsia="Times New Roman" w:hAnsi="Arial" w:cs="Arial"/>
                <w:noProof/>
                <w:color w:val="000000"/>
                <w:sz w:val="18"/>
                <w:szCs w:val="18"/>
                <w:lang w:val="en-GB" w:eastAsia="es-ES"/>
              </w:rPr>
              <w:t>HOUSEHOLD FOLLOW-UP</w:t>
            </w:r>
          </w:p>
        </w:tc>
        <w:tc>
          <w:tcPr>
            <w:tcW w:w="6121" w:type="dxa"/>
            <w:vAlign w:val="center"/>
          </w:tcPr>
          <w:p w14:paraId="09359E1A" w14:textId="73304F32"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inpatient care, was</w:t>
            </w:r>
            <w:r w:rsidR="00C15652" w:rsidRPr="0084045A">
              <w:rPr>
                <w:rFonts w:ascii="Arial" w:eastAsia="Times New Roman" w:hAnsi="Arial" w:cs="Arial"/>
                <w:noProof/>
                <w:color w:val="000000"/>
                <w:sz w:val="18"/>
                <w:szCs w:val="18"/>
                <w:lang w:val="en-GB" w:eastAsia="es-ES"/>
              </w:rPr>
              <w:t xml:space="preserve"> </w:t>
            </w:r>
            <w:r w:rsidRPr="0084045A">
              <w:rPr>
                <w:rFonts w:ascii="Arial" w:eastAsia="Times New Roman" w:hAnsi="Arial" w:cs="Arial"/>
                <w:noProof/>
                <w:color w:val="000000"/>
                <w:sz w:val="18"/>
                <w:szCs w:val="18"/>
                <w:lang w:val="en-GB" w:eastAsia="es-ES"/>
              </w:rPr>
              <w:t>discharged</w:t>
            </w:r>
            <w:r w:rsidR="00C15652"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 xml:space="preserve"> and was monitored through household visits from primary care or ambulatory units.</w:t>
            </w:r>
          </w:p>
        </w:tc>
        <w:tc>
          <w:tcPr>
            <w:tcW w:w="1031" w:type="dxa"/>
            <w:vAlign w:val="center"/>
          </w:tcPr>
          <w:p w14:paraId="68FF06C9"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1</w:t>
            </w:r>
          </w:p>
        </w:tc>
      </w:tr>
      <w:tr w:rsidR="00FB6B80" w:rsidRPr="0084045A" w14:paraId="36FCB6AB" w14:textId="77777777" w:rsidTr="00096BA7">
        <w:trPr>
          <w:trHeight w:val="573"/>
        </w:trPr>
        <w:tc>
          <w:tcPr>
            <w:tcW w:w="1685" w:type="dxa"/>
            <w:vAlign w:val="center"/>
          </w:tcPr>
          <w:p w14:paraId="11345EB2"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DISCHARGE CURATION</w:t>
            </w:r>
          </w:p>
        </w:tc>
        <w:tc>
          <w:tcPr>
            <w:tcW w:w="6121" w:type="dxa"/>
            <w:vMerge w:val="restart"/>
            <w:vAlign w:val="center"/>
          </w:tcPr>
          <w:p w14:paraId="21217B81" w14:textId="77777777"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inpatient care, began treatment, and was discharged for monitoring through a primary care or ambulatory unit.</w:t>
            </w:r>
          </w:p>
        </w:tc>
        <w:tc>
          <w:tcPr>
            <w:tcW w:w="1031" w:type="dxa"/>
            <w:vMerge w:val="restart"/>
            <w:vAlign w:val="center"/>
          </w:tcPr>
          <w:p w14:paraId="1C8BB71E"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4</w:t>
            </w:r>
          </w:p>
        </w:tc>
      </w:tr>
      <w:tr w:rsidR="00FB6B80" w:rsidRPr="0084045A" w14:paraId="4047CBD4" w14:textId="77777777" w:rsidTr="00096BA7">
        <w:trPr>
          <w:trHeight w:val="540"/>
        </w:trPr>
        <w:tc>
          <w:tcPr>
            <w:tcW w:w="1685" w:type="dxa"/>
            <w:vAlign w:val="center"/>
          </w:tcPr>
          <w:p w14:paraId="17F87D83"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DISCHARGE IMPROVEMENT</w:t>
            </w:r>
          </w:p>
        </w:tc>
        <w:tc>
          <w:tcPr>
            <w:tcW w:w="6121" w:type="dxa"/>
            <w:vMerge/>
            <w:vAlign w:val="center"/>
          </w:tcPr>
          <w:p w14:paraId="32F3D7B1" w14:textId="77777777" w:rsidR="00FB6B80" w:rsidRPr="0084045A" w:rsidRDefault="00FB6B80" w:rsidP="00333403">
            <w:pPr>
              <w:rPr>
                <w:rFonts w:ascii="Arial" w:hAnsi="Arial" w:cs="Arial"/>
                <w:noProof/>
                <w:color w:val="000000" w:themeColor="text1"/>
                <w:sz w:val="18"/>
                <w:szCs w:val="18"/>
                <w:lang w:val="en-GB"/>
              </w:rPr>
            </w:pPr>
          </w:p>
        </w:tc>
        <w:tc>
          <w:tcPr>
            <w:tcW w:w="1031" w:type="dxa"/>
            <w:vMerge/>
            <w:vAlign w:val="center"/>
          </w:tcPr>
          <w:p w14:paraId="4FA6779E" w14:textId="77777777" w:rsidR="00FB6B80" w:rsidRPr="0084045A" w:rsidRDefault="00FB6B80" w:rsidP="00333403">
            <w:pPr>
              <w:jc w:val="center"/>
              <w:rPr>
                <w:rFonts w:ascii="Arial" w:hAnsi="Arial" w:cs="Arial"/>
                <w:noProof/>
                <w:color w:val="000000" w:themeColor="text1"/>
                <w:sz w:val="18"/>
                <w:szCs w:val="18"/>
                <w:lang w:val="en-GB"/>
              </w:rPr>
            </w:pPr>
          </w:p>
        </w:tc>
      </w:tr>
      <w:tr w:rsidR="00FB6B80" w:rsidRPr="0084045A" w14:paraId="689C1CBA" w14:textId="77777777" w:rsidTr="00096BA7">
        <w:trPr>
          <w:trHeight w:val="533"/>
        </w:trPr>
        <w:tc>
          <w:tcPr>
            <w:tcW w:w="1685" w:type="dxa"/>
            <w:vAlign w:val="center"/>
          </w:tcPr>
          <w:p w14:paraId="1D635F48"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DISCHARGE TRANSFER</w:t>
            </w:r>
          </w:p>
        </w:tc>
        <w:tc>
          <w:tcPr>
            <w:tcW w:w="6121" w:type="dxa"/>
            <w:vMerge/>
            <w:vAlign w:val="center"/>
          </w:tcPr>
          <w:p w14:paraId="084B09C7" w14:textId="77777777" w:rsidR="00FB6B80" w:rsidRPr="0084045A" w:rsidRDefault="00FB6B80" w:rsidP="00333403">
            <w:pPr>
              <w:rPr>
                <w:rFonts w:ascii="Arial" w:hAnsi="Arial" w:cs="Arial"/>
                <w:noProof/>
                <w:color w:val="000000" w:themeColor="text1"/>
                <w:sz w:val="18"/>
                <w:szCs w:val="18"/>
                <w:lang w:val="en-GB"/>
              </w:rPr>
            </w:pPr>
          </w:p>
        </w:tc>
        <w:tc>
          <w:tcPr>
            <w:tcW w:w="1031" w:type="dxa"/>
            <w:vMerge/>
            <w:vAlign w:val="center"/>
          </w:tcPr>
          <w:p w14:paraId="41C2C8BF" w14:textId="77777777" w:rsidR="00FB6B80" w:rsidRPr="0084045A" w:rsidRDefault="00FB6B80" w:rsidP="00333403">
            <w:pPr>
              <w:jc w:val="center"/>
              <w:rPr>
                <w:rFonts w:ascii="Arial" w:hAnsi="Arial" w:cs="Arial"/>
                <w:noProof/>
                <w:color w:val="000000" w:themeColor="text1"/>
                <w:sz w:val="18"/>
                <w:szCs w:val="18"/>
                <w:lang w:val="en-GB"/>
              </w:rPr>
            </w:pPr>
          </w:p>
        </w:tc>
      </w:tr>
      <w:tr w:rsidR="00FB6B80" w:rsidRPr="0084045A" w14:paraId="7FB74AE8" w14:textId="77777777" w:rsidTr="00096BA7">
        <w:trPr>
          <w:trHeight w:val="555"/>
        </w:trPr>
        <w:tc>
          <w:tcPr>
            <w:tcW w:w="1685" w:type="dxa"/>
            <w:vAlign w:val="center"/>
          </w:tcPr>
          <w:p w14:paraId="48070780"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VOLUNTARY DISCHARGE</w:t>
            </w:r>
          </w:p>
        </w:tc>
        <w:tc>
          <w:tcPr>
            <w:tcW w:w="6121" w:type="dxa"/>
            <w:vMerge/>
            <w:vAlign w:val="center"/>
          </w:tcPr>
          <w:p w14:paraId="50B7A3F9" w14:textId="77777777" w:rsidR="00FB6B80" w:rsidRPr="0084045A" w:rsidRDefault="00FB6B80" w:rsidP="00333403">
            <w:pPr>
              <w:rPr>
                <w:rFonts w:ascii="Arial" w:hAnsi="Arial" w:cs="Arial"/>
                <w:noProof/>
                <w:color w:val="000000" w:themeColor="text1"/>
                <w:sz w:val="18"/>
                <w:szCs w:val="18"/>
                <w:lang w:val="en-GB"/>
              </w:rPr>
            </w:pPr>
          </w:p>
        </w:tc>
        <w:tc>
          <w:tcPr>
            <w:tcW w:w="1031" w:type="dxa"/>
            <w:vMerge/>
            <w:vAlign w:val="center"/>
          </w:tcPr>
          <w:p w14:paraId="301A6591" w14:textId="77777777" w:rsidR="00FB6B80" w:rsidRPr="0084045A" w:rsidRDefault="00FB6B80" w:rsidP="00333403">
            <w:pPr>
              <w:jc w:val="center"/>
              <w:rPr>
                <w:rFonts w:ascii="Arial" w:hAnsi="Arial" w:cs="Arial"/>
                <w:noProof/>
                <w:color w:val="000000" w:themeColor="text1"/>
                <w:sz w:val="18"/>
                <w:szCs w:val="18"/>
                <w:lang w:val="en-GB"/>
              </w:rPr>
            </w:pPr>
          </w:p>
        </w:tc>
      </w:tr>
      <w:tr w:rsidR="00FB6B80" w:rsidRPr="0084045A" w14:paraId="5827B1F3" w14:textId="77777777" w:rsidTr="00096BA7">
        <w:trPr>
          <w:trHeight w:hRule="exact" w:val="806"/>
        </w:trPr>
        <w:tc>
          <w:tcPr>
            <w:tcW w:w="1685" w:type="dxa"/>
            <w:vAlign w:val="center"/>
          </w:tcPr>
          <w:p w14:paraId="35C1A151"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NON-SEVERE</w:t>
            </w:r>
          </w:p>
          <w:p w14:paraId="60565DCA"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CASE</w:t>
            </w:r>
          </w:p>
        </w:tc>
        <w:tc>
          <w:tcPr>
            <w:tcW w:w="6121" w:type="dxa"/>
            <w:vAlign w:val="center"/>
          </w:tcPr>
          <w:p w14:paraId="6C590584" w14:textId="77777777" w:rsidR="00FB6B80" w:rsidRPr="0084045A" w:rsidRDefault="00FB6B80" w:rsidP="00333403">
            <w:pP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Patient who sought inpatient care, was hospitalised, began treatment, and was classified as a non-severe case. Outcome was complete recovery and discharge.</w:t>
            </w:r>
          </w:p>
        </w:tc>
        <w:tc>
          <w:tcPr>
            <w:tcW w:w="1031" w:type="dxa"/>
            <w:vAlign w:val="center"/>
          </w:tcPr>
          <w:p w14:paraId="2E3591D0"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5</w:t>
            </w:r>
          </w:p>
        </w:tc>
      </w:tr>
      <w:tr w:rsidR="00FB6B80" w:rsidRPr="0084045A" w14:paraId="121F5994" w14:textId="77777777" w:rsidTr="00096BA7">
        <w:trPr>
          <w:trHeight w:hRule="exact" w:val="770"/>
        </w:trPr>
        <w:tc>
          <w:tcPr>
            <w:tcW w:w="1685" w:type="dxa"/>
            <w:vAlign w:val="center"/>
          </w:tcPr>
          <w:p w14:paraId="05E2ABDF"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SEVERE CASE</w:t>
            </w:r>
          </w:p>
        </w:tc>
        <w:tc>
          <w:tcPr>
            <w:tcW w:w="6121" w:type="dxa"/>
            <w:vAlign w:val="center"/>
          </w:tcPr>
          <w:p w14:paraId="63E82F66" w14:textId="77777777" w:rsidR="00FB6B80" w:rsidRPr="0084045A" w:rsidRDefault="00FB6B80" w:rsidP="00333403">
            <w:pP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Patient who sought inpatient care, was hospitalised, began treatment, and was classified as a severe case. Outcome was complete recovery and discharge.</w:t>
            </w:r>
          </w:p>
        </w:tc>
        <w:tc>
          <w:tcPr>
            <w:tcW w:w="1031" w:type="dxa"/>
            <w:vAlign w:val="center"/>
          </w:tcPr>
          <w:p w14:paraId="5D6F4E65"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6</w:t>
            </w:r>
          </w:p>
        </w:tc>
      </w:tr>
      <w:tr w:rsidR="00FB6B80" w:rsidRPr="0084045A" w14:paraId="4A2A7C6A" w14:textId="77777777" w:rsidTr="00096BA7">
        <w:trPr>
          <w:trHeight w:val="732"/>
        </w:trPr>
        <w:tc>
          <w:tcPr>
            <w:tcW w:w="1685" w:type="dxa"/>
            <w:vAlign w:val="center"/>
          </w:tcPr>
          <w:p w14:paraId="57BC30EC"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REFERRAL</w:t>
            </w:r>
          </w:p>
        </w:tc>
        <w:tc>
          <w:tcPr>
            <w:tcW w:w="6121" w:type="dxa"/>
            <w:vAlign w:val="center"/>
          </w:tcPr>
          <w:p w14:paraId="69ADA360" w14:textId="6F37CD6B" w:rsidR="00FB6B80" w:rsidRPr="0084045A" w:rsidRDefault="00FB6B80" w:rsidP="00333403">
            <w:pP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Patient who sought inpatient care, was hospitalised, began treatment</w:t>
            </w:r>
            <w:r w:rsidR="00C15652" w:rsidRPr="0084045A">
              <w:rPr>
                <w:rFonts w:ascii="Arial" w:hAnsi="Arial" w:cs="Arial"/>
                <w:noProof/>
                <w:color w:val="000000" w:themeColor="text1"/>
                <w:sz w:val="18"/>
                <w:szCs w:val="18"/>
                <w:lang w:val="en-GB"/>
              </w:rPr>
              <w:t>,</w:t>
            </w:r>
            <w:r w:rsidRPr="0084045A">
              <w:rPr>
                <w:rFonts w:ascii="Arial" w:hAnsi="Arial" w:cs="Arial"/>
                <w:noProof/>
                <w:color w:val="000000" w:themeColor="text1"/>
                <w:sz w:val="18"/>
                <w:szCs w:val="18"/>
                <w:lang w:val="en-GB"/>
              </w:rPr>
              <w:t xml:space="preserve"> and due to the severity of the case, was referred to a tertiary hospital. Outcome was complete recovery and discharge.</w:t>
            </w:r>
          </w:p>
        </w:tc>
        <w:tc>
          <w:tcPr>
            <w:tcW w:w="1031" w:type="dxa"/>
            <w:vAlign w:val="center"/>
          </w:tcPr>
          <w:p w14:paraId="45618B51"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6</w:t>
            </w:r>
          </w:p>
        </w:tc>
      </w:tr>
      <w:tr w:rsidR="00FB6B80" w:rsidRPr="0084045A" w14:paraId="5CC4CCF3" w14:textId="77777777" w:rsidTr="00096BA7">
        <w:trPr>
          <w:trHeight w:hRule="exact" w:val="567"/>
        </w:trPr>
        <w:tc>
          <w:tcPr>
            <w:tcW w:w="1685" w:type="dxa"/>
            <w:vAlign w:val="center"/>
          </w:tcPr>
          <w:p w14:paraId="5AF3CE1D" w14:textId="77777777" w:rsidR="00FB6B80" w:rsidRPr="0084045A" w:rsidRDefault="00FB6B80" w:rsidP="00333403">
            <w:pPr>
              <w:jc w:val="both"/>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DEATH</w:t>
            </w:r>
          </w:p>
        </w:tc>
        <w:tc>
          <w:tcPr>
            <w:tcW w:w="6121" w:type="dxa"/>
            <w:vAlign w:val="center"/>
          </w:tcPr>
          <w:p w14:paraId="5637260B" w14:textId="4AD07DBA" w:rsidR="00FB6B80" w:rsidRPr="0084045A" w:rsidRDefault="00FB6B80" w:rsidP="00333403">
            <w:pP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Patient who sought inpatient care, was hospitalised, began treatment</w:t>
            </w:r>
            <w:r w:rsidR="00C15652" w:rsidRPr="0084045A">
              <w:rPr>
                <w:rFonts w:ascii="Arial" w:hAnsi="Arial" w:cs="Arial"/>
                <w:noProof/>
                <w:color w:val="000000" w:themeColor="text1"/>
                <w:sz w:val="18"/>
                <w:szCs w:val="18"/>
                <w:lang w:val="en-GB"/>
              </w:rPr>
              <w:t>,</w:t>
            </w:r>
            <w:r w:rsidRPr="0084045A">
              <w:rPr>
                <w:rFonts w:ascii="Arial" w:hAnsi="Arial" w:cs="Arial"/>
                <w:noProof/>
                <w:color w:val="000000" w:themeColor="text1"/>
                <w:sz w:val="18"/>
                <w:szCs w:val="18"/>
                <w:lang w:val="en-GB"/>
              </w:rPr>
              <w:t xml:space="preserve"> and did not respond to it. Outcome was death.</w:t>
            </w:r>
          </w:p>
        </w:tc>
        <w:tc>
          <w:tcPr>
            <w:tcW w:w="1031" w:type="dxa"/>
            <w:vAlign w:val="center"/>
          </w:tcPr>
          <w:p w14:paraId="1CBB6956" w14:textId="77777777" w:rsidR="00FB6B80" w:rsidRPr="0084045A" w:rsidRDefault="00FB6B80" w:rsidP="00333403">
            <w:pPr>
              <w:jc w:val="center"/>
              <w:rPr>
                <w:rFonts w:ascii="Arial" w:hAnsi="Arial" w:cs="Arial"/>
                <w:noProof/>
                <w:color w:val="000000" w:themeColor="text1"/>
                <w:sz w:val="18"/>
                <w:szCs w:val="18"/>
                <w:lang w:val="en-GB"/>
              </w:rPr>
            </w:pPr>
            <w:r w:rsidRPr="0084045A">
              <w:rPr>
                <w:rFonts w:ascii="Arial" w:hAnsi="Arial" w:cs="Arial"/>
                <w:noProof/>
                <w:color w:val="000000" w:themeColor="text1"/>
                <w:sz w:val="18"/>
                <w:szCs w:val="18"/>
                <w:lang w:val="en-GB"/>
              </w:rPr>
              <w:t>7</w:t>
            </w:r>
          </w:p>
        </w:tc>
      </w:tr>
    </w:tbl>
    <w:p w14:paraId="246DEB32" w14:textId="77777777" w:rsidR="00FB6B80" w:rsidRPr="0084045A" w:rsidRDefault="00FB6B80" w:rsidP="00FB6B80">
      <w:pPr>
        <w:spacing w:after="0" w:line="240" w:lineRule="auto"/>
        <w:jc w:val="right"/>
        <w:rPr>
          <w:rFonts w:cstheme="minorHAnsi"/>
          <w:noProof/>
          <w:color w:val="000000" w:themeColor="text1"/>
          <w:sz w:val="10"/>
          <w:szCs w:val="10"/>
          <w:lang w:val="en-GB"/>
        </w:rPr>
      </w:pPr>
    </w:p>
    <w:p w14:paraId="27E4B4D5" w14:textId="77777777" w:rsidR="00FB6B80" w:rsidRPr="0084045A" w:rsidRDefault="00FB6B80" w:rsidP="00FB6B80">
      <w:pPr>
        <w:spacing w:after="0" w:line="240" w:lineRule="auto"/>
        <w:jc w:val="right"/>
        <w:rPr>
          <w:rFonts w:cstheme="minorHAnsi"/>
          <w:noProof/>
          <w:color w:val="000000" w:themeColor="text1"/>
          <w:sz w:val="10"/>
          <w:szCs w:val="10"/>
          <w:lang w:val="en-GB"/>
        </w:rPr>
      </w:pPr>
    </w:p>
    <w:p w14:paraId="0BFA16CA" w14:textId="77777777" w:rsidR="00FB6B80" w:rsidRPr="0084045A" w:rsidRDefault="00FB6B80" w:rsidP="00FB6B80">
      <w:pPr>
        <w:spacing w:after="0" w:line="480" w:lineRule="auto"/>
        <w:ind w:right="48"/>
        <w:jc w:val="right"/>
        <w:rPr>
          <w:rFonts w:cstheme="minorHAnsi"/>
          <w:noProof/>
          <w:color w:val="000000" w:themeColor="text1"/>
          <w:lang w:val="en-GB"/>
        </w:rPr>
      </w:pPr>
      <w:r w:rsidRPr="0084045A">
        <w:rPr>
          <w:rFonts w:ascii="Arial" w:hAnsi="Arial" w:cs="Arial"/>
          <w:i/>
          <w:noProof/>
          <w:color w:val="000000" w:themeColor="text1"/>
          <w:sz w:val="20"/>
          <w:szCs w:val="20"/>
          <w:lang w:val="en-GB"/>
        </w:rPr>
        <w:t xml:space="preserve">Source: </w:t>
      </w:r>
      <w:r w:rsidRPr="0084045A">
        <w:rPr>
          <w:rFonts w:ascii="Arial" w:hAnsi="Arial" w:cs="Arial"/>
          <w:noProof/>
          <w:color w:val="000000" w:themeColor="text1"/>
          <w:sz w:val="20"/>
          <w:szCs w:val="20"/>
          <w:lang w:val="en-GB"/>
        </w:rPr>
        <w:t>own elaboration using SISVEFLU codes</w:t>
      </w:r>
    </w:p>
    <w:p w14:paraId="1448FAD5" w14:textId="7D7A2067" w:rsidR="00FB6B80" w:rsidRPr="0084045A" w:rsidRDefault="00091A14" w:rsidP="002F66A4">
      <w:pPr>
        <w:pStyle w:val="Ttulo2"/>
        <w:rPr>
          <w:noProof/>
          <w:lang w:val="en-GB"/>
        </w:rPr>
      </w:pPr>
      <w:r w:rsidRPr="0084045A">
        <w:rPr>
          <w:rFonts w:cs="Arial"/>
          <w:iCs/>
          <w:noProof/>
          <w:color w:val="000000" w:themeColor="text1"/>
          <w:lang w:val="en-GB"/>
        </w:rPr>
        <w:br w:type="page"/>
      </w:r>
      <w:r w:rsidR="00FB6B80" w:rsidRPr="0084045A">
        <w:rPr>
          <w:noProof/>
          <w:lang w:val="en-GB"/>
        </w:rPr>
        <w:lastRenderedPageBreak/>
        <w:t>Table S2.7. Health outcomes and classification by scenario, results from SISVEFLU</w:t>
      </w:r>
    </w:p>
    <w:tbl>
      <w:tblPr>
        <w:tblW w:w="7480" w:type="dxa"/>
        <w:tblCellMar>
          <w:left w:w="70" w:type="dxa"/>
          <w:right w:w="70" w:type="dxa"/>
        </w:tblCellMar>
        <w:tblLook w:val="04A0" w:firstRow="1" w:lastRow="0" w:firstColumn="1" w:lastColumn="0" w:noHBand="0" w:noVBand="1"/>
      </w:tblPr>
      <w:tblGrid>
        <w:gridCol w:w="3260"/>
        <w:gridCol w:w="1140"/>
        <w:gridCol w:w="1480"/>
        <w:gridCol w:w="1600"/>
      </w:tblGrid>
      <w:tr w:rsidR="00FB6B80" w:rsidRPr="0084045A" w14:paraId="696415CE" w14:textId="77777777" w:rsidTr="00333403">
        <w:trPr>
          <w:trHeight w:val="288"/>
          <w:tblHeader/>
        </w:trPr>
        <w:tc>
          <w:tcPr>
            <w:tcW w:w="3260" w:type="dxa"/>
            <w:tcBorders>
              <w:top w:val="single" w:sz="4" w:space="0" w:color="auto"/>
              <w:left w:val="nil"/>
              <w:bottom w:val="single" w:sz="4" w:space="0" w:color="auto"/>
              <w:right w:val="nil"/>
            </w:tcBorders>
            <w:shd w:val="clear" w:color="auto" w:fill="auto"/>
            <w:noWrap/>
            <w:vAlign w:val="center"/>
            <w:hideMark/>
          </w:tcPr>
          <w:p w14:paraId="4ECB80BD" w14:textId="77777777" w:rsidR="00FB6B80" w:rsidRPr="0084045A" w:rsidRDefault="00FB6B80" w:rsidP="00333403">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Health outcome</w:t>
            </w:r>
          </w:p>
        </w:tc>
        <w:tc>
          <w:tcPr>
            <w:tcW w:w="1140" w:type="dxa"/>
            <w:tcBorders>
              <w:top w:val="single" w:sz="4" w:space="0" w:color="auto"/>
              <w:left w:val="nil"/>
              <w:bottom w:val="single" w:sz="4" w:space="0" w:color="auto"/>
              <w:right w:val="nil"/>
            </w:tcBorders>
            <w:shd w:val="clear" w:color="auto" w:fill="auto"/>
            <w:noWrap/>
            <w:vAlign w:val="center"/>
            <w:hideMark/>
          </w:tcPr>
          <w:p w14:paraId="7016B7D0"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 xml:space="preserve">Number </w:t>
            </w:r>
          </w:p>
          <w:p w14:paraId="329688A5"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of cases</w:t>
            </w:r>
          </w:p>
        </w:tc>
        <w:tc>
          <w:tcPr>
            <w:tcW w:w="1480" w:type="dxa"/>
            <w:tcBorders>
              <w:top w:val="single" w:sz="4" w:space="0" w:color="auto"/>
              <w:left w:val="nil"/>
              <w:bottom w:val="single" w:sz="4" w:space="0" w:color="auto"/>
              <w:right w:val="nil"/>
            </w:tcBorders>
            <w:shd w:val="clear" w:color="auto" w:fill="auto"/>
            <w:noWrap/>
            <w:vAlign w:val="center"/>
            <w:hideMark/>
          </w:tcPr>
          <w:p w14:paraId="5404F2F0"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Total number of cases</w:t>
            </w:r>
          </w:p>
        </w:tc>
        <w:tc>
          <w:tcPr>
            <w:tcW w:w="1600" w:type="dxa"/>
            <w:tcBorders>
              <w:top w:val="single" w:sz="4" w:space="0" w:color="auto"/>
              <w:left w:val="nil"/>
              <w:bottom w:val="single" w:sz="4" w:space="0" w:color="auto"/>
              <w:right w:val="nil"/>
            </w:tcBorders>
            <w:shd w:val="clear" w:color="auto" w:fill="auto"/>
            <w:noWrap/>
            <w:vAlign w:val="center"/>
            <w:hideMark/>
          </w:tcPr>
          <w:p w14:paraId="5CE8C896"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Scenario</w:t>
            </w:r>
          </w:p>
        </w:tc>
      </w:tr>
      <w:tr w:rsidR="00FB6B80" w:rsidRPr="0084045A" w14:paraId="48900F70" w14:textId="77777777" w:rsidTr="00333403">
        <w:trPr>
          <w:trHeight w:val="288"/>
        </w:trPr>
        <w:tc>
          <w:tcPr>
            <w:tcW w:w="7480" w:type="dxa"/>
            <w:gridSpan w:val="4"/>
            <w:tcBorders>
              <w:top w:val="single" w:sz="4" w:space="0" w:color="auto"/>
              <w:left w:val="nil"/>
              <w:bottom w:val="single" w:sz="4" w:space="0" w:color="auto"/>
              <w:right w:val="nil"/>
            </w:tcBorders>
            <w:shd w:val="clear" w:color="000000" w:fill="D9D9D9"/>
            <w:noWrap/>
            <w:vAlign w:val="center"/>
            <w:hideMark/>
          </w:tcPr>
          <w:p w14:paraId="3FA56E95" w14:textId="77777777" w:rsidR="00FB6B80" w:rsidRPr="0084045A" w:rsidRDefault="00FB6B80" w:rsidP="00333403">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Ambulatory care</w:t>
            </w:r>
          </w:p>
        </w:tc>
      </w:tr>
      <w:tr w:rsidR="00FB6B80" w:rsidRPr="0084045A" w14:paraId="5253C53C"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59AD1633"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DISCHARGE IMPROVEMENT</w:t>
            </w:r>
          </w:p>
        </w:tc>
        <w:tc>
          <w:tcPr>
            <w:tcW w:w="1140" w:type="dxa"/>
            <w:tcBorders>
              <w:top w:val="nil"/>
              <w:left w:val="nil"/>
              <w:bottom w:val="single" w:sz="4" w:space="0" w:color="auto"/>
              <w:right w:val="nil"/>
            </w:tcBorders>
            <w:shd w:val="clear" w:color="auto" w:fill="auto"/>
            <w:noWrap/>
            <w:vAlign w:val="center"/>
            <w:hideMark/>
          </w:tcPr>
          <w:p w14:paraId="60398C8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w:t>
            </w:r>
          </w:p>
        </w:tc>
        <w:tc>
          <w:tcPr>
            <w:tcW w:w="1480" w:type="dxa"/>
            <w:vMerge w:val="restart"/>
            <w:tcBorders>
              <w:top w:val="nil"/>
              <w:left w:val="nil"/>
              <w:right w:val="nil"/>
            </w:tcBorders>
            <w:shd w:val="clear" w:color="auto" w:fill="auto"/>
            <w:noWrap/>
            <w:vAlign w:val="center"/>
            <w:hideMark/>
          </w:tcPr>
          <w:p w14:paraId="1AD1D7E3"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25,229</w:t>
            </w:r>
          </w:p>
        </w:tc>
        <w:tc>
          <w:tcPr>
            <w:tcW w:w="1600" w:type="dxa"/>
            <w:vMerge w:val="restart"/>
            <w:tcBorders>
              <w:top w:val="nil"/>
              <w:left w:val="nil"/>
              <w:right w:val="nil"/>
            </w:tcBorders>
            <w:shd w:val="clear" w:color="auto" w:fill="auto"/>
            <w:noWrap/>
            <w:vAlign w:val="center"/>
            <w:hideMark/>
          </w:tcPr>
          <w:p w14:paraId="7F53F10F"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w:t>
            </w:r>
          </w:p>
        </w:tc>
      </w:tr>
      <w:tr w:rsidR="00FB6B80" w:rsidRPr="0084045A" w14:paraId="7CBE03A7"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72C26124"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UNDER TREATMENT</w:t>
            </w:r>
          </w:p>
        </w:tc>
        <w:tc>
          <w:tcPr>
            <w:tcW w:w="1140" w:type="dxa"/>
            <w:tcBorders>
              <w:top w:val="nil"/>
              <w:left w:val="nil"/>
              <w:bottom w:val="single" w:sz="4" w:space="0" w:color="auto"/>
              <w:right w:val="nil"/>
            </w:tcBorders>
            <w:shd w:val="clear" w:color="auto" w:fill="auto"/>
            <w:noWrap/>
            <w:vAlign w:val="center"/>
            <w:hideMark/>
          </w:tcPr>
          <w:p w14:paraId="261593D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16,616</w:t>
            </w:r>
          </w:p>
        </w:tc>
        <w:tc>
          <w:tcPr>
            <w:tcW w:w="1480" w:type="dxa"/>
            <w:vMerge/>
            <w:tcBorders>
              <w:left w:val="nil"/>
              <w:right w:val="nil"/>
            </w:tcBorders>
            <w:vAlign w:val="center"/>
            <w:hideMark/>
          </w:tcPr>
          <w:p w14:paraId="24D4AEF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p>
        </w:tc>
        <w:tc>
          <w:tcPr>
            <w:tcW w:w="1600" w:type="dxa"/>
            <w:vMerge/>
            <w:tcBorders>
              <w:left w:val="nil"/>
              <w:right w:val="nil"/>
            </w:tcBorders>
            <w:vAlign w:val="center"/>
            <w:hideMark/>
          </w:tcPr>
          <w:p w14:paraId="0E480A40"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p>
        </w:tc>
      </w:tr>
      <w:tr w:rsidR="00FB6B80" w:rsidRPr="0084045A" w14:paraId="7DB0AEA4"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209F05AC"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HOUSEHOLD FOLLOW-UP</w:t>
            </w:r>
          </w:p>
        </w:tc>
        <w:tc>
          <w:tcPr>
            <w:tcW w:w="1140" w:type="dxa"/>
            <w:tcBorders>
              <w:top w:val="nil"/>
              <w:left w:val="nil"/>
              <w:bottom w:val="single" w:sz="4" w:space="0" w:color="auto"/>
              <w:right w:val="nil"/>
            </w:tcBorders>
            <w:shd w:val="clear" w:color="auto" w:fill="auto"/>
            <w:noWrap/>
            <w:vAlign w:val="center"/>
            <w:hideMark/>
          </w:tcPr>
          <w:p w14:paraId="0FA94F76" w14:textId="7A5368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1909</w:t>
            </w:r>
          </w:p>
        </w:tc>
        <w:tc>
          <w:tcPr>
            <w:tcW w:w="1480" w:type="dxa"/>
            <w:vMerge/>
            <w:tcBorders>
              <w:left w:val="nil"/>
              <w:right w:val="nil"/>
            </w:tcBorders>
            <w:vAlign w:val="center"/>
            <w:hideMark/>
          </w:tcPr>
          <w:p w14:paraId="6D5A094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p>
        </w:tc>
        <w:tc>
          <w:tcPr>
            <w:tcW w:w="1600" w:type="dxa"/>
            <w:vMerge/>
            <w:tcBorders>
              <w:left w:val="nil"/>
              <w:right w:val="nil"/>
            </w:tcBorders>
            <w:vAlign w:val="center"/>
            <w:hideMark/>
          </w:tcPr>
          <w:p w14:paraId="3222D777"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p>
        </w:tc>
      </w:tr>
      <w:tr w:rsidR="00FB6B80" w:rsidRPr="0084045A" w14:paraId="64BDE1AC"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7E28D58A"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FINALISED TREATMENT</w:t>
            </w:r>
          </w:p>
        </w:tc>
        <w:tc>
          <w:tcPr>
            <w:tcW w:w="1140" w:type="dxa"/>
            <w:tcBorders>
              <w:top w:val="nil"/>
              <w:left w:val="nil"/>
              <w:bottom w:val="single" w:sz="4" w:space="0" w:color="auto"/>
              <w:right w:val="nil"/>
            </w:tcBorders>
            <w:shd w:val="clear" w:color="auto" w:fill="auto"/>
            <w:noWrap/>
            <w:vAlign w:val="center"/>
            <w:hideMark/>
          </w:tcPr>
          <w:p w14:paraId="7F951B05" w14:textId="6CDB85FA"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6357</w:t>
            </w:r>
          </w:p>
        </w:tc>
        <w:tc>
          <w:tcPr>
            <w:tcW w:w="1480" w:type="dxa"/>
            <w:vMerge/>
            <w:tcBorders>
              <w:left w:val="nil"/>
              <w:right w:val="nil"/>
            </w:tcBorders>
            <w:vAlign w:val="center"/>
            <w:hideMark/>
          </w:tcPr>
          <w:p w14:paraId="163A93D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p>
        </w:tc>
        <w:tc>
          <w:tcPr>
            <w:tcW w:w="1600" w:type="dxa"/>
            <w:vMerge/>
            <w:tcBorders>
              <w:left w:val="nil"/>
              <w:right w:val="nil"/>
            </w:tcBorders>
            <w:vAlign w:val="center"/>
            <w:hideMark/>
          </w:tcPr>
          <w:p w14:paraId="60457C49"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p>
        </w:tc>
      </w:tr>
      <w:tr w:rsidR="00FB6B80" w:rsidRPr="0084045A" w14:paraId="4D606F0C" w14:textId="77777777" w:rsidTr="00333403">
        <w:trPr>
          <w:trHeight w:val="288"/>
        </w:trPr>
        <w:tc>
          <w:tcPr>
            <w:tcW w:w="3260" w:type="dxa"/>
            <w:tcBorders>
              <w:top w:val="nil"/>
              <w:left w:val="nil"/>
              <w:bottom w:val="single" w:sz="4" w:space="0" w:color="auto"/>
              <w:right w:val="nil"/>
            </w:tcBorders>
            <w:shd w:val="clear" w:color="auto" w:fill="auto"/>
            <w:noWrap/>
            <w:vAlign w:val="center"/>
          </w:tcPr>
          <w:p w14:paraId="63876590"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NA</w:t>
            </w:r>
          </w:p>
        </w:tc>
        <w:tc>
          <w:tcPr>
            <w:tcW w:w="1140" w:type="dxa"/>
            <w:tcBorders>
              <w:top w:val="nil"/>
              <w:left w:val="nil"/>
              <w:bottom w:val="single" w:sz="4" w:space="0" w:color="auto"/>
              <w:right w:val="nil"/>
            </w:tcBorders>
            <w:shd w:val="clear" w:color="auto" w:fill="auto"/>
            <w:noWrap/>
            <w:vAlign w:val="center"/>
          </w:tcPr>
          <w:p w14:paraId="5C503C9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346</w:t>
            </w:r>
          </w:p>
        </w:tc>
        <w:tc>
          <w:tcPr>
            <w:tcW w:w="1480" w:type="dxa"/>
            <w:vMerge/>
            <w:tcBorders>
              <w:left w:val="nil"/>
              <w:bottom w:val="single" w:sz="4" w:space="0" w:color="auto"/>
              <w:right w:val="nil"/>
            </w:tcBorders>
            <w:vAlign w:val="center"/>
          </w:tcPr>
          <w:p w14:paraId="0D319A05"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p>
        </w:tc>
        <w:tc>
          <w:tcPr>
            <w:tcW w:w="1600" w:type="dxa"/>
            <w:vMerge/>
            <w:tcBorders>
              <w:left w:val="nil"/>
              <w:bottom w:val="single" w:sz="4" w:space="0" w:color="auto"/>
              <w:right w:val="nil"/>
            </w:tcBorders>
            <w:vAlign w:val="center"/>
          </w:tcPr>
          <w:p w14:paraId="42EE5C87"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p>
        </w:tc>
      </w:tr>
      <w:tr w:rsidR="00FB6B80" w:rsidRPr="0084045A" w14:paraId="0AE30A94"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07910E8F"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REFERRAL</w:t>
            </w:r>
          </w:p>
        </w:tc>
        <w:tc>
          <w:tcPr>
            <w:tcW w:w="1140" w:type="dxa"/>
            <w:tcBorders>
              <w:top w:val="nil"/>
              <w:left w:val="nil"/>
              <w:bottom w:val="single" w:sz="4" w:space="0" w:color="auto"/>
              <w:right w:val="nil"/>
            </w:tcBorders>
            <w:shd w:val="clear" w:color="auto" w:fill="auto"/>
            <w:noWrap/>
            <w:vAlign w:val="center"/>
            <w:hideMark/>
          </w:tcPr>
          <w:p w14:paraId="62E8265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46</w:t>
            </w:r>
          </w:p>
        </w:tc>
        <w:tc>
          <w:tcPr>
            <w:tcW w:w="1480" w:type="dxa"/>
            <w:tcBorders>
              <w:top w:val="nil"/>
              <w:left w:val="nil"/>
              <w:bottom w:val="single" w:sz="4" w:space="0" w:color="auto"/>
              <w:right w:val="nil"/>
            </w:tcBorders>
            <w:shd w:val="clear" w:color="auto" w:fill="auto"/>
            <w:noWrap/>
            <w:vAlign w:val="center"/>
            <w:hideMark/>
          </w:tcPr>
          <w:p w14:paraId="7F13BFC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46</w:t>
            </w:r>
          </w:p>
        </w:tc>
        <w:tc>
          <w:tcPr>
            <w:tcW w:w="1600" w:type="dxa"/>
            <w:tcBorders>
              <w:top w:val="nil"/>
              <w:left w:val="nil"/>
              <w:bottom w:val="single" w:sz="4" w:space="0" w:color="auto"/>
              <w:right w:val="nil"/>
            </w:tcBorders>
            <w:shd w:val="clear" w:color="auto" w:fill="auto"/>
            <w:noWrap/>
            <w:vAlign w:val="center"/>
            <w:hideMark/>
          </w:tcPr>
          <w:p w14:paraId="33B03B63"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w:t>
            </w:r>
          </w:p>
        </w:tc>
      </w:tr>
      <w:tr w:rsidR="00FB6B80" w:rsidRPr="0084045A" w14:paraId="1E6830FB"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4319796D"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DEATH</w:t>
            </w:r>
          </w:p>
        </w:tc>
        <w:tc>
          <w:tcPr>
            <w:tcW w:w="1140" w:type="dxa"/>
            <w:tcBorders>
              <w:top w:val="nil"/>
              <w:left w:val="nil"/>
              <w:bottom w:val="single" w:sz="4" w:space="0" w:color="auto"/>
              <w:right w:val="nil"/>
            </w:tcBorders>
            <w:shd w:val="clear" w:color="auto" w:fill="auto"/>
            <w:noWrap/>
            <w:vAlign w:val="center"/>
            <w:hideMark/>
          </w:tcPr>
          <w:p w14:paraId="43542423"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78</w:t>
            </w:r>
          </w:p>
        </w:tc>
        <w:tc>
          <w:tcPr>
            <w:tcW w:w="1480" w:type="dxa"/>
            <w:tcBorders>
              <w:top w:val="nil"/>
              <w:left w:val="nil"/>
              <w:bottom w:val="single" w:sz="4" w:space="0" w:color="auto"/>
              <w:right w:val="nil"/>
            </w:tcBorders>
            <w:shd w:val="clear" w:color="auto" w:fill="auto"/>
            <w:noWrap/>
            <w:vAlign w:val="center"/>
            <w:hideMark/>
          </w:tcPr>
          <w:p w14:paraId="0DFB2EE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78</w:t>
            </w:r>
          </w:p>
        </w:tc>
        <w:tc>
          <w:tcPr>
            <w:tcW w:w="1600" w:type="dxa"/>
            <w:tcBorders>
              <w:top w:val="nil"/>
              <w:left w:val="nil"/>
              <w:bottom w:val="single" w:sz="4" w:space="0" w:color="auto"/>
              <w:right w:val="nil"/>
            </w:tcBorders>
            <w:shd w:val="clear" w:color="auto" w:fill="auto"/>
            <w:noWrap/>
            <w:vAlign w:val="center"/>
            <w:hideMark/>
          </w:tcPr>
          <w:p w14:paraId="7842313F"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w:t>
            </w:r>
          </w:p>
        </w:tc>
      </w:tr>
      <w:tr w:rsidR="00FB6B80" w:rsidRPr="0084045A" w14:paraId="1E3097AC"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1E2BC0A9" w14:textId="77777777" w:rsidR="00FB6B80" w:rsidRPr="0084045A" w:rsidRDefault="00FB6B80" w:rsidP="00333403">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Total ambulatory care</w:t>
            </w:r>
          </w:p>
        </w:tc>
        <w:tc>
          <w:tcPr>
            <w:tcW w:w="1140" w:type="dxa"/>
            <w:tcBorders>
              <w:top w:val="nil"/>
              <w:left w:val="nil"/>
              <w:bottom w:val="single" w:sz="4" w:space="0" w:color="auto"/>
              <w:right w:val="nil"/>
            </w:tcBorders>
            <w:shd w:val="clear" w:color="auto" w:fill="auto"/>
            <w:noWrap/>
            <w:vAlign w:val="center"/>
            <w:hideMark/>
          </w:tcPr>
          <w:p w14:paraId="0F8AE512"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25,353</w:t>
            </w:r>
          </w:p>
        </w:tc>
        <w:tc>
          <w:tcPr>
            <w:tcW w:w="1480" w:type="dxa"/>
            <w:tcBorders>
              <w:top w:val="nil"/>
              <w:left w:val="nil"/>
              <w:bottom w:val="single" w:sz="4" w:space="0" w:color="auto"/>
              <w:right w:val="nil"/>
            </w:tcBorders>
            <w:shd w:val="clear" w:color="auto" w:fill="auto"/>
            <w:noWrap/>
            <w:vAlign w:val="center"/>
            <w:hideMark/>
          </w:tcPr>
          <w:p w14:paraId="5E829690"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25,353</w:t>
            </w:r>
          </w:p>
        </w:tc>
        <w:tc>
          <w:tcPr>
            <w:tcW w:w="1600" w:type="dxa"/>
            <w:tcBorders>
              <w:top w:val="nil"/>
              <w:left w:val="nil"/>
              <w:bottom w:val="single" w:sz="4" w:space="0" w:color="auto"/>
              <w:right w:val="nil"/>
            </w:tcBorders>
            <w:shd w:val="clear" w:color="auto" w:fill="auto"/>
            <w:noWrap/>
            <w:vAlign w:val="center"/>
            <w:hideMark/>
          </w:tcPr>
          <w:p w14:paraId="52D706E6"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 </w:t>
            </w:r>
          </w:p>
        </w:tc>
      </w:tr>
      <w:tr w:rsidR="00FB6B80" w:rsidRPr="0084045A" w14:paraId="6E6F28BF" w14:textId="77777777" w:rsidTr="00333403">
        <w:trPr>
          <w:trHeight w:val="288"/>
        </w:trPr>
        <w:tc>
          <w:tcPr>
            <w:tcW w:w="7480" w:type="dxa"/>
            <w:gridSpan w:val="4"/>
            <w:tcBorders>
              <w:top w:val="single" w:sz="4" w:space="0" w:color="auto"/>
              <w:left w:val="nil"/>
              <w:bottom w:val="single" w:sz="4" w:space="0" w:color="auto"/>
              <w:right w:val="nil"/>
            </w:tcBorders>
            <w:shd w:val="clear" w:color="000000" w:fill="D9D9D9"/>
            <w:noWrap/>
            <w:vAlign w:val="center"/>
            <w:hideMark/>
          </w:tcPr>
          <w:p w14:paraId="49376D76" w14:textId="77777777" w:rsidR="00FB6B80" w:rsidRPr="0084045A" w:rsidRDefault="00FB6B80" w:rsidP="00333403">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 xml:space="preserve">Inpatient care </w:t>
            </w:r>
          </w:p>
        </w:tc>
      </w:tr>
      <w:tr w:rsidR="00FB6B80" w:rsidRPr="0084045A" w14:paraId="2A91A6C7"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397B2245"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UNDER TREATMENT</w:t>
            </w:r>
          </w:p>
        </w:tc>
        <w:tc>
          <w:tcPr>
            <w:tcW w:w="1140" w:type="dxa"/>
            <w:tcBorders>
              <w:top w:val="nil"/>
              <w:left w:val="nil"/>
              <w:bottom w:val="single" w:sz="4" w:space="0" w:color="auto"/>
              <w:right w:val="nil"/>
            </w:tcBorders>
            <w:shd w:val="clear" w:color="auto" w:fill="auto"/>
            <w:noWrap/>
            <w:vAlign w:val="center"/>
            <w:hideMark/>
          </w:tcPr>
          <w:p w14:paraId="43DE86B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w:t>
            </w:r>
          </w:p>
        </w:tc>
        <w:tc>
          <w:tcPr>
            <w:tcW w:w="1480" w:type="dxa"/>
            <w:vMerge w:val="restart"/>
            <w:tcBorders>
              <w:top w:val="nil"/>
              <w:left w:val="nil"/>
              <w:bottom w:val="single" w:sz="4" w:space="0" w:color="auto"/>
              <w:right w:val="nil"/>
            </w:tcBorders>
            <w:shd w:val="clear" w:color="auto" w:fill="auto"/>
            <w:noWrap/>
            <w:vAlign w:val="center"/>
            <w:hideMark/>
          </w:tcPr>
          <w:p w14:paraId="4AE2BF3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w:t>
            </w:r>
          </w:p>
        </w:tc>
        <w:tc>
          <w:tcPr>
            <w:tcW w:w="1600" w:type="dxa"/>
            <w:vMerge w:val="restart"/>
            <w:tcBorders>
              <w:top w:val="nil"/>
              <w:left w:val="nil"/>
              <w:bottom w:val="single" w:sz="4" w:space="0" w:color="auto"/>
              <w:right w:val="nil"/>
            </w:tcBorders>
            <w:shd w:val="clear" w:color="auto" w:fill="auto"/>
            <w:noWrap/>
            <w:vAlign w:val="center"/>
            <w:hideMark/>
          </w:tcPr>
          <w:p w14:paraId="77CDBB26"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w:t>
            </w:r>
          </w:p>
        </w:tc>
      </w:tr>
      <w:tr w:rsidR="00FB6B80" w:rsidRPr="0084045A" w14:paraId="70899BA6"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30B7F171"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HOUSEHOLD FOLLOW-UP</w:t>
            </w:r>
          </w:p>
        </w:tc>
        <w:tc>
          <w:tcPr>
            <w:tcW w:w="1140" w:type="dxa"/>
            <w:tcBorders>
              <w:top w:val="nil"/>
              <w:left w:val="nil"/>
              <w:bottom w:val="single" w:sz="4" w:space="0" w:color="auto"/>
              <w:right w:val="nil"/>
            </w:tcBorders>
            <w:shd w:val="clear" w:color="auto" w:fill="auto"/>
            <w:noWrap/>
            <w:vAlign w:val="center"/>
            <w:hideMark/>
          </w:tcPr>
          <w:p w14:paraId="1BB64B0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w:t>
            </w:r>
          </w:p>
        </w:tc>
        <w:tc>
          <w:tcPr>
            <w:tcW w:w="1480" w:type="dxa"/>
            <w:vMerge/>
            <w:tcBorders>
              <w:top w:val="nil"/>
              <w:left w:val="nil"/>
              <w:bottom w:val="single" w:sz="4" w:space="0" w:color="auto"/>
              <w:right w:val="nil"/>
            </w:tcBorders>
            <w:vAlign w:val="center"/>
            <w:hideMark/>
          </w:tcPr>
          <w:p w14:paraId="3B69104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p>
        </w:tc>
        <w:tc>
          <w:tcPr>
            <w:tcW w:w="1600" w:type="dxa"/>
            <w:vMerge/>
            <w:tcBorders>
              <w:top w:val="nil"/>
              <w:left w:val="nil"/>
              <w:bottom w:val="single" w:sz="4" w:space="0" w:color="auto"/>
              <w:right w:val="nil"/>
            </w:tcBorders>
            <w:vAlign w:val="center"/>
            <w:hideMark/>
          </w:tcPr>
          <w:p w14:paraId="48A156BE"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p>
        </w:tc>
      </w:tr>
      <w:tr w:rsidR="00FB6B80" w:rsidRPr="0084045A" w14:paraId="666DA089"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6A252D55"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DISCHARGE CURATION</w:t>
            </w:r>
          </w:p>
        </w:tc>
        <w:tc>
          <w:tcPr>
            <w:tcW w:w="1140" w:type="dxa"/>
            <w:tcBorders>
              <w:top w:val="nil"/>
              <w:left w:val="nil"/>
              <w:bottom w:val="single" w:sz="4" w:space="0" w:color="auto"/>
              <w:right w:val="nil"/>
            </w:tcBorders>
            <w:shd w:val="clear" w:color="auto" w:fill="auto"/>
            <w:noWrap/>
            <w:vAlign w:val="center"/>
            <w:hideMark/>
          </w:tcPr>
          <w:p w14:paraId="2F4903C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302</w:t>
            </w:r>
          </w:p>
        </w:tc>
        <w:tc>
          <w:tcPr>
            <w:tcW w:w="1480" w:type="dxa"/>
            <w:vMerge w:val="restart"/>
            <w:tcBorders>
              <w:top w:val="nil"/>
              <w:left w:val="nil"/>
              <w:bottom w:val="single" w:sz="4" w:space="0" w:color="auto"/>
              <w:right w:val="nil"/>
            </w:tcBorders>
            <w:shd w:val="clear" w:color="auto" w:fill="auto"/>
            <w:noWrap/>
            <w:vAlign w:val="center"/>
            <w:hideMark/>
          </w:tcPr>
          <w:p w14:paraId="1F2394D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12,293</w:t>
            </w:r>
          </w:p>
        </w:tc>
        <w:tc>
          <w:tcPr>
            <w:tcW w:w="1600" w:type="dxa"/>
            <w:vMerge w:val="restart"/>
            <w:tcBorders>
              <w:top w:val="nil"/>
              <w:left w:val="nil"/>
              <w:bottom w:val="single" w:sz="4" w:space="0" w:color="auto"/>
              <w:right w:val="nil"/>
            </w:tcBorders>
            <w:shd w:val="clear" w:color="auto" w:fill="auto"/>
            <w:noWrap/>
            <w:vAlign w:val="center"/>
            <w:hideMark/>
          </w:tcPr>
          <w:p w14:paraId="3312770B"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w:t>
            </w:r>
          </w:p>
        </w:tc>
      </w:tr>
      <w:tr w:rsidR="00FB6B80" w:rsidRPr="0084045A" w14:paraId="556558F6"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16B482CF"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DISCHARGE TRANSFER</w:t>
            </w:r>
          </w:p>
        </w:tc>
        <w:tc>
          <w:tcPr>
            <w:tcW w:w="1140" w:type="dxa"/>
            <w:tcBorders>
              <w:top w:val="nil"/>
              <w:left w:val="nil"/>
              <w:bottom w:val="single" w:sz="4" w:space="0" w:color="auto"/>
              <w:right w:val="nil"/>
            </w:tcBorders>
            <w:shd w:val="clear" w:color="auto" w:fill="auto"/>
            <w:noWrap/>
            <w:vAlign w:val="center"/>
            <w:hideMark/>
          </w:tcPr>
          <w:p w14:paraId="260B0D4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123</w:t>
            </w:r>
          </w:p>
        </w:tc>
        <w:tc>
          <w:tcPr>
            <w:tcW w:w="1480" w:type="dxa"/>
            <w:vMerge/>
            <w:tcBorders>
              <w:top w:val="nil"/>
              <w:left w:val="nil"/>
              <w:bottom w:val="single" w:sz="4" w:space="0" w:color="auto"/>
              <w:right w:val="nil"/>
            </w:tcBorders>
            <w:vAlign w:val="center"/>
            <w:hideMark/>
          </w:tcPr>
          <w:p w14:paraId="11091A9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p>
        </w:tc>
        <w:tc>
          <w:tcPr>
            <w:tcW w:w="1600" w:type="dxa"/>
            <w:vMerge/>
            <w:tcBorders>
              <w:top w:val="nil"/>
              <w:left w:val="nil"/>
              <w:bottom w:val="single" w:sz="4" w:space="0" w:color="auto"/>
              <w:right w:val="nil"/>
            </w:tcBorders>
            <w:vAlign w:val="center"/>
            <w:hideMark/>
          </w:tcPr>
          <w:p w14:paraId="254EA6E5"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p>
        </w:tc>
      </w:tr>
      <w:tr w:rsidR="00FB6B80" w:rsidRPr="0084045A" w14:paraId="31A70575"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2C12B0EE"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VOLUNTARY DISCHARGE</w:t>
            </w:r>
          </w:p>
        </w:tc>
        <w:tc>
          <w:tcPr>
            <w:tcW w:w="1140" w:type="dxa"/>
            <w:tcBorders>
              <w:top w:val="nil"/>
              <w:left w:val="nil"/>
              <w:bottom w:val="single" w:sz="4" w:space="0" w:color="auto"/>
              <w:right w:val="nil"/>
            </w:tcBorders>
            <w:shd w:val="clear" w:color="auto" w:fill="auto"/>
            <w:noWrap/>
            <w:vAlign w:val="center"/>
            <w:hideMark/>
          </w:tcPr>
          <w:p w14:paraId="641A72F3"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182</w:t>
            </w:r>
          </w:p>
        </w:tc>
        <w:tc>
          <w:tcPr>
            <w:tcW w:w="1480" w:type="dxa"/>
            <w:vMerge/>
            <w:tcBorders>
              <w:top w:val="nil"/>
              <w:left w:val="nil"/>
              <w:bottom w:val="single" w:sz="4" w:space="0" w:color="auto"/>
              <w:right w:val="nil"/>
            </w:tcBorders>
            <w:vAlign w:val="center"/>
            <w:hideMark/>
          </w:tcPr>
          <w:p w14:paraId="65B8C1F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p>
        </w:tc>
        <w:tc>
          <w:tcPr>
            <w:tcW w:w="1600" w:type="dxa"/>
            <w:vMerge/>
            <w:tcBorders>
              <w:top w:val="nil"/>
              <w:left w:val="nil"/>
              <w:bottom w:val="single" w:sz="4" w:space="0" w:color="auto"/>
              <w:right w:val="nil"/>
            </w:tcBorders>
            <w:vAlign w:val="center"/>
            <w:hideMark/>
          </w:tcPr>
          <w:p w14:paraId="7BF6444C"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p>
        </w:tc>
      </w:tr>
      <w:tr w:rsidR="00FB6B80" w:rsidRPr="0084045A" w14:paraId="29DD1AF5"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6F891811"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DISCHARGE IMPROVEMENT</w:t>
            </w:r>
          </w:p>
        </w:tc>
        <w:tc>
          <w:tcPr>
            <w:tcW w:w="1140" w:type="dxa"/>
            <w:tcBorders>
              <w:top w:val="nil"/>
              <w:left w:val="nil"/>
              <w:bottom w:val="single" w:sz="4" w:space="0" w:color="auto"/>
              <w:right w:val="nil"/>
            </w:tcBorders>
            <w:shd w:val="clear" w:color="auto" w:fill="auto"/>
            <w:noWrap/>
            <w:vAlign w:val="center"/>
            <w:hideMark/>
          </w:tcPr>
          <w:p w14:paraId="796D37B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11,686</w:t>
            </w:r>
          </w:p>
        </w:tc>
        <w:tc>
          <w:tcPr>
            <w:tcW w:w="1480" w:type="dxa"/>
            <w:vMerge/>
            <w:tcBorders>
              <w:top w:val="nil"/>
              <w:left w:val="nil"/>
              <w:bottom w:val="single" w:sz="4" w:space="0" w:color="auto"/>
              <w:right w:val="nil"/>
            </w:tcBorders>
            <w:vAlign w:val="center"/>
            <w:hideMark/>
          </w:tcPr>
          <w:p w14:paraId="6DFF44E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p>
        </w:tc>
        <w:tc>
          <w:tcPr>
            <w:tcW w:w="1600" w:type="dxa"/>
            <w:vMerge/>
            <w:tcBorders>
              <w:top w:val="nil"/>
              <w:left w:val="nil"/>
              <w:bottom w:val="single" w:sz="4" w:space="0" w:color="auto"/>
              <w:right w:val="nil"/>
            </w:tcBorders>
            <w:vAlign w:val="center"/>
            <w:hideMark/>
          </w:tcPr>
          <w:p w14:paraId="7503B253"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p>
        </w:tc>
      </w:tr>
      <w:tr w:rsidR="00FB6B80" w:rsidRPr="0084045A" w14:paraId="4D151DDF" w14:textId="77777777" w:rsidTr="00333403">
        <w:trPr>
          <w:trHeight w:val="288"/>
        </w:trPr>
        <w:tc>
          <w:tcPr>
            <w:tcW w:w="3260" w:type="dxa"/>
            <w:tcBorders>
              <w:top w:val="nil"/>
              <w:left w:val="nil"/>
              <w:bottom w:val="single" w:sz="4" w:space="0" w:color="auto"/>
              <w:right w:val="nil"/>
            </w:tcBorders>
            <w:shd w:val="clear" w:color="auto" w:fill="auto"/>
            <w:noWrap/>
            <w:vAlign w:val="center"/>
          </w:tcPr>
          <w:p w14:paraId="225FE5C6" w14:textId="3CAFC57A"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NONSEVERE CASE</w:t>
            </w:r>
          </w:p>
        </w:tc>
        <w:tc>
          <w:tcPr>
            <w:tcW w:w="1140" w:type="dxa"/>
            <w:tcBorders>
              <w:top w:val="nil"/>
              <w:left w:val="nil"/>
              <w:bottom w:val="single" w:sz="4" w:space="0" w:color="auto"/>
              <w:right w:val="nil"/>
            </w:tcBorders>
            <w:shd w:val="clear" w:color="auto" w:fill="auto"/>
            <w:noWrap/>
            <w:vAlign w:val="center"/>
          </w:tcPr>
          <w:p w14:paraId="53FE9C51" w14:textId="3E37A453"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6718</w:t>
            </w:r>
          </w:p>
        </w:tc>
        <w:tc>
          <w:tcPr>
            <w:tcW w:w="1480" w:type="dxa"/>
            <w:tcBorders>
              <w:top w:val="nil"/>
              <w:left w:val="nil"/>
              <w:bottom w:val="single" w:sz="4" w:space="0" w:color="auto"/>
              <w:right w:val="nil"/>
            </w:tcBorders>
            <w:vAlign w:val="center"/>
          </w:tcPr>
          <w:p w14:paraId="69BFC2E3" w14:textId="77A7D72B"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6718</w:t>
            </w:r>
          </w:p>
        </w:tc>
        <w:tc>
          <w:tcPr>
            <w:tcW w:w="1600" w:type="dxa"/>
            <w:tcBorders>
              <w:top w:val="nil"/>
              <w:left w:val="nil"/>
              <w:bottom w:val="single" w:sz="4" w:space="0" w:color="auto"/>
              <w:right w:val="nil"/>
            </w:tcBorders>
            <w:vAlign w:val="center"/>
          </w:tcPr>
          <w:p w14:paraId="7CA47B2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w:t>
            </w:r>
          </w:p>
        </w:tc>
      </w:tr>
      <w:tr w:rsidR="00FB6B80" w:rsidRPr="0084045A" w14:paraId="7F76E70D" w14:textId="77777777" w:rsidTr="00333403">
        <w:trPr>
          <w:trHeight w:val="288"/>
        </w:trPr>
        <w:tc>
          <w:tcPr>
            <w:tcW w:w="3260" w:type="dxa"/>
            <w:tcBorders>
              <w:top w:val="nil"/>
              <w:left w:val="nil"/>
              <w:bottom w:val="single" w:sz="4" w:space="0" w:color="auto"/>
              <w:right w:val="nil"/>
            </w:tcBorders>
            <w:shd w:val="clear" w:color="auto" w:fill="auto"/>
            <w:noWrap/>
            <w:vAlign w:val="center"/>
            <w:hideMark/>
          </w:tcPr>
          <w:p w14:paraId="3E27CF5A"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SEVERE CASE</w:t>
            </w:r>
          </w:p>
        </w:tc>
        <w:tc>
          <w:tcPr>
            <w:tcW w:w="1140" w:type="dxa"/>
            <w:tcBorders>
              <w:top w:val="nil"/>
              <w:left w:val="nil"/>
              <w:bottom w:val="single" w:sz="4" w:space="0" w:color="auto"/>
              <w:right w:val="nil"/>
            </w:tcBorders>
            <w:shd w:val="clear" w:color="auto" w:fill="auto"/>
            <w:noWrap/>
            <w:vAlign w:val="center"/>
            <w:hideMark/>
          </w:tcPr>
          <w:p w14:paraId="184A7349" w14:textId="7CF696B6"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2795</w:t>
            </w:r>
          </w:p>
        </w:tc>
        <w:tc>
          <w:tcPr>
            <w:tcW w:w="1480" w:type="dxa"/>
            <w:vMerge w:val="restart"/>
            <w:tcBorders>
              <w:top w:val="nil"/>
              <w:left w:val="nil"/>
              <w:bottom w:val="single" w:sz="4" w:space="0" w:color="auto"/>
              <w:right w:val="nil"/>
            </w:tcBorders>
            <w:shd w:val="clear" w:color="auto" w:fill="auto"/>
            <w:noWrap/>
            <w:vAlign w:val="center"/>
            <w:hideMark/>
          </w:tcPr>
          <w:p w14:paraId="7B3564D9" w14:textId="1B00BB55"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2882</w:t>
            </w:r>
          </w:p>
        </w:tc>
        <w:tc>
          <w:tcPr>
            <w:tcW w:w="1600" w:type="dxa"/>
            <w:vMerge w:val="restart"/>
            <w:tcBorders>
              <w:top w:val="nil"/>
              <w:left w:val="nil"/>
              <w:bottom w:val="single" w:sz="4" w:space="0" w:color="auto"/>
              <w:right w:val="nil"/>
            </w:tcBorders>
            <w:shd w:val="clear" w:color="auto" w:fill="auto"/>
            <w:noWrap/>
            <w:vAlign w:val="center"/>
            <w:hideMark/>
          </w:tcPr>
          <w:p w14:paraId="4A6AD4EA"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w:t>
            </w:r>
          </w:p>
        </w:tc>
      </w:tr>
      <w:tr w:rsidR="00FB6B80" w:rsidRPr="0084045A" w14:paraId="4369E21C" w14:textId="77777777" w:rsidTr="00333403">
        <w:trPr>
          <w:trHeight w:val="203"/>
        </w:trPr>
        <w:tc>
          <w:tcPr>
            <w:tcW w:w="3260" w:type="dxa"/>
            <w:tcBorders>
              <w:top w:val="single" w:sz="4" w:space="0" w:color="auto"/>
              <w:left w:val="nil"/>
              <w:bottom w:val="single" w:sz="4" w:space="0" w:color="auto"/>
              <w:right w:val="nil"/>
            </w:tcBorders>
            <w:shd w:val="clear" w:color="auto" w:fill="auto"/>
            <w:noWrap/>
            <w:vAlign w:val="center"/>
            <w:hideMark/>
          </w:tcPr>
          <w:p w14:paraId="0F8AD9F5"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 xml:space="preserve">REFERRAL </w:t>
            </w:r>
          </w:p>
        </w:tc>
        <w:tc>
          <w:tcPr>
            <w:tcW w:w="1140" w:type="dxa"/>
            <w:tcBorders>
              <w:top w:val="single" w:sz="4" w:space="0" w:color="auto"/>
              <w:left w:val="nil"/>
              <w:bottom w:val="single" w:sz="4" w:space="0" w:color="auto"/>
              <w:right w:val="nil"/>
            </w:tcBorders>
            <w:shd w:val="clear" w:color="auto" w:fill="auto"/>
            <w:noWrap/>
            <w:vAlign w:val="center"/>
            <w:hideMark/>
          </w:tcPr>
          <w:p w14:paraId="5CD845C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87</w:t>
            </w:r>
          </w:p>
        </w:tc>
        <w:tc>
          <w:tcPr>
            <w:tcW w:w="1480" w:type="dxa"/>
            <w:vMerge/>
            <w:tcBorders>
              <w:top w:val="single" w:sz="4" w:space="0" w:color="auto"/>
              <w:left w:val="nil"/>
              <w:bottom w:val="single" w:sz="4" w:space="0" w:color="auto"/>
              <w:right w:val="nil"/>
            </w:tcBorders>
            <w:vAlign w:val="center"/>
            <w:hideMark/>
          </w:tcPr>
          <w:p w14:paraId="6FF9987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p>
        </w:tc>
        <w:tc>
          <w:tcPr>
            <w:tcW w:w="1600" w:type="dxa"/>
            <w:vMerge/>
            <w:tcBorders>
              <w:top w:val="single" w:sz="4" w:space="0" w:color="auto"/>
              <w:left w:val="nil"/>
              <w:bottom w:val="single" w:sz="4" w:space="0" w:color="auto"/>
              <w:right w:val="nil"/>
            </w:tcBorders>
            <w:vAlign w:val="center"/>
            <w:hideMark/>
          </w:tcPr>
          <w:p w14:paraId="555BF243"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p>
        </w:tc>
      </w:tr>
      <w:tr w:rsidR="00FB6B80" w:rsidRPr="0084045A" w14:paraId="053F22B5" w14:textId="77777777" w:rsidTr="00333403">
        <w:trPr>
          <w:trHeight w:val="288"/>
        </w:trPr>
        <w:tc>
          <w:tcPr>
            <w:tcW w:w="3260" w:type="dxa"/>
            <w:tcBorders>
              <w:top w:val="single" w:sz="4" w:space="0" w:color="auto"/>
              <w:left w:val="nil"/>
              <w:bottom w:val="single" w:sz="4" w:space="0" w:color="auto"/>
              <w:right w:val="nil"/>
            </w:tcBorders>
            <w:shd w:val="clear" w:color="auto" w:fill="auto"/>
            <w:noWrap/>
            <w:vAlign w:val="center"/>
            <w:hideMark/>
          </w:tcPr>
          <w:p w14:paraId="501429FB"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DEATH</w:t>
            </w:r>
          </w:p>
        </w:tc>
        <w:tc>
          <w:tcPr>
            <w:tcW w:w="1140" w:type="dxa"/>
            <w:tcBorders>
              <w:top w:val="single" w:sz="4" w:space="0" w:color="auto"/>
              <w:left w:val="nil"/>
              <w:bottom w:val="single" w:sz="4" w:space="0" w:color="auto"/>
              <w:right w:val="nil"/>
            </w:tcBorders>
            <w:shd w:val="clear" w:color="auto" w:fill="auto"/>
            <w:noWrap/>
            <w:vAlign w:val="center"/>
            <w:hideMark/>
          </w:tcPr>
          <w:p w14:paraId="309B6BE9" w14:textId="061F5F0F"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3651</w:t>
            </w:r>
          </w:p>
        </w:tc>
        <w:tc>
          <w:tcPr>
            <w:tcW w:w="1480" w:type="dxa"/>
            <w:tcBorders>
              <w:top w:val="single" w:sz="4" w:space="0" w:color="auto"/>
              <w:left w:val="nil"/>
              <w:bottom w:val="single" w:sz="4" w:space="0" w:color="auto"/>
              <w:right w:val="nil"/>
            </w:tcBorders>
            <w:shd w:val="clear" w:color="auto" w:fill="auto"/>
            <w:noWrap/>
            <w:vAlign w:val="center"/>
            <w:hideMark/>
          </w:tcPr>
          <w:p w14:paraId="5587886F" w14:textId="7C8E783F" w:rsidR="00FB6B80" w:rsidRPr="0084045A" w:rsidRDefault="00FB6B80" w:rsidP="00333403">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3651</w:t>
            </w:r>
          </w:p>
        </w:tc>
        <w:tc>
          <w:tcPr>
            <w:tcW w:w="1600" w:type="dxa"/>
            <w:tcBorders>
              <w:top w:val="single" w:sz="4" w:space="0" w:color="auto"/>
              <w:left w:val="nil"/>
              <w:bottom w:val="single" w:sz="4" w:space="0" w:color="auto"/>
              <w:right w:val="nil"/>
            </w:tcBorders>
            <w:shd w:val="clear" w:color="auto" w:fill="auto"/>
            <w:noWrap/>
            <w:vAlign w:val="center"/>
            <w:hideMark/>
          </w:tcPr>
          <w:p w14:paraId="4B89EC68"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7</w:t>
            </w:r>
          </w:p>
        </w:tc>
      </w:tr>
      <w:tr w:rsidR="00FB6B80" w:rsidRPr="0084045A" w14:paraId="7A6BE134" w14:textId="77777777" w:rsidTr="00333403">
        <w:trPr>
          <w:trHeight w:val="300"/>
        </w:trPr>
        <w:tc>
          <w:tcPr>
            <w:tcW w:w="3260" w:type="dxa"/>
            <w:tcBorders>
              <w:top w:val="nil"/>
              <w:left w:val="nil"/>
              <w:bottom w:val="double" w:sz="6" w:space="0" w:color="auto"/>
              <w:right w:val="nil"/>
            </w:tcBorders>
            <w:shd w:val="clear" w:color="auto" w:fill="auto"/>
            <w:noWrap/>
            <w:vAlign w:val="center"/>
            <w:hideMark/>
          </w:tcPr>
          <w:p w14:paraId="622333D2" w14:textId="77777777" w:rsidR="00FB6B80" w:rsidRPr="0084045A" w:rsidRDefault="00FB6B80" w:rsidP="00333403">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Total inpatient care</w:t>
            </w:r>
          </w:p>
        </w:tc>
        <w:tc>
          <w:tcPr>
            <w:tcW w:w="1140" w:type="dxa"/>
            <w:tcBorders>
              <w:top w:val="nil"/>
              <w:left w:val="nil"/>
              <w:bottom w:val="double" w:sz="6" w:space="0" w:color="auto"/>
              <w:right w:val="nil"/>
            </w:tcBorders>
            <w:shd w:val="clear" w:color="auto" w:fill="auto"/>
            <w:noWrap/>
            <w:vAlign w:val="center"/>
            <w:hideMark/>
          </w:tcPr>
          <w:p w14:paraId="7B87F6B9"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25,547</w:t>
            </w:r>
          </w:p>
        </w:tc>
        <w:tc>
          <w:tcPr>
            <w:tcW w:w="1480" w:type="dxa"/>
            <w:tcBorders>
              <w:top w:val="nil"/>
              <w:left w:val="nil"/>
              <w:bottom w:val="double" w:sz="6" w:space="0" w:color="auto"/>
              <w:right w:val="nil"/>
            </w:tcBorders>
            <w:shd w:val="clear" w:color="auto" w:fill="auto"/>
            <w:noWrap/>
            <w:vAlign w:val="center"/>
            <w:hideMark/>
          </w:tcPr>
          <w:p w14:paraId="2A110594"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25,547</w:t>
            </w:r>
          </w:p>
        </w:tc>
        <w:tc>
          <w:tcPr>
            <w:tcW w:w="1600" w:type="dxa"/>
            <w:tcBorders>
              <w:top w:val="nil"/>
              <w:left w:val="nil"/>
              <w:bottom w:val="double" w:sz="6" w:space="0" w:color="auto"/>
              <w:right w:val="nil"/>
            </w:tcBorders>
            <w:shd w:val="clear" w:color="auto" w:fill="auto"/>
            <w:noWrap/>
            <w:vAlign w:val="center"/>
            <w:hideMark/>
          </w:tcPr>
          <w:p w14:paraId="6A0FC7AB"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 </w:t>
            </w:r>
          </w:p>
        </w:tc>
      </w:tr>
      <w:tr w:rsidR="00FB6B80" w:rsidRPr="0084045A" w14:paraId="4972A989" w14:textId="77777777" w:rsidTr="00333403">
        <w:trPr>
          <w:trHeight w:val="300"/>
        </w:trPr>
        <w:tc>
          <w:tcPr>
            <w:tcW w:w="3260" w:type="dxa"/>
            <w:tcBorders>
              <w:top w:val="nil"/>
              <w:left w:val="nil"/>
              <w:bottom w:val="single" w:sz="4" w:space="0" w:color="auto"/>
              <w:right w:val="nil"/>
            </w:tcBorders>
            <w:shd w:val="clear" w:color="auto" w:fill="auto"/>
            <w:noWrap/>
            <w:vAlign w:val="center"/>
            <w:hideMark/>
          </w:tcPr>
          <w:p w14:paraId="17AB9249" w14:textId="77777777" w:rsidR="00FB6B80" w:rsidRPr="0084045A" w:rsidRDefault="00FB6B80" w:rsidP="00333403">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Total number of cases</w:t>
            </w:r>
          </w:p>
        </w:tc>
        <w:tc>
          <w:tcPr>
            <w:tcW w:w="2620" w:type="dxa"/>
            <w:gridSpan w:val="2"/>
            <w:tcBorders>
              <w:top w:val="nil"/>
              <w:left w:val="nil"/>
              <w:bottom w:val="single" w:sz="4" w:space="0" w:color="auto"/>
              <w:right w:val="nil"/>
            </w:tcBorders>
            <w:shd w:val="clear" w:color="auto" w:fill="auto"/>
            <w:noWrap/>
            <w:vAlign w:val="center"/>
            <w:hideMark/>
          </w:tcPr>
          <w:p w14:paraId="2C17C0E1"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50,900</w:t>
            </w:r>
          </w:p>
        </w:tc>
        <w:tc>
          <w:tcPr>
            <w:tcW w:w="1600" w:type="dxa"/>
            <w:tcBorders>
              <w:top w:val="nil"/>
              <w:left w:val="nil"/>
              <w:bottom w:val="single" w:sz="4" w:space="0" w:color="auto"/>
              <w:right w:val="nil"/>
            </w:tcBorders>
            <w:shd w:val="clear" w:color="auto" w:fill="auto"/>
            <w:noWrap/>
            <w:vAlign w:val="center"/>
            <w:hideMark/>
          </w:tcPr>
          <w:p w14:paraId="264F40B8" w14:textId="77777777" w:rsidR="00FB6B80" w:rsidRPr="0084045A" w:rsidRDefault="00FB6B80" w:rsidP="00333403">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 </w:t>
            </w:r>
          </w:p>
        </w:tc>
      </w:tr>
    </w:tbl>
    <w:p w14:paraId="4EDECCAD" w14:textId="77777777" w:rsidR="00FB6B80" w:rsidRPr="0084045A" w:rsidRDefault="00FB6B80" w:rsidP="00FB6B80">
      <w:pPr>
        <w:spacing w:after="0" w:line="240" w:lineRule="auto"/>
        <w:jc w:val="both"/>
        <w:rPr>
          <w:rFonts w:cstheme="minorHAnsi"/>
          <w:noProof/>
          <w:color w:val="000000" w:themeColor="text1"/>
          <w:sz w:val="10"/>
          <w:szCs w:val="10"/>
          <w:lang w:val="en-GB"/>
        </w:rPr>
      </w:pPr>
    </w:p>
    <w:p w14:paraId="545EF5DE" w14:textId="77777777" w:rsidR="00FB6B80" w:rsidRPr="0084045A" w:rsidRDefault="00FB6B80" w:rsidP="00FB6B80">
      <w:pPr>
        <w:spacing w:after="0" w:line="240" w:lineRule="auto"/>
        <w:ind w:right="899"/>
        <w:jc w:val="right"/>
        <w:rPr>
          <w:rFonts w:cstheme="minorHAnsi"/>
          <w:b/>
          <w:noProof/>
          <w:color w:val="000000" w:themeColor="text1"/>
          <w:lang w:val="en-GB"/>
        </w:rPr>
      </w:pPr>
      <w:r w:rsidRPr="0084045A">
        <w:rPr>
          <w:rFonts w:ascii="Arial" w:hAnsi="Arial" w:cs="Arial"/>
          <w:i/>
          <w:noProof/>
          <w:color w:val="000000" w:themeColor="text1"/>
          <w:sz w:val="20"/>
          <w:szCs w:val="20"/>
          <w:lang w:val="en-GB"/>
        </w:rPr>
        <w:t xml:space="preserve">Source: </w:t>
      </w:r>
      <w:r w:rsidRPr="0084045A">
        <w:rPr>
          <w:rFonts w:ascii="Arial" w:hAnsi="Arial" w:cs="Arial"/>
          <w:noProof/>
          <w:color w:val="000000" w:themeColor="text1"/>
          <w:sz w:val="20"/>
          <w:szCs w:val="20"/>
          <w:lang w:val="en-GB"/>
        </w:rPr>
        <w:t>own elaboration using SISVEFLU codes</w:t>
      </w:r>
    </w:p>
    <w:p w14:paraId="5A0B2A80" w14:textId="77777777" w:rsidR="00FB6B80" w:rsidRPr="0084045A" w:rsidRDefault="00FB6B80" w:rsidP="00FB6B80">
      <w:pPr>
        <w:spacing w:after="0" w:line="240" w:lineRule="auto"/>
        <w:jc w:val="both"/>
        <w:rPr>
          <w:rFonts w:cstheme="minorHAnsi"/>
          <w:noProof/>
          <w:color w:val="000000" w:themeColor="text1"/>
          <w:lang w:val="en-GB"/>
        </w:rPr>
      </w:pPr>
    </w:p>
    <w:p w14:paraId="796A5D11" w14:textId="77777777" w:rsidR="00FB6B80" w:rsidRPr="0084045A" w:rsidRDefault="00FB6B80" w:rsidP="00FB6B80">
      <w:pPr>
        <w:spacing w:after="0" w:line="240" w:lineRule="auto"/>
        <w:jc w:val="both"/>
        <w:rPr>
          <w:rFonts w:cstheme="minorHAnsi"/>
          <w:noProof/>
          <w:color w:val="000000" w:themeColor="text1"/>
          <w:lang w:val="en-GB"/>
        </w:rPr>
      </w:pPr>
    </w:p>
    <w:p w14:paraId="0A78C79D" w14:textId="77777777" w:rsidR="00091A14" w:rsidRPr="0084045A" w:rsidRDefault="00091A14">
      <w:pPr>
        <w:rPr>
          <w:rFonts w:ascii="Arial" w:hAnsi="Arial" w:cs="Arial"/>
          <w:b/>
          <w:i/>
          <w:iCs/>
          <w:noProof/>
          <w:color w:val="000000" w:themeColor="text1"/>
          <w:lang w:val="en-GB"/>
        </w:rPr>
      </w:pPr>
      <w:r w:rsidRPr="0084045A">
        <w:rPr>
          <w:rFonts w:ascii="Arial" w:hAnsi="Arial" w:cs="Arial"/>
          <w:b/>
          <w:i/>
          <w:iCs/>
          <w:noProof/>
          <w:color w:val="000000" w:themeColor="text1"/>
          <w:lang w:val="en-GB"/>
        </w:rPr>
        <w:br w:type="page"/>
      </w:r>
    </w:p>
    <w:p w14:paraId="00815CF3" w14:textId="001A4294" w:rsidR="00FB6B80" w:rsidRPr="0084045A" w:rsidRDefault="00FB6B80" w:rsidP="0026691C">
      <w:pPr>
        <w:pStyle w:val="Ttulo2"/>
        <w:rPr>
          <w:rFonts w:cstheme="minorHAnsi"/>
          <w:noProof/>
          <w:lang w:val="en-GB"/>
        </w:rPr>
      </w:pPr>
      <w:r w:rsidRPr="0084045A">
        <w:rPr>
          <w:noProof/>
          <w:lang w:val="en-GB"/>
        </w:rPr>
        <w:lastRenderedPageBreak/>
        <w:t xml:space="preserve">Table S2.8. Estimated cases of influenza per scenario and season </w:t>
      </w:r>
    </w:p>
    <w:p w14:paraId="7DD78ED8" w14:textId="77777777" w:rsidR="00FB6B80" w:rsidRPr="0084045A" w:rsidRDefault="00FB6B80" w:rsidP="00FB6B80">
      <w:pPr>
        <w:spacing w:after="0" w:line="240" w:lineRule="auto"/>
        <w:jc w:val="center"/>
        <w:rPr>
          <w:rFonts w:cstheme="minorHAnsi"/>
          <w:b/>
          <w:noProof/>
          <w:color w:val="000000" w:themeColor="text1"/>
          <w:lang w:val="en-GB"/>
        </w:rPr>
      </w:pPr>
    </w:p>
    <w:tbl>
      <w:tblPr>
        <w:tblW w:w="8785" w:type="dxa"/>
        <w:tblBorders>
          <w:bottom w:val="single" w:sz="8" w:space="0" w:color="auto"/>
          <w:insideH w:val="single" w:sz="4" w:space="0" w:color="auto"/>
        </w:tblBorders>
        <w:tblCellMar>
          <w:left w:w="70" w:type="dxa"/>
          <w:right w:w="70" w:type="dxa"/>
        </w:tblCellMar>
        <w:tblLook w:val="04A0" w:firstRow="1" w:lastRow="0" w:firstColumn="1" w:lastColumn="0" w:noHBand="0" w:noVBand="1"/>
      </w:tblPr>
      <w:tblGrid>
        <w:gridCol w:w="1751"/>
        <w:gridCol w:w="1142"/>
        <w:gridCol w:w="1140"/>
        <w:gridCol w:w="782"/>
        <w:gridCol w:w="992"/>
        <w:gridCol w:w="799"/>
        <w:gridCol w:w="902"/>
        <w:gridCol w:w="1277"/>
      </w:tblGrid>
      <w:tr w:rsidR="00FB6B80" w:rsidRPr="0084045A" w14:paraId="2714AE3E" w14:textId="77777777" w:rsidTr="00333403">
        <w:trPr>
          <w:trHeight w:val="315"/>
        </w:trPr>
        <w:tc>
          <w:tcPr>
            <w:tcW w:w="1751" w:type="dxa"/>
            <w:tcBorders>
              <w:top w:val="single" w:sz="4" w:space="0" w:color="auto"/>
              <w:bottom w:val="nil"/>
            </w:tcBorders>
            <w:shd w:val="clear" w:color="000000" w:fill="FFFFFF"/>
            <w:noWrap/>
            <w:vAlign w:val="center"/>
          </w:tcPr>
          <w:p w14:paraId="518FF9FE" w14:textId="77777777" w:rsidR="00FB6B80" w:rsidRPr="0084045A" w:rsidDel="00EF2803" w:rsidRDefault="00FB6B80" w:rsidP="00333403">
            <w:pPr>
              <w:spacing w:after="0" w:line="240" w:lineRule="auto"/>
              <w:jc w:val="center"/>
              <w:rPr>
                <w:rFonts w:ascii="Arial" w:eastAsia="Times New Roman" w:hAnsi="Arial" w:cs="Arial"/>
                <w:b/>
                <w:bCs/>
                <w:noProof/>
                <w:color w:val="000000"/>
                <w:sz w:val="18"/>
                <w:szCs w:val="18"/>
                <w:lang w:val="en-GB" w:eastAsia="es-MX"/>
              </w:rPr>
            </w:pPr>
          </w:p>
        </w:tc>
        <w:tc>
          <w:tcPr>
            <w:tcW w:w="7034" w:type="dxa"/>
            <w:gridSpan w:val="7"/>
            <w:tcBorders>
              <w:top w:val="single" w:sz="4" w:space="0" w:color="auto"/>
            </w:tcBorders>
            <w:shd w:val="clear" w:color="000000" w:fill="FFFFFF"/>
            <w:noWrap/>
            <w:vAlign w:val="center"/>
          </w:tcPr>
          <w:p w14:paraId="1B765E84"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Scenario</w:t>
            </w:r>
          </w:p>
        </w:tc>
      </w:tr>
      <w:tr w:rsidR="00FB6B80" w:rsidRPr="0084045A" w14:paraId="77446468" w14:textId="77777777" w:rsidTr="00333403">
        <w:trPr>
          <w:trHeight w:val="315"/>
        </w:trPr>
        <w:tc>
          <w:tcPr>
            <w:tcW w:w="1751" w:type="dxa"/>
            <w:tcBorders>
              <w:top w:val="nil"/>
            </w:tcBorders>
            <w:shd w:val="clear" w:color="000000" w:fill="FFFFFF"/>
            <w:noWrap/>
            <w:vAlign w:val="center"/>
            <w:hideMark/>
          </w:tcPr>
          <w:p w14:paraId="5F6D5484"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Season</w:t>
            </w:r>
          </w:p>
        </w:tc>
        <w:tc>
          <w:tcPr>
            <w:tcW w:w="1142" w:type="dxa"/>
            <w:shd w:val="clear" w:color="000000" w:fill="FFFFFF"/>
            <w:noWrap/>
            <w:vAlign w:val="center"/>
          </w:tcPr>
          <w:p w14:paraId="00503D8C"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0</w:t>
            </w:r>
          </w:p>
        </w:tc>
        <w:tc>
          <w:tcPr>
            <w:tcW w:w="1140" w:type="dxa"/>
            <w:shd w:val="clear" w:color="000000" w:fill="FFFFFF"/>
            <w:noWrap/>
            <w:vAlign w:val="center"/>
          </w:tcPr>
          <w:p w14:paraId="2155E56D"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1</w:t>
            </w:r>
          </w:p>
        </w:tc>
        <w:tc>
          <w:tcPr>
            <w:tcW w:w="782" w:type="dxa"/>
            <w:shd w:val="clear" w:color="000000" w:fill="FFFFFF"/>
            <w:noWrap/>
            <w:vAlign w:val="center"/>
          </w:tcPr>
          <w:p w14:paraId="774F3799"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w:t>
            </w:r>
          </w:p>
        </w:tc>
        <w:tc>
          <w:tcPr>
            <w:tcW w:w="992" w:type="dxa"/>
            <w:shd w:val="clear" w:color="000000" w:fill="FFFFFF"/>
            <w:noWrap/>
            <w:vAlign w:val="center"/>
          </w:tcPr>
          <w:p w14:paraId="3514EF3B"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4</w:t>
            </w:r>
          </w:p>
        </w:tc>
        <w:tc>
          <w:tcPr>
            <w:tcW w:w="799" w:type="dxa"/>
            <w:shd w:val="clear" w:color="000000" w:fill="FFFFFF"/>
            <w:noWrap/>
            <w:vAlign w:val="center"/>
          </w:tcPr>
          <w:p w14:paraId="7F2A6DA4"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5</w:t>
            </w:r>
          </w:p>
        </w:tc>
        <w:tc>
          <w:tcPr>
            <w:tcW w:w="902" w:type="dxa"/>
            <w:shd w:val="clear" w:color="000000" w:fill="FFFFFF"/>
            <w:noWrap/>
            <w:vAlign w:val="center"/>
          </w:tcPr>
          <w:p w14:paraId="19BD2A29"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6</w:t>
            </w:r>
          </w:p>
        </w:tc>
        <w:tc>
          <w:tcPr>
            <w:tcW w:w="1277" w:type="dxa"/>
            <w:shd w:val="clear" w:color="000000" w:fill="FFFFFF"/>
            <w:noWrap/>
            <w:vAlign w:val="center"/>
          </w:tcPr>
          <w:p w14:paraId="09072ADC"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Deaths</w:t>
            </w:r>
          </w:p>
          <w:p w14:paraId="7303E3BB" w14:textId="77777777" w:rsidR="00FB6B80" w:rsidRPr="0084045A" w:rsidRDefault="00FB6B80" w:rsidP="00333403">
            <w:pPr>
              <w:spacing w:after="0" w:line="240" w:lineRule="auto"/>
              <w:jc w:val="right"/>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(3 &amp; 7)</w:t>
            </w:r>
          </w:p>
        </w:tc>
      </w:tr>
      <w:tr w:rsidR="00FB6B80" w:rsidRPr="0084045A" w14:paraId="4B4CD515" w14:textId="77777777" w:rsidTr="00333403">
        <w:trPr>
          <w:trHeight w:val="315"/>
        </w:trPr>
        <w:tc>
          <w:tcPr>
            <w:tcW w:w="1751" w:type="dxa"/>
            <w:shd w:val="clear" w:color="auto" w:fill="auto"/>
            <w:noWrap/>
            <w:vAlign w:val="center"/>
            <w:hideMark/>
          </w:tcPr>
          <w:p w14:paraId="15CCE424" w14:textId="45AE4763"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2009</w:t>
            </w:r>
            <w:r w:rsidR="00F824A0"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2010</w:t>
            </w:r>
          </w:p>
        </w:tc>
        <w:tc>
          <w:tcPr>
            <w:tcW w:w="1142" w:type="dxa"/>
            <w:shd w:val="clear" w:color="000000" w:fill="FFFFFF"/>
            <w:noWrap/>
            <w:vAlign w:val="center"/>
            <w:hideMark/>
          </w:tcPr>
          <w:p w14:paraId="7059046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6,474,267</w:t>
            </w:r>
          </w:p>
        </w:tc>
        <w:tc>
          <w:tcPr>
            <w:tcW w:w="1140" w:type="dxa"/>
            <w:shd w:val="clear" w:color="000000" w:fill="FFFFFF"/>
            <w:noWrap/>
            <w:vAlign w:val="center"/>
            <w:hideMark/>
          </w:tcPr>
          <w:p w14:paraId="2209EC2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1,914,404</w:t>
            </w:r>
          </w:p>
        </w:tc>
        <w:tc>
          <w:tcPr>
            <w:tcW w:w="782" w:type="dxa"/>
            <w:shd w:val="clear" w:color="000000" w:fill="FFFFFF"/>
            <w:noWrap/>
            <w:vAlign w:val="center"/>
            <w:hideMark/>
          </w:tcPr>
          <w:p w14:paraId="71B4A798" w14:textId="49F579FB"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3241</w:t>
            </w:r>
          </w:p>
        </w:tc>
        <w:tc>
          <w:tcPr>
            <w:tcW w:w="992" w:type="dxa"/>
            <w:shd w:val="clear" w:color="000000" w:fill="FFFFFF"/>
            <w:noWrap/>
            <w:vAlign w:val="center"/>
            <w:hideMark/>
          </w:tcPr>
          <w:p w14:paraId="3A8E6AD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958,763</w:t>
            </w:r>
          </w:p>
        </w:tc>
        <w:tc>
          <w:tcPr>
            <w:tcW w:w="799" w:type="dxa"/>
            <w:shd w:val="clear" w:color="000000" w:fill="FFFFFF"/>
            <w:noWrap/>
            <w:vAlign w:val="center"/>
            <w:hideMark/>
          </w:tcPr>
          <w:p w14:paraId="04A6181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545,703</w:t>
            </w:r>
          </w:p>
        </w:tc>
        <w:tc>
          <w:tcPr>
            <w:tcW w:w="902" w:type="dxa"/>
            <w:shd w:val="clear" w:color="000000" w:fill="FFFFFF"/>
            <w:noWrap/>
            <w:vAlign w:val="center"/>
            <w:hideMark/>
          </w:tcPr>
          <w:p w14:paraId="72F81874"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224,635</w:t>
            </w:r>
          </w:p>
        </w:tc>
        <w:tc>
          <w:tcPr>
            <w:tcW w:w="1277" w:type="dxa"/>
            <w:shd w:val="clear" w:color="000000" w:fill="FFFFFF"/>
            <w:noWrap/>
            <w:vAlign w:val="center"/>
            <w:hideMark/>
          </w:tcPr>
          <w:p w14:paraId="32CF0703" w14:textId="0BE781D2"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 xml:space="preserve">182 </w:t>
            </w:r>
          </w:p>
        </w:tc>
      </w:tr>
      <w:tr w:rsidR="00FB6B80" w:rsidRPr="0084045A" w14:paraId="7E939130" w14:textId="77777777" w:rsidTr="00333403">
        <w:trPr>
          <w:trHeight w:val="315"/>
        </w:trPr>
        <w:tc>
          <w:tcPr>
            <w:tcW w:w="1751" w:type="dxa"/>
            <w:shd w:val="clear" w:color="auto" w:fill="auto"/>
            <w:noWrap/>
            <w:vAlign w:val="center"/>
            <w:hideMark/>
          </w:tcPr>
          <w:p w14:paraId="5D975C0C" w14:textId="4B6C1F65"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2010</w:t>
            </w:r>
            <w:r w:rsidR="00F824A0"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2011</w:t>
            </w:r>
          </w:p>
        </w:tc>
        <w:tc>
          <w:tcPr>
            <w:tcW w:w="1142" w:type="dxa"/>
            <w:shd w:val="clear" w:color="000000" w:fill="FFFFFF"/>
            <w:noWrap/>
            <w:vAlign w:val="center"/>
            <w:hideMark/>
          </w:tcPr>
          <w:p w14:paraId="12B314E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5,290,737</w:t>
            </w:r>
          </w:p>
        </w:tc>
        <w:tc>
          <w:tcPr>
            <w:tcW w:w="1140" w:type="dxa"/>
            <w:shd w:val="clear" w:color="000000" w:fill="FFFFFF"/>
            <w:noWrap/>
            <w:vAlign w:val="center"/>
            <w:hideMark/>
          </w:tcPr>
          <w:p w14:paraId="7B357B8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1,577,671</w:t>
            </w:r>
          </w:p>
        </w:tc>
        <w:tc>
          <w:tcPr>
            <w:tcW w:w="782" w:type="dxa"/>
            <w:shd w:val="clear" w:color="000000" w:fill="FFFFFF"/>
            <w:noWrap/>
            <w:vAlign w:val="center"/>
            <w:hideMark/>
          </w:tcPr>
          <w:p w14:paraId="4DD161FB" w14:textId="0DFD31D2"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2534</w:t>
            </w:r>
          </w:p>
        </w:tc>
        <w:tc>
          <w:tcPr>
            <w:tcW w:w="992" w:type="dxa"/>
            <w:shd w:val="clear" w:color="000000" w:fill="FFFFFF"/>
            <w:noWrap/>
            <w:vAlign w:val="center"/>
            <w:hideMark/>
          </w:tcPr>
          <w:p w14:paraId="74A8B5F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781,175</w:t>
            </w:r>
          </w:p>
        </w:tc>
        <w:tc>
          <w:tcPr>
            <w:tcW w:w="799" w:type="dxa"/>
            <w:shd w:val="clear" w:color="000000" w:fill="FFFFFF"/>
            <w:noWrap/>
            <w:vAlign w:val="center"/>
            <w:hideMark/>
          </w:tcPr>
          <w:p w14:paraId="0759D87E"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456,107</w:t>
            </w:r>
          </w:p>
        </w:tc>
        <w:tc>
          <w:tcPr>
            <w:tcW w:w="902" w:type="dxa"/>
            <w:shd w:val="clear" w:color="000000" w:fill="FFFFFF"/>
            <w:noWrap/>
            <w:vAlign w:val="center"/>
            <w:hideMark/>
          </w:tcPr>
          <w:p w14:paraId="1CD314B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181,233</w:t>
            </w:r>
          </w:p>
        </w:tc>
        <w:tc>
          <w:tcPr>
            <w:tcW w:w="1277" w:type="dxa"/>
            <w:shd w:val="clear" w:color="000000" w:fill="FFFFFF"/>
            <w:noWrap/>
            <w:vAlign w:val="center"/>
            <w:hideMark/>
          </w:tcPr>
          <w:p w14:paraId="68CF94FD" w14:textId="574C6426"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 xml:space="preserve">55 </w:t>
            </w:r>
          </w:p>
        </w:tc>
      </w:tr>
      <w:tr w:rsidR="00FB6B80" w:rsidRPr="0084045A" w14:paraId="588D2E8E" w14:textId="77777777" w:rsidTr="00333403">
        <w:trPr>
          <w:trHeight w:val="315"/>
        </w:trPr>
        <w:tc>
          <w:tcPr>
            <w:tcW w:w="1751" w:type="dxa"/>
            <w:shd w:val="clear" w:color="auto" w:fill="auto"/>
            <w:noWrap/>
            <w:vAlign w:val="center"/>
            <w:hideMark/>
          </w:tcPr>
          <w:p w14:paraId="7E35D220" w14:textId="28AAF034"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2011</w:t>
            </w:r>
            <w:r w:rsidR="00F824A0"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2012</w:t>
            </w:r>
          </w:p>
        </w:tc>
        <w:tc>
          <w:tcPr>
            <w:tcW w:w="1142" w:type="dxa"/>
            <w:shd w:val="clear" w:color="000000" w:fill="FFFFFF"/>
            <w:noWrap/>
            <w:vAlign w:val="center"/>
            <w:hideMark/>
          </w:tcPr>
          <w:p w14:paraId="71CB00D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2,320,830</w:t>
            </w:r>
          </w:p>
        </w:tc>
        <w:tc>
          <w:tcPr>
            <w:tcW w:w="1140" w:type="dxa"/>
            <w:shd w:val="clear" w:color="000000" w:fill="FFFFFF"/>
            <w:noWrap/>
            <w:vAlign w:val="center"/>
            <w:hideMark/>
          </w:tcPr>
          <w:p w14:paraId="13EC5BF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691,955</w:t>
            </w:r>
          </w:p>
        </w:tc>
        <w:tc>
          <w:tcPr>
            <w:tcW w:w="782" w:type="dxa"/>
            <w:shd w:val="clear" w:color="000000" w:fill="FFFFFF"/>
            <w:noWrap/>
            <w:vAlign w:val="center"/>
            <w:hideMark/>
          </w:tcPr>
          <w:p w14:paraId="6D9142E2" w14:textId="40CDD208"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1124</w:t>
            </w:r>
          </w:p>
        </w:tc>
        <w:tc>
          <w:tcPr>
            <w:tcW w:w="992" w:type="dxa"/>
            <w:shd w:val="clear" w:color="000000" w:fill="FFFFFF"/>
            <w:noWrap/>
            <w:vAlign w:val="center"/>
            <w:hideMark/>
          </w:tcPr>
          <w:p w14:paraId="78BFD9B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334,095</w:t>
            </w:r>
          </w:p>
        </w:tc>
        <w:tc>
          <w:tcPr>
            <w:tcW w:w="799" w:type="dxa"/>
            <w:shd w:val="clear" w:color="000000" w:fill="FFFFFF"/>
            <w:noWrap/>
            <w:vAlign w:val="center"/>
            <w:hideMark/>
          </w:tcPr>
          <w:p w14:paraId="731097B3"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192,201</w:t>
            </w:r>
          </w:p>
        </w:tc>
        <w:tc>
          <w:tcPr>
            <w:tcW w:w="902" w:type="dxa"/>
            <w:shd w:val="clear" w:color="000000" w:fill="FFFFFF"/>
            <w:noWrap/>
            <w:vAlign w:val="center"/>
            <w:hideMark/>
          </w:tcPr>
          <w:p w14:paraId="5E9893D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77,610</w:t>
            </w:r>
          </w:p>
        </w:tc>
        <w:tc>
          <w:tcPr>
            <w:tcW w:w="1277" w:type="dxa"/>
            <w:shd w:val="clear" w:color="000000" w:fill="FFFFFF"/>
            <w:noWrap/>
            <w:vAlign w:val="center"/>
            <w:hideMark/>
          </w:tcPr>
          <w:p w14:paraId="1E6D0CB5" w14:textId="32FF6043"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 xml:space="preserve">328 </w:t>
            </w:r>
          </w:p>
        </w:tc>
      </w:tr>
      <w:tr w:rsidR="00FB6B80" w:rsidRPr="0084045A" w14:paraId="2069EAF2" w14:textId="77777777" w:rsidTr="00333403">
        <w:trPr>
          <w:trHeight w:val="315"/>
        </w:trPr>
        <w:tc>
          <w:tcPr>
            <w:tcW w:w="1751" w:type="dxa"/>
            <w:shd w:val="clear" w:color="auto" w:fill="auto"/>
            <w:noWrap/>
            <w:vAlign w:val="center"/>
            <w:hideMark/>
          </w:tcPr>
          <w:p w14:paraId="3B3FDD45" w14:textId="0A1CBEA3"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2012</w:t>
            </w:r>
            <w:r w:rsidR="00F824A0"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2013</w:t>
            </w:r>
          </w:p>
        </w:tc>
        <w:tc>
          <w:tcPr>
            <w:tcW w:w="1142" w:type="dxa"/>
            <w:shd w:val="clear" w:color="000000" w:fill="FFFFFF"/>
            <w:noWrap/>
            <w:vAlign w:val="center"/>
            <w:hideMark/>
          </w:tcPr>
          <w:p w14:paraId="1C18782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8,135,812</w:t>
            </w:r>
          </w:p>
        </w:tc>
        <w:tc>
          <w:tcPr>
            <w:tcW w:w="1140" w:type="dxa"/>
            <w:shd w:val="clear" w:color="000000" w:fill="FFFFFF"/>
            <w:noWrap/>
            <w:vAlign w:val="center"/>
            <w:hideMark/>
          </w:tcPr>
          <w:p w14:paraId="71C76DE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2,419,624</w:t>
            </w:r>
          </w:p>
        </w:tc>
        <w:tc>
          <w:tcPr>
            <w:tcW w:w="782" w:type="dxa"/>
            <w:shd w:val="clear" w:color="000000" w:fill="FFFFFF"/>
            <w:noWrap/>
            <w:vAlign w:val="center"/>
            <w:hideMark/>
          </w:tcPr>
          <w:p w14:paraId="0AD1088C" w14:textId="0BCA33F5"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4087</w:t>
            </w:r>
          </w:p>
        </w:tc>
        <w:tc>
          <w:tcPr>
            <w:tcW w:w="992" w:type="dxa"/>
            <w:shd w:val="clear" w:color="000000" w:fill="FFFFFF"/>
            <w:noWrap/>
            <w:vAlign w:val="center"/>
            <w:hideMark/>
          </w:tcPr>
          <w:p w14:paraId="1041A89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1,238,101</w:t>
            </w:r>
          </w:p>
        </w:tc>
        <w:tc>
          <w:tcPr>
            <w:tcW w:w="799" w:type="dxa"/>
            <w:shd w:val="clear" w:color="000000" w:fill="FFFFFF"/>
            <w:noWrap/>
            <w:vAlign w:val="center"/>
            <w:hideMark/>
          </w:tcPr>
          <w:p w14:paraId="41EE935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704,024</w:t>
            </w:r>
          </w:p>
        </w:tc>
        <w:tc>
          <w:tcPr>
            <w:tcW w:w="902" w:type="dxa"/>
            <w:shd w:val="clear" w:color="000000" w:fill="FFFFFF"/>
            <w:noWrap/>
            <w:vAlign w:val="center"/>
            <w:hideMark/>
          </w:tcPr>
          <w:p w14:paraId="789801B7"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290,579</w:t>
            </w:r>
          </w:p>
        </w:tc>
        <w:tc>
          <w:tcPr>
            <w:tcW w:w="1277" w:type="dxa"/>
            <w:shd w:val="clear" w:color="000000" w:fill="FFFFFF"/>
            <w:noWrap/>
            <w:vAlign w:val="center"/>
            <w:hideMark/>
          </w:tcPr>
          <w:p w14:paraId="7A86CCC0" w14:textId="6737EF14"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 xml:space="preserve">79 </w:t>
            </w:r>
          </w:p>
        </w:tc>
      </w:tr>
      <w:tr w:rsidR="00FB6B80" w:rsidRPr="0084045A" w14:paraId="10418AA6" w14:textId="77777777" w:rsidTr="00333403">
        <w:trPr>
          <w:trHeight w:val="315"/>
        </w:trPr>
        <w:tc>
          <w:tcPr>
            <w:tcW w:w="1751" w:type="dxa"/>
            <w:shd w:val="clear" w:color="auto" w:fill="auto"/>
            <w:noWrap/>
            <w:vAlign w:val="center"/>
            <w:hideMark/>
          </w:tcPr>
          <w:p w14:paraId="1A670FDF" w14:textId="67DBD17E"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2013</w:t>
            </w:r>
            <w:r w:rsidR="00F824A0"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2014</w:t>
            </w:r>
          </w:p>
        </w:tc>
        <w:tc>
          <w:tcPr>
            <w:tcW w:w="1142" w:type="dxa"/>
            <w:shd w:val="clear" w:color="000000" w:fill="FFFFFF"/>
            <w:noWrap/>
            <w:vAlign w:val="center"/>
            <w:hideMark/>
          </w:tcPr>
          <w:p w14:paraId="7ED89C33"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7,319,868</w:t>
            </w:r>
          </w:p>
        </w:tc>
        <w:tc>
          <w:tcPr>
            <w:tcW w:w="1140" w:type="dxa"/>
            <w:shd w:val="clear" w:color="000000" w:fill="FFFFFF"/>
            <w:noWrap/>
            <w:vAlign w:val="center"/>
            <w:hideMark/>
          </w:tcPr>
          <w:p w14:paraId="56ED479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2,121,004</w:t>
            </w:r>
          </w:p>
        </w:tc>
        <w:tc>
          <w:tcPr>
            <w:tcW w:w="782" w:type="dxa"/>
            <w:shd w:val="clear" w:color="000000" w:fill="FFFFFF"/>
            <w:noWrap/>
            <w:vAlign w:val="center"/>
            <w:hideMark/>
          </w:tcPr>
          <w:p w14:paraId="67E03775" w14:textId="7700B8F2"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3762</w:t>
            </w:r>
          </w:p>
        </w:tc>
        <w:tc>
          <w:tcPr>
            <w:tcW w:w="992" w:type="dxa"/>
            <w:shd w:val="clear" w:color="000000" w:fill="FFFFFF"/>
            <w:noWrap/>
            <w:vAlign w:val="center"/>
            <w:hideMark/>
          </w:tcPr>
          <w:p w14:paraId="1FBC67E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1,004,169</w:t>
            </w:r>
          </w:p>
        </w:tc>
        <w:tc>
          <w:tcPr>
            <w:tcW w:w="799" w:type="dxa"/>
            <w:shd w:val="clear" w:color="000000" w:fill="FFFFFF"/>
            <w:noWrap/>
            <w:vAlign w:val="center"/>
            <w:hideMark/>
          </w:tcPr>
          <w:p w14:paraId="19EB186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559,955</w:t>
            </w:r>
          </w:p>
        </w:tc>
        <w:tc>
          <w:tcPr>
            <w:tcW w:w="902" w:type="dxa"/>
            <w:shd w:val="clear" w:color="000000" w:fill="FFFFFF"/>
            <w:noWrap/>
            <w:vAlign w:val="center"/>
            <w:hideMark/>
          </w:tcPr>
          <w:p w14:paraId="6B14218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233,473</w:t>
            </w:r>
          </w:p>
        </w:tc>
        <w:tc>
          <w:tcPr>
            <w:tcW w:w="1277" w:type="dxa"/>
            <w:shd w:val="clear" w:color="000000" w:fill="FFFFFF"/>
            <w:noWrap/>
            <w:vAlign w:val="center"/>
            <w:hideMark/>
          </w:tcPr>
          <w:p w14:paraId="7E57FAE8" w14:textId="07EE0550"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 xml:space="preserve">1091 </w:t>
            </w:r>
          </w:p>
        </w:tc>
      </w:tr>
      <w:tr w:rsidR="00FB6B80" w:rsidRPr="0084045A" w14:paraId="768721E7" w14:textId="77777777" w:rsidTr="00333403">
        <w:trPr>
          <w:trHeight w:val="315"/>
        </w:trPr>
        <w:tc>
          <w:tcPr>
            <w:tcW w:w="1751" w:type="dxa"/>
            <w:shd w:val="clear" w:color="auto" w:fill="auto"/>
            <w:noWrap/>
            <w:vAlign w:val="center"/>
            <w:hideMark/>
          </w:tcPr>
          <w:p w14:paraId="3D70B93A" w14:textId="514E7AF2"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2014</w:t>
            </w:r>
            <w:r w:rsidR="00F824A0"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2015</w:t>
            </w:r>
          </w:p>
        </w:tc>
        <w:tc>
          <w:tcPr>
            <w:tcW w:w="1142" w:type="dxa"/>
            <w:shd w:val="clear" w:color="000000" w:fill="FFFFFF"/>
            <w:noWrap/>
            <w:vAlign w:val="center"/>
            <w:hideMark/>
          </w:tcPr>
          <w:p w14:paraId="287EC56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7,172,402</w:t>
            </w:r>
          </w:p>
        </w:tc>
        <w:tc>
          <w:tcPr>
            <w:tcW w:w="1140" w:type="dxa"/>
            <w:shd w:val="clear" w:color="000000" w:fill="FFFFFF"/>
            <w:noWrap/>
            <w:vAlign w:val="center"/>
            <w:hideMark/>
          </w:tcPr>
          <w:p w14:paraId="2266F5E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2,136,792</w:t>
            </w:r>
          </w:p>
        </w:tc>
        <w:tc>
          <w:tcPr>
            <w:tcW w:w="782" w:type="dxa"/>
            <w:shd w:val="clear" w:color="000000" w:fill="FFFFFF"/>
            <w:noWrap/>
            <w:vAlign w:val="center"/>
            <w:hideMark/>
          </w:tcPr>
          <w:p w14:paraId="62F371D5" w14:textId="4ACF682F"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3666</w:t>
            </w:r>
          </w:p>
        </w:tc>
        <w:tc>
          <w:tcPr>
            <w:tcW w:w="992" w:type="dxa"/>
            <w:shd w:val="clear" w:color="000000" w:fill="FFFFFF"/>
            <w:noWrap/>
            <w:vAlign w:val="center"/>
            <w:hideMark/>
          </w:tcPr>
          <w:p w14:paraId="3062E1F4"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1,146,200</w:t>
            </w:r>
          </w:p>
        </w:tc>
        <w:tc>
          <w:tcPr>
            <w:tcW w:w="799" w:type="dxa"/>
            <w:shd w:val="clear" w:color="000000" w:fill="FFFFFF"/>
            <w:noWrap/>
            <w:vAlign w:val="center"/>
            <w:hideMark/>
          </w:tcPr>
          <w:p w14:paraId="5C8324DB"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647,845</w:t>
            </w:r>
          </w:p>
        </w:tc>
        <w:tc>
          <w:tcPr>
            <w:tcW w:w="902" w:type="dxa"/>
            <w:shd w:val="clear" w:color="000000" w:fill="FFFFFF"/>
            <w:noWrap/>
            <w:vAlign w:val="center"/>
            <w:hideMark/>
          </w:tcPr>
          <w:p w14:paraId="2E29CFE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271,898</w:t>
            </w:r>
          </w:p>
        </w:tc>
        <w:tc>
          <w:tcPr>
            <w:tcW w:w="1277" w:type="dxa"/>
            <w:shd w:val="clear" w:color="000000" w:fill="FFFFFF"/>
            <w:noWrap/>
            <w:vAlign w:val="center"/>
            <w:hideMark/>
          </w:tcPr>
          <w:p w14:paraId="1518E147" w14:textId="11DCBDDA"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 xml:space="preserve">154 </w:t>
            </w:r>
          </w:p>
        </w:tc>
      </w:tr>
      <w:tr w:rsidR="00FB6B80" w:rsidRPr="0084045A" w14:paraId="4783EE13" w14:textId="77777777" w:rsidTr="00333403">
        <w:trPr>
          <w:trHeight w:val="315"/>
        </w:trPr>
        <w:tc>
          <w:tcPr>
            <w:tcW w:w="1751" w:type="dxa"/>
            <w:shd w:val="clear" w:color="auto" w:fill="auto"/>
            <w:noWrap/>
            <w:vAlign w:val="center"/>
            <w:hideMark/>
          </w:tcPr>
          <w:p w14:paraId="392C9534" w14:textId="5C6C0173"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2015</w:t>
            </w:r>
            <w:r w:rsidR="00F824A0"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2016</w:t>
            </w:r>
          </w:p>
        </w:tc>
        <w:tc>
          <w:tcPr>
            <w:tcW w:w="1142" w:type="dxa"/>
            <w:shd w:val="clear" w:color="000000" w:fill="FFFFFF"/>
            <w:noWrap/>
            <w:vAlign w:val="center"/>
            <w:hideMark/>
          </w:tcPr>
          <w:p w14:paraId="7E64B02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6,418,879</w:t>
            </w:r>
          </w:p>
        </w:tc>
        <w:tc>
          <w:tcPr>
            <w:tcW w:w="1140" w:type="dxa"/>
            <w:shd w:val="clear" w:color="000000" w:fill="FFFFFF"/>
            <w:noWrap/>
            <w:vAlign w:val="center"/>
            <w:hideMark/>
          </w:tcPr>
          <w:p w14:paraId="77C68DD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1,866,334</w:t>
            </w:r>
          </w:p>
        </w:tc>
        <w:tc>
          <w:tcPr>
            <w:tcW w:w="782" w:type="dxa"/>
            <w:shd w:val="clear" w:color="000000" w:fill="FFFFFF"/>
            <w:noWrap/>
            <w:vAlign w:val="center"/>
            <w:hideMark/>
          </w:tcPr>
          <w:p w14:paraId="173CBB57" w14:textId="36808DE4"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3216</w:t>
            </w:r>
          </w:p>
        </w:tc>
        <w:tc>
          <w:tcPr>
            <w:tcW w:w="992" w:type="dxa"/>
            <w:shd w:val="clear" w:color="000000" w:fill="FFFFFF"/>
            <w:noWrap/>
            <w:vAlign w:val="center"/>
            <w:hideMark/>
          </w:tcPr>
          <w:p w14:paraId="0FEBB5AD"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886,219</w:t>
            </w:r>
          </w:p>
        </w:tc>
        <w:tc>
          <w:tcPr>
            <w:tcW w:w="799" w:type="dxa"/>
            <w:shd w:val="clear" w:color="000000" w:fill="FFFFFF"/>
            <w:noWrap/>
            <w:vAlign w:val="center"/>
            <w:hideMark/>
          </w:tcPr>
          <w:p w14:paraId="60A562BF"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499,519</w:t>
            </w:r>
          </w:p>
        </w:tc>
        <w:tc>
          <w:tcPr>
            <w:tcW w:w="902" w:type="dxa"/>
            <w:shd w:val="clear" w:color="000000" w:fill="FFFFFF"/>
            <w:noWrap/>
            <w:vAlign w:val="center"/>
            <w:hideMark/>
          </w:tcPr>
          <w:p w14:paraId="43CA1C5E"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206,848</w:t>
            </w:r>
          </w:p>
        </w:tc>
        <w:tc>
          <w:tcPr>
            <w:tcW w:w="1277" w:type="dxa"/>
            <w:shd w:val="clear" w:color="000000" w:fill="FFFFFF"/>
            <w:noWrap/>
            <w:vAlign w:val="center"/>
            <w:hideMark/>
          </w:tcPr>
          <w:p w14:paraId="3BAF19F7" w14:textId="7CD039FE"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 xml:space="preserve">865 </w:t>
            </w:r>
          </w:p>
        </w:tc>
      </w:tr>
      <w:tr w:rsidR="00FB6B80" w:rsidRPr="0084045A" w14:paraId="541AF355" w14:textId="77777777" w:rsidTr="00333403">
        <w:trPr>
          <w:trHeight w:val="315"/>
        </w:trPr>
        <w:tc>
          <w:tcPr>
            <w:tcW w:w="1751" w:type="dxa"/>
            <w:shd w:val="clear" w:color="auto" w:fill="auto"/>
            <w:noWrap/>
            <w:vAlign w:val="center"/>
            <w:hideMark/>
          </w:tcPr>
          <w:p w14:paraId="2B512479" w14:textId="5B4DC121"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2016</w:t>
            </w:r>
            <w:r w:rsidR="00F824A0"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2017</w:t>
            </w:r>
          </w:p>
        </w:tc>
        <w:tc>
          <w:tcPr>
            <w:tcW w:w="1142" w:type="dxa"/>
            <w:shd w:val="clear" w:color="000000" w:fill="FFFFFF"/>
            <w:noWrap/>
            <w:vAlign w:val="center"/>
            <w:hideMark/>
          </w:tcPr>
          <w:p w14:paraId="62F0FA1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7,014,713</w:t>
            </w:r>
          </w:p>
        </w:tc>
        <w:tc>
          <w:tcPr>
            <w:tcW w:w="1140" w:type="dxa"/>
            <w:shd w:val="clear" w:color="000000" w:fill="FFFFFF"/>
            <w:noWrap/>
            <w:vAlign w:val="center"/>
            <w:hideMark/>
          </w:tcPr>
          <w:p w14:paraId="51B63C4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2,052,371</w:t>
            </w:r>
          </w:p>
        </w:tc>
        <w:tc>
          <w:tcPr>
            <w:tcW w:w="782" w:type="dxa"/>
            <w:shd w:val="clear" w:color="000000" w:fill="FFFFFF"/>
            <w:noWrap/>
            <w:vAlign w:val="center"/>
            <w:hideMark/>
          </w:tcPr>
          <w:p w14:paraId="57339BC1" w14:textId="50F6F291"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3700</w:t>
            </w:r>
          </w:p>
        </w:tc>
        <w:tc>
          <w:tcPr>
            <w:tcW w:w="992" w:type="dxa"/>
            <w:shd w:val="clear" w:color="000000" w:fill="FFFFFF"/>
            <w:noWrap/>
            <w:vAlign w:val="center"/>
            <w:hideMark/>
          </w:tcPr>
          <w:p w14:paraId="71EB0FC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1,089,272</w:t>
            </w:r>
          </w:p>
        </w:tc>
        <w:tc>
          <w:tcPr>
            <w:tcW w:w="799" w:type="dxa"/>
            <w:shd w:val="clear" w:color="000000" w:fill="FFFFFF"/>
            <w:noWrap/>
            <w:vAlign w:val="center"/>
            <w:hideMark/>
          </w:tcPr>
          <w:p w14:paraId="61C94F3C"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600,812</w:t>
            </w:r>
          </w:p>
        </w:tc>
        <w:tc>
          <w:tcPr>
            <w:tcW w:w="902" w:type="dxa"/>
            <w:shd w:val="clear" w:color="000000" w:fill="FFFFFF"/>
            <w:noWrap/>
            <w:vAlign w:val="center"/>
            <w:hideMark/>
          </w:tcPr>
          <w:p w14:paraId="02F19A13"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261,095</w:t>
            </w:r>
          </w:p>
        </w:tc>
        <w:tc>
          <w:tcPr>
            <w:tcW w:w="1277" w:type="dxa"/>
            <w:shd w:val="clear" w:color="000000" w:fill="FFFFFF"/>
            <w:noWrap/>
            <w:vAlign w:val="center"/>
            <w:hideMark/>
          </w:tcPr>
          <w:p w14:paraId="09B08640" w14:textId="2CC48DE0"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 xml:space="preserve">652 </w:t>
            </w:r>
          </w:p>
        </w:tc>
      </w:tr>
      <w:tr w:rsidR="00FB6B80" w:rsidRPr="0084045A" w14:paraId="43410E9C" w14:textId="77777777" w:rsidTr="00333403">
        <w:trPr>
          <w:trHeight w:val="315"/>
        </w:trPr>
        <w:tc>
          <w:tcPr>
            <w:tcW w:w="1751" w:type="dxa"/>
            <w:shd w:val="clear" w:color="auto" w:fill="auto"/>
            <w:noWrap/>
            <w:vAlign w:val="center"/>
            <w:hideMark/>
          </w:tcPr>
          <w:p w14:paraId="28F5E98D" w14:textId="0B83A51E"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2017</w:t>
            </w:r>
            <w:r w:rsidR="00F824A0" w:rsidRPr="0084045A">
              <w:rPr>
                <w:rFonts w:ascii="Arial" w:eastAsia="Times New Roman" w:hAnsi="Arial" w:cs="Arial"/>
                <w:b/>
                <w:bCs/>
                <w:noProof/>
                <w:color w:val="000000"/>
                <w:sz w:val="18"/>
                <w:szCs w:val="18"/>
                <w:lang w:val="en-GB" w:eastAsia="es-MX"/>
              </w:rPr>
              <w:t>–</w:t>
            </w:r>
            <w:r w:rsidRPr="0084045A">
              <w:rPr>
                <w:rFonts w:ascii="Arial" w:eastAsia="Times New Roman" w:hAnsi="Arial" w:cs="Arial"/>
                <w:b/>
                <w:bCs/>
                <w:noProof/>
                <w:color w:val="000000"/>
                <w:sz w:val="18"/>
                <w:szCs w:val="18"/>
                <w:lang w:val="en-GB" w:eastAsia="es-MX"/>
              </w:rPr>
              <w:t>2018</w:t>
            </w:r>
          </w:p>
        </w:tc>
        <w:tc>
          <w:tcPr>
            <w:tcW w:w="1142" w:type="dxa"/>
            <w:shd w:val="clear" w:color="000000" w:fill="FFFFFF"/>
            <w:noWrap/>
            <w:vAlign w:val="center"/>
            <w:hideMark/>
          </w:tcPr>
          <w:p w14:paraId="7D0D7D1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11,186,789</w:t>
            </w:r>
          </w:p>
        </w:tc>
        <w:tc>
          <w:tcPr>
            <w:tcW w:w="1140" w:type="dxa"/>
            <w:shd w:val="clear" w:color="000000" w:fill="FFFFFF"/>
            <w:noWrap/>
            <w:vAlign w:val="center"/>
            <w:hideMark/>
          </w:tcPr>
          <w:p w14:paraId="0983F3E2"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3,240,140</w:t>
            </w:r>
          </w:p>
        </w:tc>
        <w:tc>
          <w:tcPr>
            <w:tcW w:w="782" w:type="dxa"/>
            <w:shd w:val="clear" w:color="000000" w:fill="FFFFFF"/>
            <w:noWrap/>
            <w:vAlign w:val="center"/>
            <w:hideMark/>
          </w:tcPr>
          <w:p w14:paraId="262FDE93" w14:textId="54622219"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6229</w:t>
            </w:r>
          </w:p>
        </w:tc>
        <w:tc>
          <w:tcPr>
            <w:tcW w:w="992" w:type="dxa"/>
            <w:shd w:val="clear" w:color="000000" w:fill="FFFFFF"/>
            <w:noWrap/>
            <w:vAlign w:val="center"/>
            <w:hideMark/>
          </w:tcPr>
          <w:p w14:paraId="157A6D1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1,805,526</w:t>
            </w:r>
          </w:p>
        </w:tc>
        <w:tc>
          <w:tcPr>
            <w:tcW w:w="799" w:type="dxa"/>
            <w:shd w:val="clear" w:color="000000" w:fill="FFFFFF"/>
            <w:noWrap/>
            <w:vAlign w:val="center"/>
            <w:hideMark/>
          </w:tcPr>
          <w:p w14:paraId="14B7F455"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978,593</w:t>
            </w:r>
          </w:p>
        </w:tc>
        <w:tc>
          <w:tcPr>
            <w:tcW w:w="902" w:type="dxa"/>
            <w:shd w:val="clear" w:color="000000" w:fill="FFFFFF"/>
            <w:noWrap/>
            <w:vAlign w:val="center"/>
            <w:hideMark/>
          </w:tcPr>
          <w:p w14:paraId="702526B6"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435,154</w:t>
            </w:r>
          </w:p>
        </w:tc>
        <w:tc>
          <w:tcPr>
            <w:tcW w:w="1277" w:type="dxa"/>
            <w:shd w:val="clear" w:color="000000" w:fill="FFFFFF"/>
            <w:noWrap/>
            <w:vAlign w:val="center"/>
            <w:hideMark/>
          </w:tcPr>
          <w:p w14:paraId="5C4AF90B" w14:textId="53C30DBF"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 xml:space="preserve">292 </w:t>
            </w:r>
          </w:p>
        </w:tc>
      </w:tr>
      <w:tr w:rsidR="00FB6B80" w:rsidRPr="0084045A" w14:paraId="1141B4CA" w14:textId="77777777" w:rsidTr="00333403">
        <w:trPr>
          <w:trHeight w:val="315"/>
        </w:trPr>
        <w:tc>
          <w:tcPr>
            <w:tcW w:w="1751" w:type="dxa"/>
            <w:shd w:val="clear" w:color="auto" w:fill="auto"/>
            <w:noWrap/>
            <w:vAlign w:val="center"/>
            <w:hideMark/>
          </w:tcPr>
          <w:p w14:paraId="31DA5AED"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 xml:space="preserve">Average </w:t>
            </w:r>
            <w:r w:rsidRPr="00F3514D">
              <w:rPr>
                <w:rFonts w:ascii="Arial" w:eastAsia="Times New Roman" w:hAnsi="Arial" w:cs="Arial"/>
                <w:b/>
                <w:bCs/>
                <w:noProof/>
                <w:color w:val="000000"/>
                <w:sz w:val="18"/>
                <w:szCs w:val="18"/>
                <w:lang w:val="en-GB" w:eastAsia="es-MX"/>
              </w:rPr>
              <w:t>(typical season)</w:t>
            </w:r>
          </w:p>
        </w:tc>
        <w:tc>
          <w:tcPr>
            <w:tcW w:w="1142" w:type="dxa"/>
            <w:shd w:val="clear" w:color="000000" w:fill="FFFFFF"/>
            <w:noWrap/>
            <w:vAlign w:val="center"/>
            <w:hideMark/>
          </w:tcPr>
          <w:p w14:paraId="20DF114A"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7,121,978</w:t>
            </w:r>
          </w:p>
        </w:tc>
        <w:tc>
          <w:tcPr>
            <w:tcW w:w="1140" w:type="dxa"/>
            <w:shd w:val="clear" w:color="000000" w:fill="FFFFFF"/>
            <w:noWrap/>
            <w:vAlign w:val="center"/>
            <w:hideMark/>
          </w:tcPr>
          <w:p w14:paraId="28A6F989"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2,081,201</w:t>
            </w:r>
          </w:p>
        </w:tc>
        <w:tc>
          <w:tcPr>
            <w:tcW w:w="782" w:type="dxa"/>
            <w:shd w:val="clear" w:color="000000" w:fill="FFFFFF"/>
            <w:noWrap/>
            <w:vAlign w:val="center"/>
            <w:hideMark/>
          </w:tcPr>
          <w:p w14:paraId="28BFB258" w14:textId="7CF32B1B"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3766</w:t>
            </w:r>
          </w:p>
        </w:tc>
        <w:tc>
          <w:tcPr>
            <w:tcW w:w="992" w:type="dxa"/>
            <w:shd w:val="clear" w:color="000000" w:fill="FFFFFF"/>
            <w:noWrap/>
            <w:vAlign w:val="center"/>
            <w:hideMark/>
          </w:tcPr>
          <w:p w14:paraId="5D29AEF0"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1,093,507</w:t>
            </w:r>
          </w:p>
        </w:tc>
        <w:tc>
          <w:tcPr>
            <w:tcW w:w="799" w:type="dxa"/>
            <w:shd w:val="clear" w:color="000000" w:fill="FFFFFF"/>
            <w:noWrap/>
            <w:vAlign w:val="center"/>
            <w:hideMark/>
          </w:tcPr>
          <w:p w14:paraId="23290648"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605,286</w:t>
            </w:r>
          </w:p>
        </w:tc>
        <w:tc>
          <w:tcPr>
            <w:tcW w:w="902" w:type="dxa"/>
            <w:shd w:val="clear" w:color="000000" w:fill="FFFFFF"/>
            <w:noWrap/>
            <w:vAlign w:val="center"/>
            <w:hideMark/>
          </w:tcPr>
          <w:p w14:paraId="77E2AA81" w14:textId="77777777"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259,928</w:t>
            </w:r>
          </w:p>
        </w:tc>
        <w:tc>
          <w:tcPr>
            <w:tcW w:w="1277" w:type="dxa"/>
            <w:shd w:val="clear" w:color="000000" w:fill="FFFFFF"/>
            <w:noWrap/>
            <w:vAlign w:val="center"/>
            <w:hideMark/>
          </w:tcPr>
          <w:p w14:paraId="4DB41976" w14:textId="17C99908" w:rsidR="00FB6B80" w:rsidRPr="0084045A" w:rsidRDefault="00FB6B80" w:rsidP="00333403">
            <w:pPr>
              <w:spacing w:after="0" w:line="240" w:lineRule="auto"/>
              <w:jc w:val="right"/>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 xml:space="preserve">414 </w:t>
            </w:r>
          </w:p>
        </w:tc>
      </w:tr>
    </w:tbl>
    <w:p w14:paraId="20C15298" w14:textId="77777777" w:rsidR="00FB6B80" w:rsidRPr="0084045A" w:rsidRDefault="00FB6B80" w:rsidP="00FB6B80">
      <w:pPr>
        <w:spacing w:after="0" w:line="240" w:lineRule="auto"/>
        <w:rPr>
          <w:rFonts w:cstheme="minorHAnsi"/>
          <w:b/>
          <w:noProof/>
          <w:color w:val="000000" w:themeColor="text1"/>
          <w:sz w:val="20"/>
          <w:szCs w:val="20"/>
          <w:lang w:val="en-GB"/>
        </w:rPr>
      </w:pPr>
    </w:p>
    <w:p w14:paraId="338A6750" w14:textId="77777777" w:rsidR="00FB6B80" w:rsidRPr="0084045A" w:rsidRDefault="00FB6B80" w:rsidP="00FB6B80">
      <w:pPr>
        <w:spacing w:after="0" w:line="240" w:lineRule="auto"/>
        <w:jc w:val="both"/>
        <w:rPr>
          <w:rFonts w:cstheme="minorHAnsi"/>
          <w:noProof/>
          <w:color w:val="000000" w:themeColor="text1"/>
          <w:lang w:val="en-GB"/>
        </w:rPr>
      </w:pPr>
    </w:p>
    <w:p w14:paraId="35C72594" w14:textId="77777777" w:rsidR="00091A14" w:rsidRPr="0084045A" w:rsidRDefault="00091A14">
      <w:pPr>
        <w:rPr>
          <w:rFonts w:ascii="Arial" w:hAnsi="Arial" w:cs="Arial"/>
          <w:b/>
          <w:i/>
          <w:iCs/>
          <w:noProof/>
          <w:color w:val="000000" w:themeColor="text1"/>
          <w:lang w:val="en-GB"/>
        </w:rPr>
      </w:pPr>
      <w:r w:rsidRPr="0084045A">
        <w:rPr>
          <w:rFonts w:ascii="Arial" w:hAnsi="Arial" w:cs="Arial"/>
          <w:b/>
          <w:i/>
          <w:iCs/>
          <w:noProof/>
          <w:color w:val="000000" w:themeColor="text1"/>
          <w:lang w:val="en-GB"/>
        </w:rPr>
        <w:br w:type="page"/>
      </w:r>
    </w:p>
    <w:p w14:paraId="5FAA3696" w14:textId="568E8D14" w:rsidR="00FB6B80" w:rsidRPr="0084045A" w:rsidRDefault="00FB6B80" w:rsidP="0026691C">
      <w:pPr>
        <w:pStyle w:val="Ttulo2"/>
        <w:rPr>
          <w:rFonts w:cstheme="minorHAnsi"/>
          <w:noProof/>
          <w:lang w:val="en-GB"/>
        </w:rPr>
      </w:pPr>
      <w:r w:rsidRPr="0084045A">
        <w:rPr>
          <w:noProof/>
          <w:lang w:val="en-GB"/>
        </w:rPr>
        <w:lastRenderedPageBreak/>
        <w:t>Table S2.9. Likelihood of occurrence of each scenario for a typical season</w:t>
      </w:r>
    </w:p>
    <w:p w14:paraId="1FFD001F" w14:textId="77777777" w:rsidR="00FB6B80" w:rsidRPr="0084045A" w:rsidRDefault="00FB6B80" w:rsidP="00FB6B80">
      <w:pPr>
        <w:spacing w:after="0" w:line="240" w:lineRule="auto"/>
        <w:jc w:val="center"/>
        <w:rPr>
          <w:rFonts w:cstheme="minorHAnsi"/>
          <w:b/>
          <w:noProof/>
          <w:color w:val="000000" w:themeColor="text1"/>
          <w:lang w:val="en-GB"/>
        </w:rPr>
      </w:pPr>
    </w:p>
    <w:tbl>
      <w:tblPr>
        <w:tblW w:w="0" w:type="auto"/>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1611"/>
        <w:gridCol w:w="968"/>
        <w:gridCol w:w="992"/>
        <w:gridCol w:w="851"/>
        <w:gridCol w:w="992"/>
        <w:gridCol w:w="992"/>
        <w:gridCol w:w="993"/>
      </w:tblGrid>
      <w:tr w:rsidR="00FB6B80" w:rsidRPr="0084045A" w14:paraId="05E90EB0" w14:textId="77777777" w:rsidTr="00333403">
        <w:trPr>
          <w:trHeight w:val="300"/>
        </w:trPr>
        <w:tc>
          <w:tcPr>
            <w:tcW w:w="0" w:type="auto"/>
            <w:shd w:val="clear" w:color="auto" w:fill="auto"/>
            <w:noWrap/>
            <w:vAlign w:val="center"/>
            <w:hideMark/>
          </w:tcPr>
          <w:p w14:paraId="47FA60C1" w14:textId="69FB79AD" w:rsidR="00FB6B80" w:rsidRPr="0084045A" w:rsidRDefault="00FB6B80" w:rsidP="00333403">
            <w:pPr>
              <w:spacing w:after="0" w:line="240" w:lineRule="auto"/>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Age group</w:t>
            </w:r>
            <w:r w:rsidR="00451B07" w:rsidRPr="0084045A">
              <w:rPr>
                <w:rFonts w:ascii="Arial" w:eastAsia="Times New Roman" w:hAnsi="Arial" w:cs="Arial"/>
                <w:b/>
                <w:bCs/>
                <w:noProof/>
                <w:color w:val="000000"/>
                <w:sz w:val="18"/>
                <w:szCs w:val="18"/>
                <w:lang w:val="en-GB" w:eastAsia="es-MX"/>
              </w:rPr>
              <w:t>, years</w:t>
            </w:r>
          </w:p>
        </w:tc>
        <w:tc>
          <w:tcPr>
            <w:tcW w:w="968" w:type="dxa"/>
            <w:shd w:val="clear" w:color="auto" w:fill="auto"/>
            <w:noWrap/>
            <w:vAlign w:val="center"/>
            <w:hideMark/>
          </w:tcPr>
          <w:p w14:paraId="6B5EAE7E"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0</w:t>
            </w:r>
          </w:p>
        </w:tc>
        <w:tc>
          <w:tcPr>
            <w:tcW w:w="992" w:type="dxa"/>
            <w:shd w:val="clear" w:color="auto" w:fill="auto"/>
            <w:noWrap/>
            <w:vAlign w:val="center"/>
            <w:hideMark/>
          </w:tcPr>
          <w:p w14:paraId="2A590492"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1</w:t>
            </w:r>
          </w:p>
        </w:tc>
        <w:tc>
          <w:tcPr>
            <w:tcW w:w="851" w:type="dxa"/>
            <w:shd w:val="clear" w:color="auto" w:fill="auto"/>
            <w:noWrap/>
            <w:vAlign w:val="center"/>
            <w:hideMark/>
          </w:tcPr>
          <w:p w14:paraId="341124FD"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2</w:t>
            </w:r>
          </w:p>
        </w:tc>
        <w:tc>
          <w:tcPr>
            <w:tcW w:w="992" w:type="dxa"/>
            <w:shd w:val="clear" w:color="auto" w:fill="auto"/>
            <w:noWrap/>
            <w:vAlign w:val="center"/>
            <w:hideMark/>
          </w:tcPr>
          <w:p w14:paraId="10C4D07C"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4</w:t>
            </w:r>
          </w:p>
        </w:tc>
        <w:tc>
          <w:tcPr>
            <w:tcW w:w="992" w:type="dxa"/>
            <w:shd w:val="clear" w:color="auto" w:fill="auto"/>
            <w:noWrap/>
            <w:vAlign w:val="center"/>
            <w:hideMark/>
          </w:tcPr>
          <w:p w14:paraId="697EDEF7"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5</w:t>
            </w:r>
          </w:p>
        </w:tc>
        <w:tc>
          <w:tcPr>
            <w:tcW w:w="993" w:type="dxa"/>
            <w:shd w:val="clear" w:color="auto" w:fill="auto"/>
            <w:noWrap/>
            <w:vAlign w:val="center"/>
            <w:hideMark/>
          </w:tcPr>
          <w:p w14:paraId="433C933B" w14:textId="77777777" w:rsidR="00FB6B80" w:rsidRPr="0084045A" w:rsidRDefault="00FB6B80" w:rsidP="00333403">
            <w:pPr>
              <w:spacing w:after="0" w:line="240" w:lineRule="auto"/>
              <w:jc w:val="center"/>
              <w:rPr>
                <w:rFonts w:ascii="Arial" w:eastAsia="Times New Roman" w:hAnsi="Arial" w:cs="Arial"/>
                <w:b/>
                <w:bCs/>
                <w:noProof/>
                <w:color w:val="000000"/>
                <w:sz w:val="18"/>
                <w:szCs w:val="18"/>
                <w:lang w:val="en-GB" w:eastAsia="es-MX"/>
              </w:rPr>
            </w:pPr>
            <w:r w:rsidRPr="0084045A">
              <w:rPr>
                <w:rFonts w:ascii="Arial" w:eastAsia="Times New Roman" w:hAnsi="Arial" w:cs="Arial"/>
                <w:b/>
                <w:bCs/>
                <w:noProof/>
                <w:color w:val="000000"/>
                <w:sz w:val="18"/>
                <w:szCs w:val="18"/>
                <w:lang w:val="en-GB" w:eastAsia="es-MX"/>
              </w:rPr>
              <w:t>6</w:t>
            </w:r>
          </w:p>
        </w:tc>
      </w:tr>
      <w:tr w:rsidR="00FB6B80" w:rsidRPr="0084045A" w14:paraId="0E013254" w14:textId="77777777" w:rsidTr="00333403">
        <w:trPr>
          <w:trHeight w:hRule="exact" w:val="284"/>
        </w:trPr>
        <w:tc>
          <w:tcPr>
            <w:tcW w:w="0" w:type="auto"/>
            <w:shd w:val="clear" w:color="auto" w:fill="auto"/>
            <w:noWrap/>
            <w:vAlign w:val="center"/>
            <w:hideMark/>
          </w:tcPr>
          <w:p w14:paraId="58E517A7" w14:textId="2C0082E0"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&lt;1</w:t>
            </w:r>
          </w:p>
        </w:tc>
        <w:tc>
          <w:tcPr>
            <w:tcW w:w="968" w:type="dxa"/>
            <w:shd w:val="clear" w:color="auto" w:fill="auto"/>
            <w:noWrap/>
            <w:vAlign w:val="center"/>
            <w:hideMark/>
          </w:tcPr>
          <w:p w14:paraId="67C957D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53.09%</w:t>
            </w:r>
          </w:p>
        </w:tc>
        <w:tc>
          <w:tcPr>
            <w:tcW w:w="992" w:type="dxa"/>
            <w:shd w:val="clear" w:color="auto" w:fill="auto"/>
            <w:noWrap/>
            <w:vAlign w:val="center"/>
            <w:hideMark/>
          </w:tcPr>
          <w:p w14:paraId="323B4B0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10.98%</w:t>
            </w:r>
          </w:p>
        </w:tc>
        <w:tc>
          <w:tcPr>
            <w:tcW w:w="851" w:type="dxa"/>
            <w:shd w:val="clear" w:color="auto" w:fill="auto"/>
            <w:noWrap/>
            <w:vAlign w:val="center"/>
            <w:hideMark/>
          </w:tcPr>
          <w:p w14:paraId="27B99A9E"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0.08%</w:t>
            </w:r>
          </w:p>
        </w:tc>
        <w:tc>
          <w:tcPr>
            <w:tcW w:w="992" w:type="dxa"/>
            <w:shd w:val="clear" w:color="auto" w:fill="auto"/>
            <w:noWrap/>
            <w:vAlign w:val="center"/>
            <w:hideMark/>
          </w:tcPr>
          <w:p w14:paraId="166D61CA"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17.57%</w:t>
            </w:r>
          </w:p>
        </w:tc>
        <w:tc>
          <w:tcPr>
            <w:tcW w:w="992" w:type="dxa"/>
            <w:shd w:val="clear" w:color="auto" w:fill="auto"/>
            <w:noWrap/>
            <w:vAlign w:val="center"/>
            <w:hideMark/>
          </w:tcPr>
          <w:p w14:paraId="7D4D334F"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12.78%</w:t>
            </w:r>
          </w:p>
        </w:tc>
        <w:tc>
          <w:tcPr>
            <w:tcW w:w="993" w:type="dxa"/>
            <w:shd w:val="clear" w:color="auto" w:fill="auto"/>
            <w:noWrap/>
            <w:vAlign w:val="center"/>
            <w:hideMark/>
          </w:tcPr>
          <w:p w14:paraId="15B64EFE"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5.51%</w:t>
            </w:r>
          </w:p>
        </w:tc>
      </w:tr>
      <w:tr w:rsidR="00FB6B80" w:rsidRPr="0084045A" w14:paraId="1888B412" w14:textId="77777777" w:rsidTr="00333403">
        <w:trPr>
          <w:trHeight w:hRule="exact" w:val="284"/>
        </w:trPr>
        <w:tc>
          <w:tcPr>
            <w:tcW w:w="0" w:type="auto"/>
            <w:shd w:val="clear" w:color="auto" w:fill="auto"/>
            <w:noWrap/>
            <w:vAlign w:val="center"/>
            <w:hideMark/>
          </w:tcPr>
          <w:p w14:paraId="5EF48200" w14:textId="48EC23E3"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1–4</w:t>
            </w:r>
          </w:p>
        </w:tc>
        <w:tc>
          <w:tcPr>
            <w:tcW w:w="968" w:type="dxa"/>
            <w:shd w:val="clear" w:color="auto" w:fill="auto"/>
            <w:noWrap/>
            <w:vAlign w:val="center"/>
            <w:hideMark/>
          </w:tcPr>
          <w:p w14:paraId="652C30C2"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53.09%</w:t>
            </w:r>
          </w:p>
        </w:tc>
        <w:tc>
          <w:tcPr>
            <w:tcW w:w="992" w:type="dxa"/>
            <w:shd w:val="clear" w:color="auto" w:fill="auto"/>
            <w:noWrap/>
            <w:vAlign w:val="center"/>
            <w:hideMark/>
          </w:tcPr>
          <w:p w14:paraId="6B577EDB"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19.66%</w:t>
            </w:r>
          </w:p>
        </w:tc>
        <w:tc>
          <w:tcPr>
            <w:tcW w:w="851" w:type="dxa"/>
            <w:shd w:val="clear" w:color="auto" w:fill="auto"/>
            <w:noWrap/>
            <w:vAlign w:val="center"/>
            <w:hideMark/>
          </w:tcPr>
          <w:p w14:paraId="16AA857B"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0.01%</w:t>
            </w:r>
          </w:p>
        </w:tc>
        <w:tc>
          <w:tcPr>
            <w:tcW w:w="992" w:type="dxa"/>
            <w:shd w:val="clear" w:color="auto" w:fill="auto"/>
            <w:noWrap/>
            <w:vAlign w:val="center"/>
            <w:hideMark/>
          </w:tcPr>
          <w:p w14:paraId="26CF8525"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14.75%</w:t>
            </w:r>
          </w:p>
        </w:tc>
        <w:tc>
          <w:tcPr>
            <w:tcW w:w="992" w:type="dxa"/>
            <w:shd w:val="clear" w:color="auto" w:fill="auto"/>
            <w:noWrap/>
            <w:vAlign w:val="center"/>
            <w:hideMark/>
          </w:tcPr>
          <w:p w14:paraId="02339E88"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9.56%</w:t>
            </w:r>
          </w:p>
        </w:tc>
        <w:tc>
          <w:tcPr>
            <w:tcW w:w="993" w:type="dxa"/>
            <w:shd w:val="clear" w:color="auto" w:fill="auto"/>
            <w:noWrap/>
            <w:vAlign w:val="center"/>
            <w:hideMark/>
          </w:tcPr>
          <w:p w14:paraId="115582D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2.93%</w:t>
            </w:r>
          </w:p>
        </w:tc>
      </w:tr>
      <w:tr w:rsidR="00FB6B80" w:rsidRPr="0084045A" w14:paraId="05D68ED1" w14:textId="77777777" w:rsidTr="00333403">
        <w:trPr>
          <w:trHeight w:hRule="exact" w:val="284"/>
        </w:trPr>
        <w:tc>
          <w:tcPr>
            <w:tcW w:w="0" w:type="auto"/>
            <w:shd w:val="clear" w:color="auto" w:fill="auto"/>
            <w:noWrap/>
            <w:vAlign w:val="center"/>
            <w:hideMark/>
          </w:tcPr>
          <w:p w14:paraId="4F70D1BB" w14:textId="2271989B"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5–11</w:t>
            </w:r>
          </w:p>
        </w:tc>
        <w:tc>
          <w:tcPr>
            <w:tcW w:w="968" w:type="dxa"/>
            <w:shd w:val="clear" w:color="auto" w:fill="auto"/>
            <w:noWrap/>
            <w:vAlign w:val="center"/>
            <w:hideMark/>
          </w:tcPr>
          <w:p w14:paraId="362ADFCE"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68.14%</w:t>
            </w:r>
          </w:p>
        </w:tc>
        <w:tc>
          <w:tcPr>
            <w:tcW w:w="992" w:type="dxa"/>
            <w:shd w:val="clear" w:color="auto" w:fill="auto"/>
            <w:noWrap/>
            <w:vAlign w:val="center"/>
            <w:hideMark/>
          </w:tcPr>
          <w:p w14:paraId="25D8B8C1"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20.54%</w:t>
            </w:r>
          </w:p>
        </w:tc>
        <w:tc>
          <w:tcPr>
            <w:tcW w:w="851" w:type="dxa"/>
            <w:shd w:val="clear" w:color="auto" w:fill="auto"/>
            <w:noWrap/>
            <w:vAlign w:val="center"/>
            <w:hideMark/>
          </w:tcPr>
          <w:p w14:paraId="06349291"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0.01%</w:t>
            </w:r>
          </w:p>
        </w:tc>
        <w:tc>
          <w:tcPr>
            <w:tcW w:w="992" w:type="dxa"/>
            <w:shd w:val="clear" w:color="auto" w:fill="auto"/>
            <w:noWrap/>
            <w:vAlign w:val="center"/>
            <w:hideMark/>
          </w:tcPr>
          <w:p w14:paraId="29E77EF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5.87%</w:t>
            </w:r>
          </w:p>
        </w:tc>
        <w:tc>
          <w:tcPr>
            <w:tcW w:w="992" w:type="dxa"/>
            <w:shd w:val="clear" w:color="auto" w:fill="auto"/>
            <w:noWrap/>
            <w:vAlign w:val="center"/>
            <w:hideMark/>
          </w:tcPr>
          <w:p w14:paraId="30FED613"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4.29%</w:t>
            </w:r>
          </w:p>
        </w:tc>
        <w:tc>
          <w:tcPr>
            <w:tcW w:w="993" w:type="dxa"/>
            <w:shd w:val="clear" w:color="auto" w:fill="auto"/>
            <w:noWrap/>
            <w:vAlign w:val="center"/>
            <w:hideMark/>
          </w:tcPr>
          <w:p w14:paraId="3B67528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1.16%</w:t>
            </w:r>
          </w:p>
        </w:tc>
      </w:tr>
      <w:tr w:rsidR="00FB6B80" w:rsidRPr="0084045A" w14:paraId="5C384DDC" w14:textId="77777777" w:rsidTr="00333403">
        <w:trPr>
          <w:trHeight w:hRule="exact" w:val="284"/>
        </w:trPr>
        <w:tc>
          <w:tcPr>
            <w:tcW w:w="0" w:type="auto"/>
            <w:shd w:val="clear" w:color="auto" w:fill="auto"/>
            <w:noWrap/>
            <w:vAlign w:val="center"/>
            <w:hideMark/>
          </w:tcPr>
          <w:p w14:paraId="1331A61F" w14:textId="2223C444"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12–19</w:t>
            </w:r>
          </w:p>
        </w:tc>
        <w:tc>
          <w:tcPr>
            <w:tcW w:w="968" w:type="dxa"/>
            <w:shd w:val="clear" w:color="auto" w:fill="auto"/>
            <w:noWrap/>
            <w:vAlign w:val="center"/>
            <w:hideMark/>
          </w:tcPr>
          <w:p w14:paraId="72BE9D98"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68.17%</w:t>
            </w:r>
          </w:p>
        </w:tc>
        <w:tc>
          <w:tcPr>
            <w:tcW w:w="992" w:type="dxa"/>
            <w:shd w:val="clear" w:color="auto" w:fill="auto"/>
            <w:noWrap/>
            <w:vAlign w:val="center"/>
            <w:hideMark/>
          </w:tcPr>
          <w:p w14:paraId="15B0C21D"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21.63%</w:t>
            </w:r>
          </w:p>
        </w:tc>
        <w:tc>
          <w:tcPr>
            <w:tcW w:w="851" w:type="dxa"/>
            <w:shd w:val="clear" w:color="auto" w:fill="auto"/>
            <w:noWrap/>
            <w:vAlign w:val="center"/>
            <w:hideMark/>
          </w:tcPr>
          <w:p w14:paraId="3913899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0.02%</w:t>
            </w:r>
          </w:p>
        </w:tc>
        <w:tc>
          <w:tcPr>
            <w:tcW w:w="992" w:type="dxa"/>
            <w:shd w:val="clear" w:color="auto" w:fill="auto"/>
            <w:noWrap/>
            <w:vAlign w:val="center"/>
            <w:hideMark/>
          </w:tcPr>
          <w:p w14:paraId="3D92EC8E"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5.00%</w:t>
            </w:r>
          </w:p>
        </w:tc>
        <w:tc>
          <w:tcPr>
            <w:tcW w:w="992" w:type="dxa"/>
            <w:shd w:val="clear" w:color="auto" w:fill="auto"/>
            <w:noWrap/>
            <w:vAlign w:val="center"/>
            <w:hideMark/>
          </w:tcPr>
          <w:p w14:paraId="4889D6FB"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3.90%</w:t>
            </w:r>
          </w:p>
        </w:tc>
        <w:tc>
          <w:tcPr>
            <w:tcW w:w="993" w:type="dxa"/>
            <w:shd w:val="clear" w:color="auto" w:fill="auto"/>
            <w:noWrap/>
            <w:vAlign w:val="center"/>
            <w:hideMark/>
          </w:tcPr>
          <w:p w14:paraId="6B093B6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1.28%</w:t>
            </w:r>
          </w:p>
        </w:tc>
      </w:tr>
      <w:tr w:rsidR="00FB6B80" w:rsidRPr="0084045A" w14:paraId="0EB1DFC1" w14:textId="77777777" w:rsidTr="00333403">
        <w:trPr>
          <w:trHeight w:hRule="exact" w:val="284"/>
        </w:trPr>
        <w:tc>
          <w:tcPr>
            <w:tcW w:w="0" w:type="auto"/>
            <w:shd w:val="clear" w:color="auto" w:fill="auto"/>
            <w:noWrap/>
            <w:vAlign w:val="center"/>
            <w:hideMark/>
          </w:tcPr>
          <w:p w14:paraId="770FC55D" w14:textId="49D1B0B6"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20–24</w:t>
            </w:r>
          </w:p>
        </w:tc>
        <w:tc>
          <w:tcPr>
            <w:tcW w:w="968" w:type="dxa"/>
            <w:shd w:val="clear" w:color="auto" w:fill="auto"/>
            <w:noWrap/>
            <w:vAlign w:val="center"/>
            <w:hideMark/>
          </w:tcPr>
          <w:p w14:paraId="331375D3"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68.27%</w:t>
            </w:r>
          </w:p>
        </w:tc>
        <w:tc>
          <w:tcPr>
            <w:tcW w:w="992" w:type="dxa"/>
            <w:shd w:val="clear" w:color="auto" w:fill="auto"/>
            <w:noWrap/>
            <w:vAlign w:val="center"/>
            <w:hideMark/>
          </w:tcPr>
          <w:p w14:paraId="0C9BEF01"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21.50%</w:t>
            </w:r>
          </w:p>
        </w:tc>
        <w:tc>
          <w:tcPr>
            <w:tcW w:w="851" w:type="dxa"/>
            <w:shd w:val="clear" w:color="auto" w:fill="auto"/>
            <w:noWrap/>
            <w:vAlign w:val="center"/>
            <w:hideMark/>
          </w:tcPr>
          <w:p w14:paraId="552CBA8D"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0.04%</w:t>
            </w:r>
          </w:p>
        </w:tc>
        <w:tc>
          <w:tcPr>
            <w:tcW w:w="992" w:type="dxa"/>
            <w:shd w:val="clear" w:color="auto" w:fill="auto"/>
            <w:noWrap/>
            <w:vAlign w:val="center"/>
            <w:hideMark/>
          </w:tcPr>
          <w:p w14:paraId="2FFD8E1D"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5.73%</w:t>
            </w:r>
          </w:p>
        </w:tc>
        <w:tc>
          <w:tcPr>
            <w:tcW w:w="992" w:type="dxa"/>
            <w:shd w:val="clear" w:color="auto" w:fill="auto"/>
            <w:noWrap/>
            <w:vAlign w:val="center"/>
            <w:hideMark/>
          </w:tcPr>
          <w:p w14:paraId="2D41AEAD"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3.45%</w:t>
            </w:r>
          </w:p>
        </w:tc>
        <w:tc>
          <w:tcPr>
            <w:tcW w:w="993" w:type="dxa"/>
            <w:shd w:val="clear" w:color="auto" w:fill="auto"/>
            <w:noWrap/>
            <w:vAlign w:val="center"/>
            <w:hideMark/>
          </w:tcPr>
          <w:p w14:paraId="4BD6E8E8"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1.01%</w:t>
            </w:r>
          </w:p>
        </w:tc>
      </w:tr>
      <w:tr w:rsidR="00FB6B80" w:rsidRPr="0084045A" w14:paraId="7105591A" w14:textId="77777777" w:rsidTr="00333403">
        <w:trPr>
          <w:trHeight w:hRule="exact" w:val="284"/>
        </w:trPr>
        <w:tc>
          <w:tcPr>
            <w:tcW w:w="0" w:type="auto"/>
            <w:shd w:val="clear" w:color="auto" w:fill="auto"/>
            <w:noWrap/>
            <w:vAlign w:val="center"/>
            <w:hideMark/>
          </w:tcPr>
          <w:p w14:paraId="58E1AFED" w14:textId="017F00DA"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25–29</w:t>
            </w:r>
          </w:p>
        </w:tc>
        <w:tc>
          <w:tcPr>
            <w:tcW w:w="968" w:type="dxa"/>
            <w:shd w:val="clear" w:color="auto" w:fill="auto"/>
            <w:noWrap/>
            <w:vAlign w:val="center"/>
            <w:hideMark/>
          </w:tcPr>
          <w:p w14:paraId="6526F581"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68.27%</w:t>
            </w:r>
          </w:p>
        </w:tc>
        <w:tc>
          <w:tcPr>
            <w:tcW w:w="992" w:type="dxa"/>
            <w:shd w:val="clear" w:color="auto" w:fill="auto"/>
            <w:noWrap/>
            <w:vAlign w:val="center"/>
            <w:hideMark/>
          </w:tcPr>
          <w:p w14:paraId="22A550F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20.51%</w:t>
            </w:r>
          </w:p>
        </w:tc>
        <w:tc>
          <w:tcPr>
            <w:tcW w:w="851" w:type="dxa"/>
            <w:shd w:val="clear" w:color="auto" w:fill="auto"/>
            <w:noWrap/>
            <w:vAlign w:val="center"/>
            <w:hideMark/>
          </w:tcPr>
          <w:p w14:paraId="3B2024A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0.06%</w:t>
            </w:r>
          </w:p>
        </w:tc>
        <w:tc>
          <w:tcPr>
            <w:tcW w:w="992" w:type="dxa"/>
            <w:shd w:val="clear" w:color="auto" w:fill="auto"/>
            <w:noWrap/>
            <w:vAlign w:val="center"/>
            <w:hideMark/>
          </w:tcPr>
          <w:p w14:paraId="5B2A8CA8"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6.63%</w:t>
            </w:r>
          </w:p>
        </w:tc>
        <w:tc>
          <w:tcPr>
            <w:tcW w:w="992" w:type="dxa"/>
            <w:shd w:val="clear" w:color="auto" w:fill="auto"/>
            <w:noWrap/>
            <w:vAlign w:val="center"/>
            <w:hideMark/>
          </w:tcPr>
          <w:p w14:paraId="0A62E426"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3.35%</w:t>
            </w:r>
          </w:p>
        </w:tc>
        <w:tc>
          <w:tcPr>
            <w:tcW w:w="993" w:type="dxa"/>
            <w:shd w:val="clear" w:color="auto" w:fill="auto"/>
            <w:noWrap/>
            <w:vAlign w:val="center"/>
            <w:hideMark/>
          </w:tcPr>
          <w:p w14:paraId="0ED7347D"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1.18%</w:t>
            </w:r>
          </w:p>
        </w:tc>
      </w:tr>
      <w:tr w:rsidR="00FB6B80" w:rsidRPr="0084045A" w14:paraId="77D7F18A" w14:textId="77777777" w:rsidTr="00333403">
        <w:trPr>
          <w:trHeight w:hRule="exact" w:val="284"/>
        </w:trPr>
        <w:tc>
          <w:tcPr>
            <w:tcW w:w="0" w:type="auto"/>
            <w:shd w:val="clear" w:color="auto" w:fill="auto"/>
            <w:noWrap/>
            <w:vAlign w:val="center"/>
            <w:hideMark/>
          </w:tcPr>
          <w:p w14:paraId="75383566" w14:textId="27F06B4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30–34</w:t>
            </w:r>
          </w:p>
        </w:tc>
        <w:tc>
          <w:tcPr>
            <w:tcW w:w="968" w:type="dxa"/>
            <w:shd w:val="clear" w:color="auto" w:fill="auto"/>
            <w:noWrap/>
            <w:vAlign w:val="center"/>
            <w:hideMark/>
          </w:tcPr>
          <w:p w14:paraId="08658D1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68.27%</w:t>
            </w:r>
          </w:p>
        </w:tc>
        <w:tc>
          <w:tcPr>
            <w:tcW w:w="992" w:type="dxa"/>
            <w:shd w:val="clear" w:color="auto" w:fill="auto"/>
            <w:noWrap/>
            <w:vAlign w:val="center"/>
            <w:hideMark/>
          </w:tcPr>
          <w:p w14:paraId="3AE312CF"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20.48%</w:t>
            </w:r>
          </w:p>
        </w:tc>
        <w:tc>
          <w:tcPr>
            <w:tcW w:w="851" w:type="dxa"/>
            <w:shd w:val="clear" w:color="auto" w:fill="auto"/>
            <w:noWrap/>
            <w:vAlign w:val="center"/>
            <w:hideMark/>
          </w:tcPr>
          <w:p w14:paraId="34556C6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0.05%</w:t>
            </w:r>
          </w:p>
        </w:tc>
        <w:tc>
          <w:tcPr>
            <w:tcW w:w="992" w:type="dxa"/>
            <w:shd w:val="clear" w:color="auto" w:fill="auto"/>
            <w:noWrap/>
            <w:vAlign w:val="center"/>
            <w:hideMark/>
          </w:tcPr>
          <w:p w14:paraId="4C2CD07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6.55%</w:t>
            </w:r>
          </w:p>
        </w:tc>
        <w:tc>
          <w:tcPr>
            <w:tcW w:w="992" w:type="dxa"/>
            <w:shd w:val="clear" w:color="auto" w:fill="auto"/>
            <w:noWrap/>
            <w:vAlign w:val="center"/>
            <w:hideMark/>
          </w:tcPr>
          <w:p w14:paraId="6E4704CD"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3.37%</w:t>
            </w:r>
          </w:p>
        </w:tc>
        <w:tc>
          <w:tcPr>
            <w:tcW w:w="993" w:type="dxa"/>
            <w:shd w:val="clear" w:color="auto" w:fill="auto"/>
            <w:noWrap/>
            <w:vAlign w:val="center"/>
            <w:hideMark/>
          </w:tcPr>
          <w:p w14:paraId="359031E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1.28%</w:t>
            </w:r>
          </w:p>
        </w:tc>
      </w:tr>
      <w:tr w:rsidR="00FB6B80" w:rsidRPr="0084045A" w14:paraId="48B0AC3A" w14:textId="77777777" w:rsidTr="00333403">
        <w:trPr>
          <w:trHeight w:hRule="exact" w:val="284"/>
        </w:trPr>
        <w:tc>
          <w:tcPr>
            <w:tcW w:w="0" w:type="auto"/>
            <w:shd w:val="clear" w:color="auto" w:fill="auto"/>
            <w:noWrap/>
            <w:vAlign w:val="center"/>
            <w:hideMark/>
          </w:tcPr>
          <w:p w14:paraId="325A2DED" w14:textId="1CB85A99"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35–39</w:t>
            </w:r>
          </w:p>
        </w:tc>
        <w:tc>
          <w:tcPr>
            <w:tcW w:w="968" w:type="dxa"/>
            <w:shd w:val="clear" w:color="auto" w:fill="auto"/>
            <w:noWrap/>
            <w:vAlign w:val="center"/>
            <w:hideMark/>
          </w:tcPr>
          <w:p w14:paraId="48A09B1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68.27%</w:t>
            </w:r>
          </w:p>
        </w:tc>
        <w:tc>
          <w:tcPr>
            <w:tcW w:w="992" w:type="dxa"/>
            <w:shd w:val="clear" w:color="auto" w:fill="auto"/>
            <w:noWrap/>
            <w:vAlign w:val="center"/>
            <w:hideMark/>
          </w:tcPr>
          <w:p w14:paraId="546996F8"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19.54%</w:t>
            </w:r>
          </w:p>
        </w:tc>
        <w:tc>
          <w:tcPr>
            <w:tcW w:w="851" w:type="dxa"/>
            <w:shd w:val="clear" w:color="auto" w:fill="auto"/>
            <w:noWrap/>
            <w:vAlign w:val="center"/>
            <w:hideMark/>
          </w:tcPr>
          <w:p w14:paraId="71D17FFB"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0.03%</w:t>
            </w:r>
          </w:p>
        </w:tc>
        <w:tc>
          <w:tcPr>
            <w:tcW w:w="992" w:type="dxa"/>
            <w:shd w:val="clear" w:color="auto" w:fill="auto"/>
            <w:noWrap/>
            <w:vAlign w:val="center"/>
            <w:hideMark/>
          </w:tcPr>
          <w:p w14:paraId="0D27C2DD"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6.83%</w:t>
            </w:r>
          </w:p>
        </w:tc>
        <w:tc>
          <w:tcPr>
            <w:tcW w:w="992" w:type="dxa"/>
            <w:shd w:val="clear" w:color="auto" w:fill="auto"/>
            <w:noWrap/>
            <w:vAlign w:val="center"/>
            <w:hideMark/>
          </w:tcPr>
          <w:p w14:paraId="496B435E"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3.77%</w:t>
            </w:r>
          </w:p>
        </w:tc>
        <w:tc>
          <w:tcPr>
            <w:tcW w:w="993" w:type="dxa"/>
            <w:shd w:val="clear" w:color="auto" w:fill="auto"/>
            <w:noWrap/>
            <w:vAlign w:val="center"/>
            <w:hideMark/>
          </w:tcPr>
          <w:p w14:paraId="330457FF"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1.55%</w:t>
            </w:r>
          </w:p>
        </w:tc>
      </w:tr>
      <w:tr w:rsidR="00FB6B80" w:rsidRPr="0084045A" w14:paraId="0BB4EEF7" w14:textId="77777777" w:rsidTr="00333403">
        <w:trPr>
          <w:trHeight w:hRule="exact" w:val="284"/>
        </w:trPr>
        <w:tc>
          <w:tcPr>
            <w:tcW w:w="0" w:type="auto"/>
            <w:shd w:val="clear" w:color="auto" w:fill="auto"/>
            <w:noWrap/>
            <w:vAlign w:val="center"/>
            <w:hideMark/>
          </w:tcPr>
          <w:p w14:paraId="3CCBF7B3" w14:textId="0DEC1A10"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40–44</w:t>
            </w:r>
          </w:p>
        </w:tc>
        <w:tc>
          <w:tcPr>
            <w:tcW w:w="968" w:type="dxa"/>
            <w:shd w:val="clear" w:color="auto" w:fill="auto"/>
            <w:noWrap/>
            <w:vAlign w:val="center"/>
            <w:hideMark/>
          </w:tcPr>
          <w:p w14:paraId="77EA6491"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68.27%</w:t>
            </w:r>
          </w:p>
        </w:tc>
        <w:tc>
          <w:tcPr>
            <w:tcW w:w="992" w:type="dxa"/>
            <w:shd w:val="clear" w:color="auto" w:fill="auto"/>
            <w:noWrap/>
            <w:vAlign w:val="center"/>
            <w:hideMark/>
          </w:tcPr>
          <w:p w14:paraId="76210702"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18.62%</w:t>
            </w:r>
          </w:p>
        </w:tc>
        <w:tc>
          <w:tcPr>
            <w:tcW w:w="851" w:type="dxa"/>
            <w:shd w:val="clear" w:color="auto" w:fill="auto"/>
            <w:noWrap/>
            <w:vAlign w:val="center"/>
            <w:hideMark/>
          </w:tcPr>
          <w:p w14:paraId="6C16CD23"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0.04%</w:t>
            </w:r>
          </w:p>
        </w:tc>
        <w:tc>
          <w:tcPr>
            <w:tcW w:w="992" w:type="dxa"/>
            <w:shd w:val="clear" w:color="auto" w:fill="auto"/>
            <w:noWrap/>
            <w:vAlign w:val="center"/>
            <w:hideMark/>
          </w:tcPr>
          <w:p w14:paraId="41C8A9D5"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7.78%</w:t>
            </w:r>
          </w:p>
        </w:tc>
        <w:tc>
          <w:tcPr>
            <w:tcW w:w="992" w:type="dxa"/>
            <w:shd w:val="clear" w:color="auto" w:fill="auto"/>
            <w:noWrap/>
            <w:vAlign w:val="center"/>
            <w:hideMark/>
          </w:tcPr>
          <w:p w14:paraId="4A281C6E"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3.60%</w:t>
            </w:r>
          </w:p>
        </w:tc>
        <w:tc>
          <w:tcPr>
            <w:tcW w:w="993" w:type="dxa"/>
            <w:shd w:val="clear" w:color="auto" w:fill="auto"/>
            <w:noWrap/>
            <w:vAlign w:val="center"/>
            <w:hideMark/>
          </w:tcPr>
          <w:p w14:paraId="7FD78FCF"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1.69%</w:t>
            </w:r>
          </w:p>
        </w:tc>
      </w:tr>
      <w:tr w:rsidR="00FB6B80" w:rsidRPr="0084045A" w14:paraId="1E97779A" w14:textId="77777777" w:rsidTr="00333403">
        <w:trPr>
          <w:trHeight w:hRule="exact" w:val="284"/>
        </w:trPr>
        <w:tc>
          <w:tcPr>
            <w:tcW w:w="0" w:type="auto"/>
            <w:shd w:val="clear" w:color="auto" w:fill="auto"/>
            <w:noWrap/>
            <w:vAlign w:val="center"/>
            <w:hideMark/>
          </w:tcPr>
          <w:p w14:paraId="37402976" w14:textId="544EDFDA"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45–49</w:t>
            </w:r>
          </w:p>
        </w:tc>
        <w:tc>
          <w:tcPr>
            <w:tcW w:w="968" w:type="dxa"/>
            <w:shd w:val="clear" w:color="auto" w:fill="auto"/>
            <w:noWrap/>
            <w:vAlign w:val="center"/>
            <w:hideMark/>
          </w:tcPr>
          <w:p w14:paraId="33836265"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68.27%</w:t>
            </w:r>
          </w:p>
        </w:tc>
        <w:tc>
          <w:tcPr>
            <w:tcW w:w="992" w:type="dxa"/>
            <w:shd w:val="clear" w:color="auto" w:fill="auto"/>
            <w:noWrap/>
            <w:vAlign w:val="center"/>
            <w:hideMark/>
          </w:tcPr>
          <w:p w14:paraId="52627DF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17.05%</w:t>
            </w:r>
          </w:p>
        </w:tc>
        <w:tc>
          <w:tcPr>
            <w:tcW w:w="851" w:type="dxa"/>
            <w:shd w:val="clear" w:color="auto" w:fill="auto"/>
            <w:noWrap/>
            <w:vAlign w:val="center"/>
            <w:hideMark/>
          </w:tcPr>
          <w:p w14:paraId="2786DB8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0.01%</w:t>
            </w:r>
          </w:p>
        </w:tc>
        <w:tc>
          <w:tcPr>
            <w:tcW w:w="992" w:type="dxa"/>
            <w:shd w:val="clear" w:color="auto" w:fill="auto"/>
            <w:noWrap/>
            <w:vAlign w:val="center"/>
            <w:hideMark/>
          </w:tcPr>
          <w:p w14:paraId="7B9F798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8.92%</w:t>
            </w:r>
          </w:p>
        </w:tc>
        <w:tc>
          <w:tcPr>
            <w:tcW w:w="992" w:type="dxa"/>
            <w:shd w:val="clear" w:color="auto" w:fill="auto"/>
            <w:noWrap/>
            <w:vAlign w:val="center"/>
            <w:hideMark/>
          </w:tcPr>
          <w:p w14:paraId="3005A9C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3.53%</w:t>
            </w:r>
          </w:p>
        </w:tc>
        <w:tc>
          <w:tcPr>
            <w:tcW w:w="993" w:type="dxa"/>
            <w:shd w:val="clear" w:color="auto" w:fill="auto"/>
            <w:noWrap/>
            <w:vAlign w:val="center"/>
            <w:hideMark/>
          </w:tcPr>
          <w:p w14:paraId="644DFAB2"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2.22%</w:t>
            </w:r>
          </w:p>
        </w:tc>
      </w:tr>
      <w:tr w:rsidR="00FB6B80" w:rsidRPr="0084045A" w14:paraId="7EC8C83B" w14:textId="77777777" w:rsidTr="00333403">
        <w:trPr>
          <w:trHeight w:hRule="exact" w:val="284"/>
        </w:trPr>
        <w:tc>
          <w:tcPr>
            <w:tcW w:w="0" w:type="auto"/>
            <w:shd w:val="clear" w:color="auto" w:fill="auto"/>
            <w:noWrap/>
            <w:vAlign w:val="center"/>
            <w:hideMark/>
          </w:tcPr>
          <w:p w14:paraId="33D408DE" w14:textId="09F3F24C"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50–54</w:t>
            </w:r>
          </w:p>
        </w:tc>
        <w:tc>
          <w:tcPr>
            <w:tcW w:w="968" w:type="dxa"/>
            <w:shd w:val="clear" w:color="auto" w:fill="auto"/>
            <w:noWrap/>
            <w:vAlign w:val="center"/>
            <w:hideMark/>
          </w:tcPr>
          <w:p w14:paraId="6864EFC8"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66.64%</w:t>
            </w:r>
          </w:p>
        </w:tc>
        <w:tc>
          <w:tcPr>
            <w:tcW w:w="992" w:type="dxa"/>
            <w:shd w:val="clear" w:color="auto" w:fill="auto"/>
            <w:noWrap/>
            <w:vAlign w:val="center"/>
            <w:hideMark/>
          </w:tcPr>
          <w:p w14:paraId="034FC246"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16.76%</w:t>
            </w:r>
          </w:p>
        </w:tc>
        <w:tc>
          <w:tcPr>
            <w:tcW w:w="851" w:type="dxa"/>
            <w:shd w:val="clear" w:color="auto" w:fill="auto"/>
            <w:noWrap/>
            <w:vAlign w:val="center"/>
            <w:hideMark/>
          </w:tcPr>
          <w:p w14:paraId="25DC9926"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0.05%</w:t>
            </w:r>
          </w:p>
        </w:tc>
        <w:tc>
          <w:tcPr>
            <w:tcW w:w="992" w:type="dxa"/>
            <w:shd w:val="clear" w:color="auto" w:fill="auto"/>
            <w:noWrap/>
            <w:vAlign w:val="center"/>
            <w:hideMark/>
          </w:tcPr>
          <w:p w14:paraId="1AEC169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9.81%</w:t>
            </w:r>
          </w:p>
        </w:tc>
        <w:tc>
          <w:tcPr>
            <w:tcW w:w="992" w:type="dxa"/>
            <w:shd w:val="clear" w:color="auto" w:fill="auto"/>
            <w:noWrap/>
            <w:vAlign w:val="center"/>
            <w:hideMark/>
          </w:tcPr>
          <w:p w14:paraId="6E2C13F2"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4.40%</w:t>
            </w:r>
          </w:p>
        </w:tc>
        <w:tc>
          <w:tcPr>
            <w:tcW w:w="993" w:type="dxa"/>
            <w:shd w:val="clear" w:color="auto" w:fill="auto"/>
            <w:noWrap/>
            <w:vAlign w:val="center"/>
            <w:hideMark/>
          </w:tcPr>
          <w:p w14:paraId="2C060A6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2.33%</w:t>
            </w:r>
          </w:p>
        </w:tc>
      </w:tr>
      <w:tr w:rsidR="00FB6B80" w:rsidRPr="0084045A" w14:paraId="6E9AB561" w14:textId="77777777" w:rsidTr="00333403">
        <w:trPr>
          <w:trHeight w:hRule="exact" w:val="284"/>
        </w:trPr>
        <w:tc>
          <w:tcPr>
            <w:tcW w:w="0" w:type="auto"/>
            <w:shd w:val="clear" w:color="auto" w:fill="auto"/>
            <w:noWrap/>
            <w:vAlign w:val="center"/>
            <w:hideMark/>
          </w:tcPr>
          <w:p w14:paraId="77B68AF2" w14:textId="38D79BC8"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55</w:t>
            </w:r>
            <w:r w:rsidR="00451B07" w:rsidRPr="0084045A">
              <w:rPr>
                <w:rFonts w:ascii="Arial" w:eastAsia="Times New Roman" w:hAnsi="Arial" w:cs="Arial"/>
                <w:noProof/>
                <w:color w:val="000000"/>
                <w:sz w:val="18"/>
                <w:szCs w:val="18"/>
                <w:lang w:val="en-GB" w:eastAsia="es-MX"/>
              </w:rPr>
              <w:t>–</w:t>
            </w:r>
            <w:r w:rsidRPr="0084045A">
              <w:rPr>
                <w:rFonts w:ascii="Arial" w:eastAsia="Times New Roman" w:hAnsi="Arial" w:cs="Arial"/>
                <w:noProof/>
                <w:color w:val="000000"/>
                <w:sz w:val="18"/>
                <w:szCs w:val="18"/>
                <w:lang w:val="en-GB" w:eastAsia="es-MX"/>
              </w:rPr>
              <w:t>59</w:t>
            </w:r>
          </w:p>
        </w:tc>
        <w:tc>
          <w:tcPr>
            <w:tcW w:w="968" w:type="dxa"/>
            <w:shd w:val="clear" w:color="auto" w:fill="auto"/>
            <w:noWrap/>
            <w:vAlign w:val="center"/>
            <w:hideMark/>
          </w:tcPr>
          <w:p w14:paraId="30FD6E82"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66.64%</w:t>
            </w:r>
          </w:p>
        </w:tc>
        <w:tc>
          <w:tcPr>
            <w:tcW w:w="992" w:type="dxa"/>
            <w:shd w:val="clear" w:color="auto" w:fill="auto"/>
            <w:noWrap/>
            <w:vAlign w:val="center"/>
            <w:hideMark/>
          </w:tcPr>
          <w:p w14:paraId="0585502A"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14.55%</w:t>
            </w:r>
          </w:p>
        </w:tc>
        <w:tc>
          <w:tcPr>
            <w:tcW w:w="851" w:type="dxa"/>
            <w:shd w:val="clear" w:color="auto" w:fill="auto"/>
            <w:noWrap/>
            <w:vAlign w:val="center"/>
            <w:hideMark/>
          </w:tcPr>
          <w:p w14:paraId="6661140D"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0.01%</w:t>
            </w:r>
          </w:p>
        </w:tc>
        <w:tc>
          <w:tcPr>
            <w:tcW w:w="992" w:type="dxa"/>
            <w:shd w:val="clear" w:color="auto" w:fill="auto"/>
            <w:noWrap/>
            <w:vAlign w:val="center"/>
            <w:hideMark/>
          </w:tcPr>
          <w:p w14:paraId="354B2ACA"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10.62%</w:t>
            </w:r>
          </w:p>
        </w:tc>
        <w:tc>
          <w:tcPr>
            <w:tcW w:w="992" w:type="dxa"/>
            <w:shd w:val="clear" w:color="auto" w:fill="auto"/>
            <w:noWrap/>
            <w:vAlign w:val="center"/>
            <w:hideMark/>
          </w:tcPr>
          <w:p w14:paraId="1FB548B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5.07%</w:t>
            </w:r>
          </w:p>
        </w:tc>
        <w:tc>
          <w:tcPr>
            <w:tcW w:w="993" w:type="dxa"/>
            <w:shd w:val="clear" w:color="auto" w:fill="auto"/>
            <w:noWrap/>
            <w:vAlign w:val="center"/>
            <w:hideMark/>
          </w:tcPr>
          <w:p w14:paraId="08B3A3A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3.11%</w:t>
            </w:r>
          </w:p>
        </w:tc>
      </w:tr>
      <w:tr w:rsidR="00FB6B80" w:rsidRPr="0084045A" w14:paraId="6DF3A590" w14:textId="77777777" w:rsidTr="00333403">
        <w:trPr>
          <w:trHeight w:hRule="exact" w:val="284"/>
        </w:trPr>
        <w:tc>
          <w:tcPr>
            <w:tcW w:w="0" w:type="auto"/>
            <w:shd w:val="clear" w:color="auto" w:fill="auto"/>
            <w:noWrap/>
            <w:vAlign w:val="center"/>
            <w:hideMark/>
          </w:tcPr>
          <w:p w14:paraId="402D3769" w14:textId="42802013"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60</w:t>
            </w:r>
            <w:r w:rsidR="00451B07" w:rsidRPr="0084045A">
              <w:rPr>
                <w:rFonts w:ascii="Arial" w:eastAsia="Times New Roman" w:hAnsi="Arial" w:cs="Arial"/>
                <w:noProof/>
                <w:color w:val="000000"/>
                <w:sz w:val="18"/>
                <w:szCs w:val="18"/>
                <w:lang w:val="en-GB" w:eastAsia="es-MX"/>
              </w:rPr>
              <w:t>–</w:t>
            </w:r>
            <w:r w:rsidRPr="0084045A">
              <w:rPr>
                <w:rFonts w:ascii="Arial" w:eastAsia="Times New Roman" w:hAnsi="Arial" w:cs="Arial"/>
                <w:noProof/>
                <w:color w:val="000000"/>
                <w:sz w:val="18"/>
                <w:szCs w:val="18"/>
                <w:lang w:val="en-GB" w:eastAsia="es-MX"/>
              </w:rPr>
              <w:t>64</w:t>
            </w:r>
          </w:p>
        </w:tc>
        <w:tc>
          <w:tcPr>
            <w:tcW w:w="968" w:type="dxa"/>
            <w:shd w:val="clear" w:color="auto" w:fill="auto"/>
            <w:noWrap/>
            <w:vAlign w:val="center"/>
            <w:hideMark/>
          </w:tcPr>
          <w:p w14:paraId="21B383A6"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66.64%</w:t>
            </w:r>
          </w:p>
        </w:tc>
        <w:tc>
          <w:tcPr>
            <w:tcW w:w="992" w:type="dxa"/>
            <w:shd w:val="clear" w:color="auto" w:fill="auto"/>
            <w:noWrap/>
            <w:vAlign w:val="center"/>
            <w:hideMark/>
          </w:tcPr>
          <w:p w14:paraId="7ECE3C3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11.68%</w:t>
            </w:r>
          </w:p>
        </w:tc>
        <w:tc>
          <w:tcPr>
            <w:tcW w:w="851" w:type="dxa"/>
            <w:shd w:val="clear" w:color="auto" w:fill="auto"/>
            <w:noWrap/>
            <w:vAlign w:val="center"/>
            <w:hideMark/>
          </w:tcPr>
          <w:p w14:paraId="48E9CE32"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0.09%</w:t>
            </w:r>
          </w:p>
        </w:tc>
        <w:tc>
          <w:tcPr>
            <w:tcW w:w="992" w:type="dxa"/>
            <w:shd w:val="clear" w:color="auto" w:fill="auto"/>
            <w:noWrap/>
            <w:vAlign w:val="center"/>
            <w:hideMark/>
          </w:tcPr>
          <w:p w14:paraId="4C982C81"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12.55%</w:t>
            </w:r>
          </w:p>
        </w:tc>
        <w:tc>
          <w:tcPr>
            <w:tcW w:w="992" w:type="dxa"/>
            <w:shd w:val="clear" w:color="auto" w:fill="auto"/>
            <w:noWrap/>
            <w:vAlign w:val="center"/>
            <w:hideMark/>
          </w:tcPr>
          <w:p w14:paraId="04F030A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5.27%</w:t>
            </w:r>
          </w:p>
        </w:tc>
        <w:tc>
          <w:tcPr>
            <w:tcW w:w="993" w:type="dxa"/>
            <w:shd w:val="clear" w:color="auto" w:fill="auto"/>
            <w:noWrap/>
            <w:vAlign w:val="center"/>
            <w:hideMark/>
          </w:tcPr>
          <w:p w14:paraId="0D8622D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3.77%</w:t>
            </w:r>
          </w:p>
        </w:tc>
      </w:tr>
      <w:tr w:rsidR="00FB6B80" w:rsidRPr="0084045A" w14:paraId="767AE24D" w14:textId="77777777" w:rsidTr="00333403">
        <w:trPr>
          <w:trHeight w:hRule="exact" w:val="284"/>
        </w:trPr>
        <w:tc>
          <w:tcPr>
            <w:tcW w:w="0" w:type="auto"/>
            <w:shd w:val="clear" w:color="auto" w:fill="auto"/>
            <w:noWrap/>
            <w:vAlign w:val="center"/>
            <w:hideMark/>
          </w:tcPr>
          <w:p w14:paraId="37237123" w14:textId="485B44BB"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65</w:t>
            </w:r>
            <w:r w:rsidR="00451B07" w:rsidRPr="0084045A">
              <w:rPr>
                <w:rFonts w:ascii="Arial" w:eastAsia="Times New Roman" w:hAnsi="Arial" w:cs="Arial"/>
                <w:noProof/>
                <w:color w:val="000000"/>
                <w:sz w:val="18"/>
                <w:szCs w:val="18"/>
                <w:lang w:val="en-GB" w:eastAsia="es-MX"/>
              </w:rPr>
              <w:t>–</w:t>
            </w:r>
            <w:r w:rsidRPr="0084045A">
              <w:rPr>
                <w:rFonts w:ascii="Arial" w:eastAsia="Times New Roman" w:hAnsi="Arial" w:cs="Arial"/>
                <w:noProof/>
                <w:color w:val="000000"/>
                <w:sz w:val="18"/>
                <w:szCs w:val="18"/>
                <w:lang w:val="en-GB" w:eastAsia="es-MX"/>
              </w:rPr>
              <w:t>69</w:t>
            </w:r>
          </w:p>
        </w:tc>
        <w:tc>
          <w:tcPr>
            <w:tcW w:w="968" w:type="dxa"/>
            <w:shd w:val="clear" w:color="auto" w:fill="auto"/>
            <w:noWrap/>
            <w:vAlign w:val="center"/>
            <w:hideMark/>
          </w:tcPr>
          <w:p w14:paraId="65B80DE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32.62%</w:t>
            </w:r>
          </w:p>
        </w:tc>
        <w:tc>
          <w:tcPr>
            <w:tcW w:w="992" w:type="dxa"/>
            <w:shd w:val="clear" w:color="auto" w:fill="auto"/>
            <w:noWrap/>
            <w:vAlign w:val="center"/>
            <w:hideMark/>
          </w:tcPr>
          <w:p w14:paraId="60F9332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19.04%</w:t>
            </w:r>
          </w:p>
        </w:tc>
        <w:tc>
          <w:tcPr>
            <w:tcW w:w="851" w:type="dxa"/>
            <w:shd w:val="clear" w:color="auto" w:fill="auto"/>
            <w:noWrap/>
            <w:vAlign w:val="center"/>
            <w:hideMark/>
          </w:tcPr>
          <w:p w14:paraId="532B29EA"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0.13%</w:t>
            </w:r>
          </w:p>
        </w:tc>
        <w:tc>
          <w:tcPr>
            <w:tcW w:w="992" w:type="dxa"/>
            <w:shd w:val="clear" w:color="auto" w:fill="auto"/>
            <w:noWrap/>
            <w:vAlign w:val="center"/>
            <w:hideMark/>
          </w:tcPr>
          <w:p w14:paraId="39F3E74D"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27.99%</w:t>
            </w:r>
          </w:p>
        </w:tc>
        <w:tc>
          <w:tcPr>
            <w:tcW w:w="992" w:type="dxa"/>
            <w:shd w:val="clear" w:color="auto" w:fill="auto"/>
            <w:noWrap/>
            <w:vAlign w:val="center"/>
            <w:hideMark/>
          </w:tcPr>
          <w:p w14:paraId="5CFD4106"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12.71%</w:t>
            </w:r>
          </w:p>
        </w:tc>
        <w:tc>
          <w:tcPr>
            <w:tcW w:w="993" w:type="dxa"/>
            <w:shd w:val="clear" w:color="auto" w:fill="auto"/>
            <w:noWrap/>
            <w:vAlign w:val="center"/>
            <w:hideMark/>
          </w:tcPr>
          <w:p w14:paraId="7AB46B07"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7.51%</w:t>
            </w:r>
          </w:p>
        </w:tc>
      </w:tr>
      <w:tr w:rsidR="00FB6B80" w:rsidRPr="0084045A" w14:paraId="071761F9" w14:textId="77777777" w:rsidTr="00333403">
        <w:trPr>
          <w:trHeight w:hRule="exact" w:val="284"/>
        </w:trPr>
        <w:tc>
          <w:tcPr>
            <w:tcW w:w="0" w:type="auto"/>
            <w:shd w:val="clear" w:color="auto" w:fill="auto"/>
            <w:noWrap/>
            <w:vAlign w:val="center"/>
            <w:hideMark/>
          </w:tcPr>
          <w:p w14:paraId="6348A06D" w14:textId="70688CE0"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70</w:t>
            </w:r>
            <w:r w:rsidR="00451B07" w:rsidRPr="0084045A">
              <w:rPr>
                <w:rFonts w:ascii="Arial" w:eastAsia="Times New Roman" w:hAnsi="Arial" w:cs="Arial"/>
                <w:noProof/>
                <w:color w:val="000000"/>
                <w:sz w:val="18"/>
                <w:szCs w:val="18"/>
                <w:lang w:val="en-GB" w:eastAsia="es-MX"/>
              </w:rPr>
              <w:t>–</w:t>
            </w:r>
            <w:r w:rsidRPr="0084045A">
              <w:rPr>
                <w:rFonts w:ascii="Arial" w:eastAsia="Times New Roman" w:hAnsi="Arial" w:cs="Arial"/>
                <w:noProof/>
                <w:color w:val="000000"/>
                <w:sz w:val="18"/>
                <w:szCs w:val="18"/>
                <w:lang w:val="en-GB" w:eastAsia="es-MX"/>
              </w:rPr>
              <w:t>74</w:t>
            </w:r>
          </w:p>
        </w:tc>
        <w:tc>
          <w:tcPr>
            <w:tcW w:w="968" w:type="dxa"/>
            <w:shd w:val="clear" w:color="auto" w:fill="auto"/>
            <w:noWrap/>
            <w:vAlign w:val="center"/>
            <w:hideMark/>
          </w:tcPr>
          <w:p w14:paraId="743F6A8F"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32.62%</w:t>
            </w:r>
          </w:p>
        </w:tc>
        <w:tc>
          <w:tcPr>
            <w:tcW w:w="992" w:type="dxa"/>
            <w:shd w:val="clear" w:color="auto" w:fill="auto"/>
            <w:noWrap/>
            <w:vAlign w:val="center"/>
            <w:hideMark/>
          </w:tcPr>
          <w:p w14:paraId="3FE7DE8B"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14.96%</w:t>
            </w:r>
          </w:p>
        </w:tc>
        <w:tc>
          <w:tcPr>
            <w:tcW w:w="851" w:type="dxa"/>
            <w:shd w:val="clear" w:color="auto" w:fill="auto"/>
            <w:noWrap/>
            <w:vAlign w:val="center"/>
            <w:hideMark/>
          </w:tcPr>
          <w:p w14:paraId="3D51583B"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0.08%</w:t>
            </w:r>
          </w:p>
        </w:tc>
        <w:tc>
          <w:tcPr>
            <w:tcW w:w="992" w:type="dxa"/>
            <w:shd w:val="clear" w:color="auto" w:fill="auto"/>
            <w:noWrap/>
            <w:vAlign w:val="center"/>
            <w:hideMark/>
          </w:tcPr>
          <w:p w14:paraId="74B2B23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32.62%</w:t>
            </w:r>
          </w:p>
        </w:tc>
        <w:tc>
          <w:tcPr>
            <w:tcW w:w="992" w:type="dxa"/>
            <w:shd w:val="clear" w:color="auto" w:fill="auto"/>
            <w:noWrap/>
            <w:vAlign w:val="center"/>
            <w:hideMark/>
          </w:tcPr>
          <w:p w14:paraId="066AC4B7"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12.11%</w:t>
            </w:r>
          </w:p>
        </w:tc>
        <w:tc>
          <w:tcPr>
            <w:tcW w:w="993" w:type="dxa"/>
            <w:shd w:val="clear" w:color="auto" w:fill="auto"/>
            <w:noWrap/>
            <w:vAlign w:val="center"/>
            <w:hideMark/>
          </w:tcPr>
          <w:p w14:paraId="49095BE6"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7.60%</w:t>
            </w:r>
          </w:p>
        </w:tc>
      </w:tr>
      <w:tr w:rsidR="00FB6B80" w:rsidRPr="0084045A" w14:paraId="5ACF75B2" w14:textId="77777777" w:rsidTr="00333403">
        <w:trPr>
          <w:trHeight w:hRule="exact" w:val="284"/>
        </w:trPr>
        <w:tc>
          <w:tcPr>
            <w:tcW w:w="0" w:type="auto"/>
            <w:shd w:val="clear" w:color="auto" w:fill="auto"/>
            <w:noWrap/>
            <w:vAlign w:val="center"/>
            <w:hideMark/>
          </w:tcPr>
          <w:p w14:paraId="271631A6" w14:textId="75F1707F"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75</w:t>
            </w:r>
            <w:r w:rsidR="00451B07" w:rsidRPr="0084045A">
              <w:rPr>
                <w:rFonts w:ascii="Arial" w:eastAsia="Times New Roman" w:hAnsi="Arial" w:cs="Arial"/>
                <w:noProof/>
                <w:color w:val="000000"/>
                <w:sz w:val="18"/>
                <w:szCs w:val="18"/>
                <w:lang w:val="en-GB" w:eastAsia="es-MX"/>
              </w:rPr>
              <w:t>–</w:t>
            </w:r>
            <w:r w:rsidRPr="0084045A">
              <w:rPr>
                <w:rFonts w:ascii="Arial" w:eastAsia="Times New Roman" w:hAnsi="Arial" w:cs="Arial"/>
                <w:noProof/>
                <w:color w:val="000000"/>
                <w:sz w:val="18"/>
                <w:szCs w:val="18"/>
                <w:lang w:val="en-GB" w:eastAsia="es-MX"/>
              </w:rPr>
              <w:t>79</w:t>
            </w:r>
          </w:p>
        </w:tc>
        <w:tc>
          <w:tcPr>
            <w:tcW w:w="968" w:type="dxa"/>
            <w:shd w:val="clear" w:color="auto" w:fill="auto"/>
            <w:noWrap/>
            <w:vAlign w:val="center"/>
            <w:hideMark/>
          </w:tcPr>
          <w:p w14:paraId="197B7CE2"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32.62%</w:t>
            </w:r>
          </w:p>
        </w:tc>
        <w:tc>
          <w:tcPr>
            <w:tcW w:w="992" w:type="dxa"/>
            <w:shd w:val="clear" w:color="auto" w:fill="auto"/>
            <w:noWrap/>
            <w:vAlign w:val="center"/>
            <w:hideMark/>
          </w:tcPr>
          <w:p w14:paraId="317299D5"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10.41%</w:t>
            </w:r>
          </w:p>
        </w:tc>
        <w:tc>
          <w:tcPr>
            <w:tcW w:w="851" w:type="dxa"/>
            <w:shd w:val="clear" w:color="auto" w:fill="auto"/>
            <w:noWrap/>
            <w:vAlign w:val="center"/>
            <w:hideMark/>
          </w:tcPr>
          <w:p w14:paraId="14844EE8"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0.00%</w:t>
            </w:r>
          </w:p>
        </w:tc>
        <w:tc>
          <w:tcPr>
            <w:tcW w:w="992" w:type="dxa"/>
            <w:shd w:val="clear" w:color="auto" w:fill="auto"/>
            <w:noWrap/>
            <w:vAlign w:val="center"/>
            <w:hideMark/>
          </w:tcPr>
          <w:p w14:paraId="32D3DB8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32.76%</w:t>
            </w:r>
          </w:p>
        </w:tc>
        <w:tc>
          <w:tcPr>
            <w:tcW w:w="992" w:type="dxa"/>
            <w:shd w:val="clear" w:color="auto" w:fill="auto"/>
            <w:noWrap/>
            <w:vAlign w:val="center"/>
            <w:hideMark/>
          </w:tcPr>
          <w:p w14:paraId="049A455B"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15.91%</w:t>
            </w:r>
          </w:p>
        </w:tc>
        <w:tc>
          <w:tcPr>
            <w:tcW w:w="993" w:type="dxa"/>
            <w:shd w:val="clear" w:color="auto" w:fill="auto"/>
            <w:noWrap/>
            <w:vAlign w:val="center"/>
            <w:hideMark/>
          </w:tcPr>
          <w:p w14:paraId="2D63701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8.30%</w:t>
            </w:r>
          </w:p>
        </w:tc>
      </w:tr>
      <w:tr w:rsidR="00FB6B80" w:rsidRPr="0084045A" w14:paraId="6FA548C4" w14:textId="77777777" w:rsidTr="00333403">
        <w:trPr>
          <w:trHeight w:hRule="exact" w:val="284"/>
        </w:trPr>
        <w:tc>
          <w:tcPr>
            <w:tcW w:w="0" w:type="auto"/>
            <w:shd w:val="clear" w:color="auto" w:fill="auto"/>
            <w:noWrap/>
            <w:vAlign w:val="center"/>
            <w:hideMark/>
          </w:tcPr>
          <w:p w14:paraId="63E323F9" w14:textId="4A75B365"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80</w:t>
            </w:r>
            <w:r w:rsidR="00451B07" w:rsidRPr="0084045A">
              <w:rPr>
                <w:rFonts w:ascii="Arial" w:eastAsia="Times New Roman" w:hAnsi="Arial" w:cs="Arial"/>
                <w:noProof/>
                <w:color w:val="000000"/>
                <w:sz w:val="18"/>
                <w:szCs w:val="18"/>
                <w:lang w:val="en-GB" w:eastAsia="es-MX"/>
              </w:rPr>
              <w:t>–</w:t>
            </w:r>
            <w:r w:rsidRPr="0084045A">
              <w:rPr>
                <w:rFonts w:ascii="Arial" w:eastAsia="Times New Roman" w:hAnsi="Arial" w:cs="Arial"/>
                <w:noProof/>
                <w:color w:val="000000"/>
                <w:sz w:val="18"/>
                <w:szCs w:val="18"/>
                <w:lang w:val="en-GB" w:eastAsia="es-MX"/>
              </w:rPr>
              <w:t>84</w:t>
            </w:r>
          </w:p>
        </w:tc>
        <w:tc>
          <w:tcPr>
            <w:tcW w:w="968" w:type="dxa"/>
            <w:shd w:val="clear" w:color="auto" w:fill="auto"/>
            <w:noWrap/>
            <w:vAlign w:val="center"/>
            <w:hideMark/>
          </w:tcPr>
          <w:p w14:paraId="1BE80065"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32.62%</w:t>
            </w:r>
          </w:p>
        </w:tc>
        <w:tc>
          <w:tcPr>
            <w:tcW w:w="992" w:type="dxa"/>
            <w:shd w:val="clear" w:color="auto" w:fill="auto"/>
            <w:noWrap/>
            <w:vAlign w:val="center"/>
            <w:hideMark/>
          </w:tcPr>
          <w:p w14:paraId="2E63DC9D"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9.54%</w:t>
            </w:r>
          </w:p>
        </w:tc>
        <w:tc>
          <w:tcPr>
            <w:tcW w:w="851" w:type="dxa"/>
            <w:shd w:val="clear" w:color="auto" w:fill="auto"/>
            <w:noWrap/>
            <w:vAlign w:val="center"/>
            <w:hideMark/>
          </w:tcPr>
          <w:p w14:paraId="4813362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0.00%</w:t>
            </w:r>
          </w:p>
        </w:tc>
        <w:tc>
          <w:tcPr>
            <w:tcW w:w="992" w:type="dxa"/>
            <w:shd w:val="clear" w:color="auto" w:fill="auto"/>
            <w:noWrap/>
            <w:vAlign w:val="center"/>
            <w:hideMark/>
          </w:tcPr>
          <w:p w14:paraId="2412063C"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34.33%</w:t>
            </w:r>
          </w:p>
        </w:tc>
        <w:tc>
          <w:tcPr>
            <w:tcW w:w="992" w:type="dxa"/>
            <w:shd w:val="clear" w:color="auto" w:fill="auto"/>
            <w:noWrap/>
            <w:vAlign w:val="center"/>
            <w:hideMark/>
          </w:tcPr>
          <w:p w14:paraId="6285F3E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14.78%</w:t>
            </w:r>
          </w:p>
        </w:tc>
        <w:tc>
          <w:tcPr>
            <w:tcW w:w="993" w:type="dxa"/>
            <w:shd w:val="clear" w:color="auto" w:fill="auto"/>
            <w:noWrap/>
            <w:vAlign w:val="center"/>
            <w:hideMark/>
          </w:tcPr>
          <w:p w14:paraId="47E9CE8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8.73%</w:t>
            </w:r>
          </w:p>
        </w:tc>
      </w:tr>
      <w:tr w:rsidR="00FB6B80" w:rsidRPr="0084045A" w14:paraId="0B48AD65" w14:textId="77777777" w:rsidTr="00333403">
        <w:trPr>
          <w:trHeight w:hRule="exact" w:val="284"/>
        </w:trPr>
        <w:tc>
          <w:tcPr>
            <w:tcW w:w="0" w:type="auto"/>
            <w:shd w:val="clear" w:color="auto" w:fill="auto"/>
            <w:noWrap/>
            <w:vAlign w:val="center"/>
            <w:hideMark/>
          </w:tcPr>
          <w:p w14:paraId="32E56FBB" w14:textId="206FFBE4"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85</w:t>
            </w:r>
            <w:r w:rsidR="00451B07" w:rsidRPr="0084045A">
              <w:rPr>
                <w:rFonts w:ascii="Arial" w:eastAsia="Times New Roman" w:hAnsi="Arial" w:cs="Arial"/>
                <w:noProof/>
                <w:color w:val="000000"/>
                <w:sz w:val="18"/>
                <w:szCs w:val="18"/>
                <w:lang w:val="en-GB" w:eastAsia="es-MX"/>
              </w:rPr>
              <w:t>–</w:t>
            </w:r>
            <w:r w:rsidRPr="0084045A">
              <w:rPr>
                <w:rFonts w:ascii="Arial" w:eastAsia="Times New Roman" w:hAnsi="Arial" w:cs="Arial"/>
                <w:noProof/>
                <w:color w:val="000000"/>
                <w:sz w:val="18"/>
                <w:szCs w:val="18"/>
                <w:lang w:val="en-GB" w:eastAsia="es-MX"/>
              </w:rPr>
              <w:t>89</w:t>
            </w:r>
          </w:p>
        </w:tc>
        <w:tc>
          <w:tcPr>
            <w:tcW w:w="968" w:type="dxa"/>
            <w:shd w:val="clear" w:color="auto" w:fill="auto"/>
            <w:noWrap/>
            <w:vAlign w:val="center"/>
            <w:hideMark/>
          </w:tcPr>
          <w:p w14:paraId="26FC1B66"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32.62%</w:t>
            </w:r>
          </w:p>
        </w:tc>
        <w:tc>
          <w:tcPr>
            <w:tcW w:w="992" w:type="dxa"/>
            <w:shd w:val="clear" w:color="auto" w:fill="auto"/>
            <w:noWrap/>
            <w:vAlign w:val="center"/>
            <w:hideMark/>
          </w:tcPr>
          <w:p w14:paraId="30B3CFF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8.38%</w:t>
            </w:r>
          </w:p>
        </w:tc>
        <w:tc>
          <w:tcPr>
            <w:tcW w:w="851" w:type="dxa"/>
            <w:shd w:val="clear" w:color="auto" w:fill="auto"/>
            <w:noWrap/>
            <w:vAlign w:val="center"/>
            <w:hideMark/>
          </w:tcPr>
          <w:p w14:paraId="7D3D8A72"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0.16%</w:t>
            </w:r>
          </w:p>
        </w:tc>
        <w:tc>
          <w:tcPr>
            <w:tcW w:w="992" w:type="dxa"/>
            <w:shd w:val="clear" w:color="auto" w:fill="auto"/>
            <w:noWrap/>
            <w:vAlign w:val="center"/>
            <w:hideMark/>
          </w:tcPr>
          <w:p w14:paraId="3CF52A34"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32.21%</w:t>
            </w:r>
          </w:p>
        </w:tc>
        <w:tc>
          <w:tcPr>
            <w:tcW w:w="992" w:type="dxa"/>
            <w:shd w:val="clear" w:color="auto" w:fill="auto"/>
            <w:noWrap/>
            <w:vAlign w:val="center"/>
            <w:hideMark/>
          </w:tcPr>
          <w:p w14:paraId="2460F13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16.93%</w:t>
            </w:r>
          </w:p>
        </w:tc>
        <w:tc>
          <w:tcPr>
            <w:tcW w:w="993" w:type="dxa"/>
            <w:shd w:val="clear" w:color="auto" w:fill="auto"/>
            <w:noWrap/>
            <w:vAlign w:val="center"/>
            <w:hideMark/>
          </w:tcPr>
          <w:p w14:paraId="3612D38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9.70%</w:t>
            </w:r>
          </w:p>
        </w:tc>
      </w:tr>
      <w:tr w:rsidR="00FB6B80" w:rsidRPr="0084045A" w14:paraId="27E85E4E" w14:textId="77777777" w:rsidTr="00333403">
        <w:trPr>
          <w:trHeight w:hRule="exact" w:val="284"/>
        </w:trPr>
        <w:tc>
          <w:tcPr>
            <w:tcW w:w="0" w:type="auto"/>
            <w:shd w:val="clear" w:color="auto" w:fill="auto"/>
            <w:noWrap/>
            <w:vAlign w:val="center"/>
            <w:hideMark/>
          </w:tcPr>
          <w:p w14:paraId="7E30B1A3" w14:textId="031F1746"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90</w:t>
            </w:r>
            <w:r w:rsidR="00451B07" w:rsidRPr="0084045A">
              <w:rPr>
                <w:rFonts w:ascii="Arial" w:eastAsia="Times New Roman" w:hAnsi="Arial" w:cs="Arial"/>
                <w:noProof/>
                <w:color w:val="000000"/>
                <w:sz w:val="18"/>
                <w:szCs w:val="18"/>
                <w:lang w:val="en-GB" w:eastAsia="es-MX"/>
              </w:rPr>
              <w:t>–</w:t>
            </w:r>
            <w:r w:rsidRPr="0084045A">
              <w:rPr>
                <w:rFonts w:ascii="Arial" w:eastAsia="Times New Roman" w:hAnsi="Arial" w:cs="Arial"/>
                <w:noProof/>
                <w:color w:val="000000"/>
                <w:sz w:val="18"/>
                <w:szCs w:val="18"/>
                <w:lang w:val="en-GB" w:eastAsia="es-MX"/>
              </w:rPr>
              <w:t>94</w:t>
            </w:r>
          </w:p>
        </w:tc>
        <w:tc>
          <w:tcPr>
            <w:tcW w:w="968" w:type="dxa"/>
            <w:shd w:val="clear" w:color="auto" w:fill="auto"/>
            <w:noWrap/>
            <w:vAlign w:val="center"/>
            <w:hideMark/>
          </w:tcPr>
          <w:p w14:paraId="2D1BB207"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32.62%</w:t>
            </w:r>
          </w:p>
        </w:tc>
        <w:tc>
          <w:tcPr>
            <w:tcW w:w="992" w:type="dxa"/>
            <w:shd w:val="clear" w:color="auto" w:fill="auto"/>
            <w:noWrap/>
            <w:vAlign w:val="center"/>
            <w:hideMark/>
          </w:tcPr>
          <w:p w14:paraId="1A897B1B"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8.34%</w:t>
            </w:r>
          </w:p>
        </w:tc>
        <w:tc>
          <w:tcPr>
            <w:tcW w:w="851" w:type="dxa"/>
            <w:shd w:val="clear" w:color="auto" w:fill="auto"/>
            <w:noWrap/>
            <w:vAlign w:val="center"/>
            <w:hideMark/>
          </w:tcPr>
          <w:p w14:paraId="27447601"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0.00%</w:t>
            </w:r>
          </w:p>
        </w:tc>
        <w:tc>
          <w:tcPr>
            <w:tcW w:w="992" w:type="dxa"/>
            <w:shd w:val="clear" w:color="auto" w:fill="auto"/>
            <w:noWrap/>
            <w:vAlign w:val="center"/>
            <w:hideMark/>
          </w:tcPr>
          <w:p w14:paraId="086FCAE0"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31.69%</w:t>
            </w:r>
          </w:p>
        </w:tc>
        <w:tc>
          <w:tcPr>
            <w:tcW w:w="992" w:type="dxa"/>
            <w:shd w:val="clear" w:color="auto" w:fill="auto"/>
            <w:noWrap/>
            <w:vAlign w:val="center"/>
            <w:hideMark/>
          </w:tcPr>
          <w:p w14:paraId="43C6A3EE"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16.68%</w:t>
            </w:r>
          </w:p>
        </w:tc>
        <w:tc>
          <w:tcPr>
            <w:tcW w:w="993" w:type="dxa"/>
            <w:shd w:val="clear" w:color="auto" w:fill="auto"/>
            <w:noWrap/>
            <w:vAlign w:val="center"/>
            <w:hideMark/>
          </w:tcPr>
          <w:p w14:paraId="368BAFE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10.67%</w:t>
            </w:r>
          </w:p>
        </w:tc>
      </w:tr>
      <w:tr w:rsidR="00FB6B80" w:rsidRPr="0084045A" w14:paraId="281C1903" w14:textId="77777777" w:rsidTr="00333403">
        <w:trPr>
          <w:trHeight w:hRule="exact" w:val="284"/>
        </w:trPr>
        <w:tc>
          <w:tcPr>
            <w:tcW w:w="0" w:type="auto"/>
            <w:shd w:val="clear" w:color="auto" w:fill="auto"/>
            <w:noWrap/>
            <w:vAlign w:val="center"/>
            <w:hideMark/>
          </w:tcPr>
          <w:p w14:paraId="187695F4" w14:textId="5ACC89CE" w:rsidR="00FB6B80" w:rsidRPr="0084045A" w:rsidRDefault="00451B07"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w:t>
            </w:r>
            <w:r w:rsidR="00FB6B80" w:rsidRPr="0084045A">
              <w:rPr>
                <w:rFonts w:ascii="Arial" w:eastAsia="Times New Roman" w:hAnsi="Arial" w:cs="Arial"/>
                <w:noProof/>
                <w:color w:val="000000"/>
                <w:sz w:val="18"/>
                <w:szCs w:val="18"/>
                <w:lang w:val="en-GB" w:eastAsia="es-MX"/>
              </w:rPr>
              <w:t>95</w:t>
            </w:r>
          </w:p>
        </w:tc>
        <w:tc>
          <w:tcPr>
            <w:tcW w:w="968" w:type="dxa"/>
            <w:shd w:val="clear" w:color="auto" w:fill="auto"/>
            <w:noWrap/>
            <w:vAlign w:val="center"/>
            <w:hideMark/>
          </w:tcPr>
          <w:p w14:paraId="18636D4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32.62%</w:t>
            </w:r>
          </w:p>
        </w:tc>
        <w:tc>
          <w:tcPr>
            <w:tcW w:w="992" w:type="dxa"/>
            <w:shd w:val="clear" w:color="auto" w:fill="auto"/>
            <w:noWrap/>
            <w:vAlign w:val="center"/>
            <w:hideMark/>
          </w:tcPr>
          <w:p w14:paraId="3964537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10.37%</w:t>
            </w:r>
          </w:p>
        </w:tc>
        <w:tc>
          <w:tcPr>
            <w:tcW w:w="851" w:type="dxa"/>
            <w:shd w:val="clear" w:color="auto" w:fill="auto"/>
            <w:noWrap/>
            <w:vAlign w:val="center"/>
            <w:hideMark/>
          </w:tcPr>
          <w:p w14:paraId="58E32D82"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0.00%</w:t>
            </w:r>
          </w:p>
        </w:tc>
        <w:tc>
          <w:tcPr>
            <w:tcW w:w="992" w:type="dxa"/>
            <w:shd w:val="clear" w:color="auto" w:fill="auto"/>
            <w:noWrap/>
            <w:vAlign w:val="center"/>
            <w:hideMark/>
          </w:tcPr>
          <w:p w14:paraId="1E55CB4A"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24.88%</w:t>
            </w:r>
          </w:p>
        </w:tc>
        <w:tc>
          <w:tcPr>
            <w:tcW w:w="992" w:type="dxa"/>
            <w:shd w:val="clear" w:color="auto" w:fill="auto"/>
            <w:noWrap/>
            <w:vAlign w:val="center"/>
            <w:hideMark/>
          </w:tcPr>
          <w:p w14:paraId="5C64A169"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16.59%</w:t>
            </w:r>
          </w:p>
        </w:tc>
        <w:tc>
          <w:tcPr>
            <w:tcW w:w="993" w:type="dxa"/>
            <w:shd w:val="clear" w:color="auto" w:fill="auto"/>
            <w:noWrap/>
            <w:vAlign w:val="center"/>
            <w:hideMark/>
          </w:tcPr>
          <w:p w14:paraId="1B911695" w14:textId="77777777" w:rsidR="00FB6B80" w:rsidRPr="0084045A" w:rsidRDefault="00FB6B80" w:rsidP="00333403">
            <w:pPr>
              <w:spacing w:after="0" w:line="240" w:lineRule="auto"/>
              <w:jc w:val="center"/>
              <w:rPr>
                <w:rFonts w:ascii="Arial" w:eastAsia="Times New Roman" w:hAnsi="Arial" w:cs="Arial"/>
                <w:noProof/>
                <w:color w:val="000000"/>
                <w:sz w:val="18"/>
                <w:szCs w:val="18"/>
                <w:lang w:val="en-GB" w:eastAsia="es-MX"/>
              </w:rPr>
            </w:pPr>
            <w:r w:rsidRPr="0084045A">
              <w:rPr>
                <w:rFonts w:ascii="Arial" w:eastAsia="Times New Roman" w:hAnsi="Arial" w:cs="Arial"/>
                <w:noProof/>
                <w:color w:val="000000"/>
                <w:sz w:val="18"/>
                <w:szCs w:val="18"/>
                <w:lang w:val="en-GB" w:eastAsia="es-MX"/>
              </w:rPr>
              <w:t>15.55%</w:t>
            </w:r>
          </w:p>
        </w:tc>
      </w:tr>
    </w:tbl>
    <w:p w14:paraId="58F85B7C" w14:textId="7934311C" w:rsidR="00091A14" w:rsidRPr="0084045A" w:rsidRDefault="00091A14" w:rsidP="00FB6B80">
      <w:pPr>
        <w:pStyle w:val="Prrafodelista"/>
        <w:spacing w:after="0" w:line="480" w:lineRule="auto"/>
        <w:ind w:left="0"/>
        <w:rPr>
          <w:rFonts w:ascii="Arial" w:hAnsi="Arial" w:cs="Arial"/>
          <w:noProof/>
          <w:sz w:val="24"/>
          <w:szCs w:val="24"/>
          <w:lang w:val="en-GB"/>
        </w:rPr>
      </w:pPr>
    </w:p>
    <w:p w14:paraId="624CF6AF" w14:textId="77777777" w:rsidR="00091A14" w:rsidRPr="0084045A" w:rsidRDefault="00091A14">
      <w:pPr>
        <w:rPr>
          <w:rFonts w:ascii="Arial" w:hAnsi="Arial" w:cs="Arial"/>
          <w:noProof/>
          <w:sz w:val="24"/>
          <w:szCs w:val="24"/>
          <w:lang w:val="en-GB"/>
        </w:rPr>
      </w:pPr>
      <w:r w:rsidRPr="0084045A">
        <w:rPr>
          <w:rFonts w:ascii="Arial" w:hAnsi="Arial" w:cs="Arial"/>
          <w:noProof/>
          <w:sz w:val="24"/>
          <w:szCs w:val="24"/>
          <w:lang w:val="en-GB"/>
        </w:rPr>
        <w:br w:type="page"/>
      </w:r>
    </w:p>
    <w:p w14:paraId="49F129A7" w14:textId="73CF9893" w:rsidR="00A02A83" w:rsidRPr="003B2744" w:rsidRDefault="00A02A83" w:rsidP="007219CE">
      <w:pPr>
        <w:pStyle w:val="Ttulo1"/>
        <w:rPr>
          <w:noProof/>
          <w:sz w:val="26"/>
          <w:szCs w:val="26"/>
          <w:lang w:val="en-GB"/>
        </w:rPr>
      </w:pPr>
      <w:r w:rsidRPr="003B2744">
        <w:rPr>
          <w:noProof/>
          <w:sz w:val="26"/>
          <w:szCs w:val="26"/>
          <w:lang w:val="en-GB"/>
        </w:rPr>
        <w:lastRenderedPageBreak/>
        <w:t xml:space="preserve">Supplement </w:t>
      </w:r>
      <w:r w:rsidR="00EF2803" w:rsidRPr="003B2744">
        <w:rPr>
          <w:noProof/>
          <w:sz w:val="26"/>
          <w:szCs w:val="26"/>
          <w:lang w:val="en-GB"/>
        </w:rPr>
        <w:t>3</w:t>
      </w:r>
    </w:p>
    <w:p w14:paraId="324466A6" w14:textId="77777777" w:rsidR="00881FBB" w:rsidRPr="0084045A" w:rsidRDefault="00881FBB" w:rsidP="00512905">
      <w:pPr>
        <w:rPr>
          <w:b/>
          <w:noProof/>
          <w:lang w:val="en-GB"/>
        </w:rPr>
      </w:pPr>
    </w:p>
    <w:p w14:paraId="5E7E7F31" w14:textId="7E1D3017" w:rsidR="00881FBB" w:rsidRPr="0084045A" w:rsidRDefault="00881FBB" w:rsidP="00512905">
      <w:pPr>
        <w:pStyle w:val="Ttulo2"/>
        <w:rPr>
          <w:noProof/>
          <w:lang w:val="en-GB"/>
        </w:rPr>
      </w:pPr>
      <w:r w:rsidRPr="0084045A">
        <w:rPr>
          <w:noProof/>
          <w:lang w:val="en-GB"/>
        </w:rPr>
        <w:t xml:space="preserve">Table </w:t>
      </w:r>
      <w:r w:rsidR="00E7590C" w:rsidRPr="0084045A">
        <w:rPr>
          <w:noProof/>
          <w:lang w:val="en-GB"/>
        </w:rPr>
        <w:t>S</w:t>
      </w:r>
      <w:r w:rsidR="00EF2803" w:rsidRPr="0084045A">
        <w:rPr>
          <w:noProof/>
          <w:lang w:val="en-GB"/>
        </w:rPr>
        <w:t>3</w:t>
      </w:r>
      <w:r w:rsidR="00E7590C" w:rsidRPr="0084045A">
        <w:rPr>
          <w:noProof/>
          <w:lang w:val="en-GB"/>
        </w:rPr>
        <w:t>.</w:t>
      </w:r>
      <w:r w:rsidR="00EE72A9" w:rsidRPr="0084045A">
        <w:rPr>
          <w:noProof/>
          <w:lang w:val="en-GB"/>
        </w:rPr>
        <w:t>1</w:t>
      </w:r>
      <w:r w:rsidRPr="0084045A">
        <w:rPr>
          <w:noProof/>
          <w:lang w:val="en-GB"/>
        </w:rPr>
        <w:t xml:space="preserve">. </w:t>
      </w:r>
      <w:bookmarkStart w:id="6" w:name="_Hlk20492323"/>
      <w:r w:rsidR="009B7329" w:rsidRPr="0084045A">
        <w:rPr>
          <w:noProof/>
          <w:lang w:val="en-GB"/>
        </w:rPr>
        <w:t>Unit costs using 2018 prices from the three largest public health care providers in Mexico</w:t>
      </w:r>
      <w:bookmarkEnd w:id="6"/>
    </w:p>
    <w:p w14:paraId="35E25AA3" w14:textId="77777777" w:rsidR="00881FBB" w:rsidRPr="0084045A" w:rsidRDefault="00881FBB" w:rsidP="00E85224">
      <w:pPr>
        <w:spacing w:after="0" w:line="240" w:lineRule="auto"/>
        <w:jc w:val="center"/>
        <w:rPr>
          <w:rFonts w:ascii="Arial" w:hAnsi="Arial" w:cs="Arial"/>
          <w:noProof/>
          <w:color w:val="000000" w:themeColor="text1"/>
          <w:sz w:val="10"/>
          <w:szCs w:val="10"/>
          <w:lang w:val="en-GB"/>
        </w:rPr>
      </w:pPr>
    </w:p>
    <w:tbl>
      <w:tblPr>
        <w:tblW w:w="5012"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469"/>
        <w:gridCol w:w="1924"/>
        <w:gridCol w:w="1733"/>
        <w:gridCol w:w="1733"/>
      </w:tblGrid>
      <w:tr w:rsidR="00881FBB" w:rsidRPr="0084045A" w14:paraId="2ED82F65" w14:textId="77777777" w:rsidTr="00512905">
        <w:trPr>
          <w:trHeight w:hRule="exact" w:val="919"/>
        </w:trPr>
        <w:tc>
          <w:tcPr>
            <w:tcW w:w="1958" w:type="pct"/>
            <w:tcBorders>
              <w:bottom w:val="single" w:sz="4" w:space="0" w:color="auto"/>
            </w:tcBorders>
            <w:shd w:val="clear" w:color="auto" w:fill="auto"/>
            <w:noWrap/>
            <w:vAlign w:val="center"/>
            <w:hideMark/>
          </w:tcPr>
          <w:p w14:paraId="47BBDEE7" w14:textId="770622B0" w:rsidR="00881FBB" w:rsidRPr="0084045A" w:rsidRDefault="003E16F5" w:rsidP="00E85224">
            <w:pPr>
              <w:spacing w:after="0" w:line="240" w:lineRule="auto"/>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I</w:t>
            </w:r>
            <w:r w:rsidR="00881FBB" w:rsidRPr="0084045A">
              <w:rPr>
                <w:rFonts w:ascii="Arial" w:eastAsia="Times New Roman" w:hAnsi="Arial" w:cs="Arial"/>
                <w:b/>
                <w:bCs/>
                <w:noProof/>
                <w:color w:val="000000"/>
                <w:lang w:val="en-GB" w:eastAsia="es-ES"/>
              </w:rPr>
              <w:t>tem</w:t>
            </w:r>
          </w:p>
        </w:tc>
        <w:tc>
          <w:tcPr>
            <w:tcW w:w="1086" w:type="pct"/>
            <w:tcBorders>
              <w:bottom w:val="single" w:sz="4" w:space="0" w:color="auto"/>
            </w:tcBorders>
            <w:shd w:val="clear" w:color="auto" w:fill="auto"/>
            <w:noWrap/>
            <w:vAlign w:val="center"/>
            <w:hideMark/>
          </w:tcPr>
          <w:p w14:paraId="0D632CE5" w14:textId="77777777" w:rsidR="00881FBB" w:rsidRPr="0084045A" w:rsidRDefault="00881FBB" w:rsidP="00E85224">
            <w:pPr>
              <w:spacing w:after="0" w:line="240" w:lineRule="auto"/>
              <w:ind w:right="71"/>
              <w:jc w:val="right"/>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 xml:space="preserve">Cost </w:t>
            </w:r>
          </w:p>
          <w:p w14:paraId="30BE1307" w14:textId="77777777" w:rsidR="00881FBB" w:rsidRPr="0084045A" w:rsidRDefault="00881FBB" w:rsidP="00E85224">
            <w:pPr>
              <w:spacing w:after="0" w:line="240" w:lineRule="auto"/>
              <w:ind w:right="71"/>
              <w:jc w:val="right"/>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ISSSTE</w:t>
            </w:r>
          </w:p>
        </w:tc>
        <w:tc>
          <w:tcPr>
            <w:tcW w:w="978" w:type="pct"/>
            <w:tcBorders>
              <w:bottom w:val="single" w:sz="4" w:space="0" w:color="auto"/>
            </w:tcBorders>
            <w:vAlign w:val="center"/>
          </w:tcPr>
          <w:p w14:paraId="06ECB21D" w14:textId="77777777" w:rsidR="00881FBB" w:rsidRPr="0084045A" w:rsidRDefault="00881FBB" w:rsidP="00E85224">
            <w:pPr>
              <w:spacing w:after="0" w:line="240" w:lineRule="auto"/>
              <w:ind w:right="72"/>
              <w:jc w:val="right"/>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 xml:space="preserve">Cost </w:t>
            </w:r>
          </w:p>
          <w:p w14:paraId="4179A959" w14:textId="77777777" w:rsidR="00881FBB" w:rsidRPr="0084045A" w:rsidRDefault="00881FBB" w:rsidP="00E85224">
            <w:pPr>
              <w:spacing w:after="0" w:line="240" w:lineRule="auto"/>
              <w:ind w:right="72"/>
              <w:jc w:val="right"/>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IMSS</w:t>
            </w:r>
          </w:p>
        </w:tc>
        <w:tc>
          <w:tcPr>
            <w:tcW w:w="978" w:type="pct"/>
            <w:tcBorders>
              <w:bottom w:val="single" w:sz="4" w:space="0" w:color="auto"/>
            </w:tcBorders>
            <w:vAlign w:val="center"/>
          </w:tcPr>
          <w:p w14:paraId="7362989D" w14:textId="77777777" w:rsidR="00881FBB" w:rsidRPr="0084045A" w:rsidRDefault="00881FBB" w:rsidP="00E85224">
            <w:pPr>
              <w:spacing w:after="0" w:line="240" w:lineRule="auto"/>
              <w:ind w:right="72"/>
              <w:jc w:val="right"/>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 xml:space="preserve">Cost </w:t>
            </w:r>
          </w:p>
          <w:p w14:paraId="2885C4B5" w14:textId="3CD01AC4" w:rsidR="00881FBB" w:rsidRPr="0084045A" w:rsidRDefault="00E85224" w:rsidP="00E85224">
            <w:pPr>
              <w:spacing w:after="0" w:line="240" w:lineRule="auto"/>
              <w:ind w:right="72"/>
              <w:jc w:val="right"/>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MoH</w:t>
            </w:r>
          </w:p>
        </w:tc>
      </w:tr>
      <w:tr w:rsidR="00881FBB" w:rsidRPr="0084045A" w14:paraId="5BE0107A" w14:textId="77777777" w:rsidTr="00512905">
        <w:trPr>
          <w:trHeight w:hRule="exact" w:val="347"/>
        </w:trPr>
        <w:tc>
          <w:tcPr>
            <w:tcW w:w="1958" w:type="pct"/>
            <w:tcBorders>
              <w:bottom w:val="nil"/>
              <w:right w:val="nil"/>
            </w:tcBorders>
            <w:shd w:val="clear" w:color="auto" w:fill="auto"/>
            <w:noWrap/>
            <w:vAlign w:val="center"/>
            <w:hideMark/>
          </w:tcPr>
          <w:p w14:paraId="369EEECA" w14:textId="4DC219EA" w:rsidR="00881FBB" w:rsidRPr="0084045A" w:rsidRDefault="00505A0C" w:rsidP="00E85224">
            <w:pPr>
              <w:spacing w:after="0" w:line="240" w:lineRule="auto"/>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Outpatient consult</w:t>
            </w:r>
            <w:r w:rsidR="005773E5" w:rsidRPr="0084045A">
              <w:rPr>
                <w:rFonts w:ascii="Arial" w:eastAsia="Times New Roman" w:hAnsi="Arial" w:cs="Arial"/>
                <w:noProof/>
                <w:color w:val="000000"/>
                <w:lang w:val="en-GB" w:eastAsia="es-ES"/>
              </w:rPr>
              <w:t>ation</w:t>
            </w:r>
          </w:p>
        </w:tc>
        <w:tc>
          <w:tcPr>
            <w:tcW w:w="1086" w:type="pct"/>
            <w:tcBorders>
              <w:left w:val="nil"/>
              <w:bottom w:val="nil"/>
              <w:right w:val="nil"/>
            </w:tcBorders>
            <w:shd w:val="clear" w:color="auto" w:fill="auto"/>
            <w:noWrap/>
            <w:vAlign w:val="center"/>
          </w:tcPr>
          <w:p w14:paraId="0A3B7E99" w14:textId="22BE87B8" w:rsidR="00881FBB" w:rsidRPr="0084045A" w:rsidRDefault="00881FBB" w:rsidP="00E85224">
            <w:pPr>
              <w:spacing w:after="0" w:line="240" w:lineRule="auto"/>
              <w:ind w:right="71"/>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370.48 </w:t>
            </w:r>
          </w:p>
        </w:tc>
        <w:tc>
          <w:tcPr>
            <w:tcW w:w="978" w:type="pct"/>
            <w:tcBorders>
              <w:left w:val="nil"/>
              <w:bottom w:val="nil"/>
              <w:right w:val="nil"/>
            </w:tcBorders>
            <w:vAlign w:val="center"/>
          </w:tcPr>
          <w:p w14:paraId="27746470" w14:textId="29ABFF6C"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733.00 </w:t>
            </w:r>
          </w:p>
        </w:tc>
        <w:tc>
          <w:tcPr>
            <w:tcW w:w="978" w:type="pct"/>
            <w:tcBorders>
              <w:left w:val="nil"/>
              <w:bottom w:val="nil"/>
            </w:tcBorders>
            <w:vAlign w:val="center"/>
          </w:tcPr>
          <w:p w14:paraId="373DE0A6" w14:textId="18361D4D"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98.80 </w:t>
            </w:r>
          </w:p>
        </w:tc>
      </w:tr>
      <w:tr w:rsidR="00881FBB" w:rsidRPr="0084045A" w14:paraId="2DA59E54" w14:textId="77777777" w:rsidTr="00512905">
        <w:trPr>
          <w:trHeight w:hRule="exact" w:val="347"/>
        </w:trPr>
        <w:tc>
          <w:tcPr>
            <w:tcW w:w="1958" w:type="pct"/>
            <w:tcBorders>
              <w:top w:val="nil"/>
              <w:bottom w:val="nil"/>
              <w:right w:val="nil"/>
            </w:tcBorders>
            <w:shd w:val="clear" w:color="auto" w:fill="auto"/>
            <w:noWrap/>
            <w:vAlign w:val="center"/>
          </w:tcPr>
          <w:p w14:paraId="3DE4FFCC" w14:textId="416DAD67" w:rsidR="00881FBB" w:rsidRPr="0084045A" w:rsidRDefault="005773E5" w:rsidP="00E85224">
            <w:pPr>
              <w:spacing w:after="0" w:line="240" w:lineRule="auto"/>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 xml:space="preserve">Specialist </w:t>
            </w:r>
            <w:r w:rsidR="00505A0C" w:rsidRPr="0084045A">
              <w:rPr>
                <w:rFonts w:ascii="Arial" w:eastAsia="Times New Roman" w:hAnsi="Arial" w:cs="Arial"/>
                <w:noProof/>
                <w:color w:val="000000"/>
                <w:lang w:val="en-GB" w:eastAsia="es-ES"/>
              </w:rPr>
              <w:t>consult</w:t>
            </w:r>
            <w:r w:rsidRPr="0084045A">
              <w:rPr>
                <w:rFonts w:ascii="Arial" w:eastAsia="Times New Roman" w:hAnsi="Arial" w:cs="Arial"/>
                <w:noProof/>
                <w:color w:val="000000"/>
                <w:lang w:val="en-GB" w:eastAsia="es-ES"/>
              </w:rPr>
              <w:t>ation</w:t>
            </w:r>
          </w:p>
        </w:tc>
        <w:tc>
          <w:tcPr>
            <w:tcW w:w="1086" w:type="pct"/>
            <w:tcBorders>
              <w:top w:val="nil"/>
              <w:left w:val="nil"/>
              <w:bottom w:val="nil"/>
              <w:right w:val="nil"/>
            </w:tcBorders>
            <w:shd w:val="clear" w:color="auto" w:fill="auto"/>
            <w:noWrap/>
            <w:vAlign w:val="center"/>
          </w:tcPr>
          <w:p w14:paraId="15360908" w14:textId="026954EC" w:rsidR="00881FBB" w:rsidRPr="0084045A" w:rsidRDefault="00881FBB" w:rsidP="00E85224">
            <w:pPr>
              <w:spacing w:after="0" w:line="240" w:lineRule="auto"/>
              <w:ind w:right="71"/>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811.53 </w:t>
            </w:r>
          </w:p>
        </w:tc>
        <w:tc>
          <w:tcPr>
            <w:tcW w:w="978" w:type="pct"/>
            <w:tcBorders>
              <w:top w:val="nil"/>
              <w:left w:val="nil"/>
              <w:bottom w:val="nil"/>
              <w:right w:val="nil"/>
            </w:tcBorders>
            <w:vAlign w:val="center"/>
          </w:tcPr>
          <w:p w14:paraId="55053C2A" w14:textId="40CAE9C0"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1160.00</w:t>
            </w:r>
          </w:p>
        </w:tc>
        <w:tc>
          <w:tcPr>
            <w:tcW w:w="978" w:type="pct"/>
            <w:tcBorders>
              <w:top w:val="nil"/>
              <w:left w:val="nil"/>
              <w:bottom w:val="nil"/>
            </w:tcBorders>
            <w:vAlign w:val="center"/>
          </w:tcPr>
          <w:p w14:paraId="44E2034E" w14:textId="6F0ED2F5"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98.80 </w:t>
            </w:r>
          </w:p>
        </w:tc>
      </w:tr>
      <w:tr w:rsidR="00881FBB" w:rsidRPr="0084045A" w14:paraId="7C774937" w14:textId="77777777" w:rsidTr="00512905">
        <w:trPr>
          <w:trHeight w:hRule="exact" w:val="347"/>
        </w:trPr>
        <w:tc>
          <w:tcPr>
            <w:tcW w:w="1958" w:type="pct"/>
            <w:tcBorders>
              <w:top w:val="nil"/>
              <w:bottom w:val="nil"/>
              <w:right w:val="nil"/>
            </w:tcBorders>
            <w:shd w:val="clear" w:color="auto" w:fill="auto"/>
            <w:noWrap/>
            <w:vAlign w:val="center"/>
            <w:hideMark/>
          </w:tcPr>
          <w:p w14:paraId="45B7D1EF" w14:textId="1184D59A" w:rsidR="00881FBB" w:rsidRPr="0084045A" w:rsidRDefault="00881FBB" w:rsidP="00C735DE">
            <w:pPr>
              <w:spacing w:after="0" w:line="240" w:lineRule="auto"/>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E</w:t>
            </w:r>
            <w:r w:rsidR="009B7329" w:rsidRPr="0084045A">
              <w:rPr>
                <w:rFonts w:ascii="Arial" w:eastAsia="Times New Roman" w:hAnsi="Arial" w:cs="Arial"/>
                <w:noProof/>
                <w:color w:val="000000"/>
                <w:lang w:val="en-GB" w:eastAsia="es-ES"/>
              </w:rPr>
              <w:t>mergency room</w:t>
            </w:r>
            <w:r w:rsidRPr="0084045A">
              <w:rPr>
                <w:rFonts w:ascii="Arial" w:eastAsia="Times New Roman" w:hAnsi="Arial" w:cs="Arial"/>
                <w:noProof/>
                <w:color w:val="000000"/>
                <w:lang w:val="en-GB" w:eastAsia="es-ES"/>
              </w:rPr>
              <w:t xml:space="preserve"> </w:t>
            </w:r>
            <w:r w:rsidR="00C735DE" w:rsidRPr="0084045A">
              <w:rPr>
                <w:rFonts w:ascii="Arial" w:eastAsia="Times New Roman" w:hAnsi="Arial" w:cs="Arial"/>
                <w:noProof/>
                <w:color w:val="000000"/>
                <w:lang w:val="en-GB" w:eastAsia="es-ES"/>
              </w:rPr>
              <w:t>care</w:t>
            </w:r>
          </w:p>
        </w:tc>
        <w:tc>
          <w:tcPr>
            <w:tcW w:w="1086" w:type="pct"/>
            <w:tcBorders>
              <w:top w:val="nil"/>
              <w:left w:val="nil"/>
              <w:bottom w:val="nil"/>
              <w:right w:val="nil"/>
            </w:tcBorders>
            <w:shd w:val="clear" w:color="auto" w:fill="auto"/>
            <w:noWrap/>
            <w:vAlign w:val="center"/>
          </w:tcPr>
          <w:p w14:paraId="37FD9A5D" w14:textId="1DEB8241" w:rsidR="00881FBB" w:rsidRPr="0084045A" w:rsidRDefault="00881FBB" w:rsidP="00E85224">
            <w:pPr>
              <w:spacing w:after="0" w:line="240" w:lineRule="auto"/>
              <w:ind w:right="71"/>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811.53 </w:t>
            </w:r>
          </w:p>
        </w:tc>
        <w:tc>
          <w:tcPr>
            <w:tcW w:w="978" w:type="pct"/>
            <w:tcBorders>
              <w:top w:val="nil"/>
              <w:left w:val="nil"/>
              <w:bottom w:val="nil"/>
              <w:right w:val="nil"/>
            </w:tcBorders>
            <w:vAlign w:val="center"/>
          </w:tcPr>
          <w:p w14:paraId="1717A1C7" w14:textId="36E73618"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562.00 </w:t>
            </w:r>
          </w:p>
        </w:tc>
        <w:tc>
          <w:tcPr>
            <w:tcW w:w="978" w:type="pct"/>
            <w:tcBorders>
              <w:top w:val="nil"/>
              <w:left w:val="nil"/>
              <w:bottom w:val="nil"/>
            </w:tcBorders>
            <w:vAlign w:val="center"/>
          </w:tcPr>
          <w:p w14:paraId="00A6076B" w14:textId="26C005DB"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305.21 </w:t>
            </w:r>
          </w:p>
        </w:tc>
      </w:tr>
      <w:tr w:rsidR="00881FBB" w:rsidRPr="0084045A" w14:paraId="54D58448" w14:textId="77777777" w:rsidTr="00512905">
        <w:trPr>
          <w:trHeight w:hRule="exact" w:val="347"/>
        </w:trPr>
        <w:tc>
          <w:tcPr>
            <w:tcW w:w="1958" w:type="pct"/>
            <w:tcBorders>
              <w:top w:val="nil"/>
              <w:bottom w:val="nil"/>
              <w:right w:val="nil"/>
            </w:tcBorders>
            <w:shd w:val="clear" w:color="auto" w:fill="auto"/>
            <w:noWrap/>
            <w:vAlign w:val="center"/>
            <w:hideMark/>
          </w:tcPr>
          <w:p w14:paraId="0740CFC7" w14:textId="77777777" w:rsidR="00881FBB" w:rsidRPr="0084045A" w:rsidRDefault="00881FBB" w:rsidP="00E85224">
            <w:pPr>
              <w:spacing w:after="0" w:line="240" w:lineRule="auto"/>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PCR</w:t>
            </w:r>
          </w:p>
        </w:tc>
        <w:tc>
          <w:tcPr>
            <w:tcW w:w="1086" w:type="pct"/>
            <w:tcBorders>
              <w:top w:val="nil"/>
              <w:left w:val="nil"/>
              <w:bottom w:val="nil"/>
              <w:right w:val="nil"/>
            </w:tcBorders>
            <w:shd w:val="clear" w:color="auto" w:fill="auto"/>
            <w:noWrap/>
            <w:vAlign w:val="center"/>
          </w:tcPr>
          <w:p w14:paraId="5C6FA9A2" w14:textId="300325BA" w:rsidR="00881FBB" w:rsidRPr="0084045A" w:rsidRDefault="00881FBB" w:rsidP="00E85224">
            <w:pPr>
              <w:spacing w:line="240" w:lineRule="auto"/>
              <w:ind w:right="71"/>
              <w:jc w:val="right"/>
              <w:rPr>
                <w:rFonts w:ascii="Arial" w:hAnsi="Arial" w:cs="Arial"/>
                <w:noProof/>
                <w:color w:val="000000"/>
                <w:lang w:val="en-GB"/>
              </w:rPr>
            </w:pPr>
            <w:r w:rsidRPr="0084045A">
              <w:rPr>
                <w:rFonts w:ascii="Arial" w:hAnsi="Arial" w:cs="Arial"/>
                <w:noProof/>
                <w:color w:val="000000"/>
                <w:lang w:val="en-GB"/>
              </w:rPr>
              <w:t xml:space="preserve">2380.47 </w:t>
            </w:r>
          </w:p>
          <w:p w14:paraId="42CB895D" w14:textId="77777777" w:rsidR="00881FBB" w:rsidRPr="0084045A" w:rsidRDefault="00881FBB" w:rsidP="00E85224">
            <w:pPr>
              <w:spacing w:after="0" w:line="240" w:lineRule="auto"/>
              <w:ind w:right="71"/>
              <w:jc w:val="right"/>
              <w:rPr>
                <w:rFonts w:ascii="Arial" w:eastAsia="Times New Roman" w:hAnsi="Arial" w:cs="Arial"/>
                <w:noProof/>
                <w:color w:val="000000"/>
                <w:lang w:val="en-GB" w:eastAsia="es-ES"/>
              </w:rPr>
            </w:pPr>
          </w:p>
        </w:tc>
        <w:tc>
          <w:tcPr>
            <w:tcW w:w="978" w:type="pct"/>
            <w:tcBorders>
              <w:top w:val="nil"/>
              <w:left w:val="nil"/>
              <w:bottom w:val="nil"/>
              <w:right w:val="nil"/>
            </w:tcBorders>
            <w:vAlign w:val="center"/>
          </w:tcPr>
          <w:p w14:paraId="156182A3" w14:textId="03CB0D91" w:rsidR="00881FBB" w:rsidRPr="0084045A" w:rsidRDefault="00881FBB" w:rsidP="00E85224">
            <w:pPr>
              <w:spacing w:line="240" w:lineRule="auto"/>
              <w:ind w:right="72"/>
              <w:jc w:val="right"/>
              <w:rPr>
                <w:rFonts w:ascii="Arial" w:hAnsi="Arial" w:cs="Arial"/>
                <w:noProof/>
                <w:color w:val="000000"/>
                <w:lang w:val="en-GB"/>
              </w:rPr>
            </w:pPr>
            <w:r w:rsidRPr="0084045A">
              <w:rPr>
                <w:rFonts w:ascii="Arial" w:hAnsi="Arial" w:cs="Arial"/>
                <w:noProof/>
                <w:color w:val="000000"/>
                <w:lang w:val="en-GB"/>
              </w:rPr>
              <w:t xml:space="preserve">1932.43 </w:t>
            </w:r>
          </w:p>
          <w:p w14:paraId="58DD767D" w14:textId="77777777"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p>
        </w:tc>
        <w:tc>
          <w:tcPr>
            <w:tcW w:w="978" w:type="pct"/>
            <w:tcBorders>
              <w:top w:val="nil"/>
              <w:left w:val="nil"/>
              <w:bottom w:val="nil"/>
            </w:tcBorders>
            <w:vAlign w:val="center"/>
          </w:tcPr>
          <w:p w14:paraId="431779FE" w14:textId="1FD4219C" w:rsidR="00881FBB" w:rsidRPr="0084045A" w:rsidRDefault="00881FBB" w:rsidP="00E85224">
            <w:pPr>
              <w:spacing w:line="240" w:lineRule="auto"/>
              <w:ind w:right="72"/>
              <w:jc w:val="right"/>
              <w:rPr>
                <w:rFonts w:ascii="Arial" w:hAnsi="Arial" w:cs="Arial"/>
                <w:noProof/>
                <w:color w:val="000000"/>
                <w:lang w:val="en-GB"/>
              </w:rPr>
            </w:pPr>
            <w:r w:rsidRPr="0084045A">
              <w:rPr>
                <w:rFonts w:ascii="Arial" w:hAnsi="Arial" w:cs="Arial"/>
                <w:noProof/>
                <w:color w:val="000000"/>
                <w:lang w:val="en-GB"/>
              </w:rPr>
              <w:t xml:space="preserve">2380.47 </w:t>
            </w:r>
          </w:p>
          <w:p w14:paraId="76AFE448" w14:textId="77777777"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p>
        </w:tc>
      </w:tr>
      <w:tr w:rsidR="00881FBB" w:rsidRPr="0084045A" w14:paraId="6191041A" w14:textId="77777777" w:rsidTr="00512905">
        <w:trPr>
          <w:trHeight w:hRule="exact" w:val="347"/>
        </w:trPr>
        <w:tc>
          <w:tcPr>
            <w:tcW w:w="1958" w:type="pct"/>
            <w:tcBorders>
              <w:top w:val="nil"/>
              <w:bottom w:val="nil"/>
              <w:right w:val="nil"/>
            </w:tcBorders>
            <w:shd w:val="clear" w:color="auto" w:fill="auto"/>
            <w:noWrap/>
            <w:vAlign w:val="center"/>
          </w:tcPr>
          <w:p w14:paraId="1E40AE2D" w14:textId="77777777" w:rsidR="00881FBB" w:rsidRPr="0084045A" w:rsidRDefault="00881FBB" w:rsidP="00E85224">
            <w:pPr>
              <w:spacing w:after="0" w:line="240" w:lineRule="auto"/>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Bacteriologic culture</w:t>
            </w:r>
          </w:p>
        </w:tc>
        <w:tc>
          <w:tcPr>
            <w:tcW w:w="1086" w:type="pct"/>
            <w:tcBorders>
              <w:top w:val="nil"/>
              <w:left w:val="nil"/>
              <w:bottom w:val="nil"/>
              <w:right w:val="nil"/>
            </w:tcBorders>
            <w:shd w:val="clear" w:color="auto" w:fill="auto"/>
            <w:noWrap/>
            <w:vAlign w:val="center"/>
          </w:tcPr>
          <w:p w14:paraId="3266BD07" w14:textId="26A902F0" w:rsidR="00881FBB" w:rsidRPr="0084045A" w:rsidRDefault="00881FBB" w:rsidP="00E85224">
            <w:pPr>
              <w:spacing w:after="0" w:line="240" w:lineRule="auto"/>
              <w:ind w:right="71"/>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201.34 </w:t>
            </w:r>
          </w:p>
        </w:tc>
        <w:tc>
          <w:tcPr>
            <w:tcW w:w="978" w:type="pct"/>
            <w:tcBorders>
              <w:top w:val="nil"/>
              <w:left w:val="nil"/>
              <w:bottom w:val="nil"/>
              <w:right w:val="nil"/>
            </w:tcBorders>
            <w:vAlign w:val="center"/>
          </w:tcPr>
          <w:p w14:paraId="2A6E96BA" w14:textId="78BCD7A3"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201.34 </w:t>
            </w:r>
          </w:p>
        </w:tc>
        <w:tc>
          <w:tcPr>
            <w:tcW w:w="978" w:type="pct"/>
            <w:tcBorders>
              <w:top w:val="nil"/>
              <w:left w:val="nil"/>
              <w:bottom w:val="nil"/>
            </w:tcBorders>
            <w:vAlign w:val="center"/>
          </w:tcPr>
          <w:p w14:paraId="6F992799" w14:textId="28152595"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201.34 </w:t>
            </w:r>
          </w:p>
        </w:tc>
      </w:tr>
      <w:tr w:rsidR="00881FBB" w:rsidRPr="0084045A" w14:paraId="18E23848" w14:textId="77777777" w:rsidTr="00512905">
        <w:trPr>
          <w:trHeight w:hRule="exact" w:val="347"/>
        </w:trPr>
        <w:tc>
          <w:tcPr>
            <w:tcW w:w="1958" w:type="pct"/>
            <w:tcBorders>
              <w:top w:val="nil"/>
              <w:bottom w:val="nil"/>
              <w:right w:val="nil"/>
            </w:tcBorders>
            <w:shd w:val="clear" w:color="auto" w:fill="auto"/>
            <w:noWrap/>
            <w:vAlign w:val="center"/>
            <w:hideMark/>
          </w:tcPr>
          <w:p w14:paraId="13574C77" w14:textId="07DFD811" w:rsidR="00881FBB" w:rsidRPr="0084045A" w:rsidRDefault="00881FBB" w:rsidP="00094075">
            <w:pPr>
              <w:spacing w:after="0" w:line="240" w:lineRule="auto"/>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Amantadine</w:t>
            </w:r>
          </w:p>
        </w:tc>
        <w:tc>
          <w:tcPr>
            <w:tcW w:w="1086" w:type="pct"/>
            <w:tcBorders>
              <w:top w:val="nil"/>
              <w:left w:val="nil"/>
              <w:bottom w:val="nil"/>
              <w:right w:val="nil"/>
            </w:tcBorders>
            <w:shd w:val="clear" w:color="auto" w:fill="auto"/>
            <w:noWrap/>
            <w:vAlign w:val="center"/>
          </w:tcPr>
          <w:p w14:paraId="171D1DBE" w14:textId="3CE28ABA" w:rsidR="00881FBB" w:rsidRPr="0084045A" w:rsidRDefault="00881FBB" w:rsidP="00E85224">
            <w:pPr>
              <w:spacing w:after="0" w:line="240" w:lineRule="auto"/>
              <w:ind w:right="71"/>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45.00 </w:t>
            </w:r>
          </w:p>
        </w:tc>
        <w:tc>
          <w:tcPr>
            <w:tcW w:w="978" w:type="pct"/>
            <w:tcBorders>
              <w:top w:val="nil"/>
              <w:left w:val="nil"/>
              <w:bottom w:val="nil"/>
              <w:right w:val="nil"/>
            </w:tcBorders>
            <w:vAlign w:val="center"/>
          </w:tcPr>
          <w:p w14:paraId="530AB174" w14:textId="7FA97AED"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45.00 </w:t>
            </w:r>
          </w:p>
        </w:tc>
        <w:tc>
          <w:tcPr>
            <w:tcW w:w="978" w:type="pct"/>
            <w:tcBorders>
              <w:top w:val="nil"/>
              <w:left w:val="nil"/>
              <w:bottom w:val="nil"/>
            </w:tcBorders>
            <w:vAlign w:val="center"/>
          </w:tcPr>
          <w:p w14:paraId="5C468827" w14:textId="4E4F8019"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45.00 </w:t>
            </w:r>
          </w:p>
        </w:tc>
      </w:tr>
      <w:tr w:rsidR="00881FBB" w:rsidRPr="0084045A" w14:paraId="6285170E" w14:textId="77777777" w:rsidTr="00512905">
        <w:trPr>
          <w:trHeight w:hRule="exact" w:val="347"/>
        </w:trPr>
        <w:tc>
          <w:tcPr>
            <w:tcW w:w="1958" w:type="pct"/>
            <w:tcBorders>
              <w:top w:val="nil"/>
              <w:bottom w:val="nil"/>
              <w:right w:val="nil"/>
            </w:tcBorders>
            <w:shd w:val="clear" w:color="auto" w:fill="auto"/>
            <w:noWrap/>
            <w:vAlign w:val="center"/>
            <w:hideMark/>
          </w:tcPr>
          <w:p w14:paraId="3995DC27" w14:textId="3170C07F" w:rsidR="00881FBB" w:rsidRPr="0084045A" w:rsidRDefault="00881FBB" w:rsidP="00E85224">
            <w:pPr>
              <w:spacing w:after="0" w:line="240" w:lineRule="auto"/>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Oseltamivir</w:t>
            </w:r>
          </w:p>
        </w:tc>
        <w:tc>
          <w:tcPr>
            <w:tcW w:w="1086" w:type="pct"/>
            <w:tcBorders>
              <w:top w:val="nil"/>
              <w:left w:val="nil"/>
              <w:bottom w:val="nil"/>
              <w:right w:val="nil"/>
            </w:tcBorders>
            <w:shd w:val="clear" w:color="auto" w:fill="auto"/>
            <w:noWrap/>
            <w:vAlign w:val="center"/>
          </w:tcPr>
          <w:p w14:paraId="452B8E46" w14:textId="59F0DDBB" w:rsidR="00881FBB" w:rsidRPr="0084045A" w:rsidRDefault="00881FBB" w:rsidP="00E85224">
            <w:pPr>
              <w:spacing w:after="0" w:line="240" w:lineRule="auto"/>
              <w:ind w:right="71"/>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110.87 </w:t>
            </w:r>
          </w:p>
        </w:tc>
        <w:tc>
          <w:tcPr>
            <w:tcW w:w="978" w:type="pct"/>
            <w:tcBorders>
              <w:top w:val="nil"/>
              <w:left w:val="nil"/>
              <w:bottom w:val="nil"/>
              <w:right w:val="nil"/>
            </w:tcBorders>
            <w:vAlign w:val="center"/>
          </w:tcPr>
          <w:p w14:paraId="32FDDF8F" w14:textId="23DDD9E6"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110.87 </w:t>
            </w:r>
          </w:p>
        </w:tc>
        <w:tc>
          <w:tcPr>
            <w:tcW w:w="978" w:type="pct"/>
            <w:tcBorders>
              <w:top w:val="nil"/>
              <w:left w:val="nil"/>
              <w:bottom w:val="nil"/>
            </w:tcBorders>
            <w:vAlign w:val="center"/>
          </w:tcPr>
          <w:p w14:paraId="50763967" w14:textId="5AF2170C"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r w:rsidRPr="0084045A">
              <w:rPr>
                <w:rFonts w:ascii="Arial" w:hAnsi="Arial" w:cs="Arial"/>
                <w:noProof/>
                <w:color w:val="000000"/>
                <w:lang w:val="en-GB"/>
              </w:rPr>
              <w:t xml:space="preserve">110.87 </w:t>
            </w:r>
          </w:p>
        </w:tc>
      </w:tr>
      <w:tr w:rsidR="00881FBB" w:rsidRPr="0084045A" w14:paraId="03E93242" w14:textId="77777777" w:rsidTr="00512905">
        <w:trPr>
          <w:trHeight w:hRule="exact" w:val="347"/>
        </w:trPr>
        <w:tc>
          <w:tcPr>
            <w:tcW w:w="1958" w:type="pct"/>
            <w:tcBorders>
              <w:top w:val="nil"/>
              <w:bottom w:val="nil"/>
              <w:right w:val="nil"/>
            </w:tcBorders>
            <w:shd w:val="clear" w:color="auto" w:fill="auto"/>
            <w:noWrap/>
            <w:vAlign w:val="center"/>
            <w:hideMark/>
          </w:tcPr>
          <w:p w14:paraId="26D270D8" w14:textId="4D958414" w:rsidR="00881FBB" w:rsidRPr="0084045A" w:rsidRDefault="00881FBB" w:rsidP="00E85224">
            <w:pPr>
              <w:spacing w:after="0" w:line="240" w:lineRule="auto"/>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Paracetamol</w:t>
            </w:r>
          </w:p>
        </w:tc>
        <w:tc>
          <w:tcPr>
            <w:tcW w:w="1086" w:type="pct"/>
            <w:tcBorders>
              <w:top w:val="nil"/>
              <w:left w:val="nil"/>
              <w:bottom w:val="nil"/>
              <w:right w:val="nil"/>
            </w:tcBorders>
            <w:shd w:val="clear" w:color="auto" w:fill="auto"/>
            <w:noWrap/>
            <w:vAlign w:val="center"/>
          </w:tcPr>
          <w:p w14:paraId="723FD280" w14:textId="087738D0" w:rsidR="00881FBB" w:rsidRPr="0084045A" w:rsidRDefault="00881FBB" w:rsidP="00E85224">
            <w:pPr>
              <w:spacing w:line="240" w:lineRule="auto"/>
              <w:ind w:right="71"/>
              <w:jc w:val="right"/>
              <w:rPr>
                <w:rFonts w:ascii="Arial" w:hAnsi="Arial" w:cs="Arial"/>
                <w:noProof/>
                <w:color w:val="000000"/>
                <w:lang w:val="en-GB"/>
              </w:rPr>
            </w:pPr>
            <w:r w:rsidRPr="0084045A">
              <w:rPr>
                <w:rFonts w:ascii="Arial" w:hAnsi="Arial" w:cs="Arial"/>
                <w:noProof/>
                <w:color w:val="000000"/>
                <w:lang w:val="en-GB"/>
              </w:rPr>
              <w:t xml:space="preserve">9.30 </w:t>
            </w:r>
          </w:p>
          <w:p w14:paraId="157B7602" w14:textId="77777777" w:rsidR="00881FBB" w:rsidRPr="0084045A" w:rsidRDefault="00881FBB" w:rsidP="00E85224">
            <w:pPr>
              <w:spacing w:after="0" w:line="240" w:lineRule="auto"/>
              <w:ind w:right="71"/>
              <w:jc w:val="right"/>
              <w:rPr>
                <w:rFonts w:ascii="Arial" w:eastAsia="Times New Roman" w:hAnsi="Arial" w:cs="Arial"/>
                <w:noProof/>
                <w:color w:val="000000"/>
                <w:lang w:val="en-GB" w:eastAsia="es-ES"/>
              </w:rPr>
            </w:pPr>
          </w:p>
        </w:tc>
        <w:tc>
          <w:tcPr>
            <w:tcW w:w="978" w:type="pct"/>
            <w:tcBorders>
              <w:top w:val="nil"/>
              <w:left w:val="nil"/>
              <w:bottom w:val="nil"/>
              <w:right w:val="nil"/>
            </w:tcBorders>
            <w:vAlign w:val="center"/>
          </w:tcPr>
          <w:p w14:paraId="3C6AE7CB" w14:textId="10FD1384" w:rsidR="00881FBB" w:rsidRPr="0084045A" w:rsidRDefault="00881FBB" w:rsidP="00E85224">
            <w:pPr>
              <w:spacing w:line="240" w:lineRule="auto"/>
              <w:ind w:right="72"/>
              <w:jc w:val="right"/>
              <w:rPr>
                <w:rFonts w:ascii="Arial" w:hAnsi="Arial" w:cs="Arial"/>
                <w:noProof/>
                <w:color w:val="000000"/>
                <w:lang w:val="en-GB"/>
              </w:rPr>
            </w:pPr>
            <w:r w:rsidRPr="0084045A">
              <w:rPr>
                <w:rFonts w:ascii="Arial" w:hAnsi="Arial" w:cs="Arial"/>
                <w:noProof/>
                <w:color w:val="000000"/>
                <w:lang w:val="en-GB"/>
              </w:rPr>
              <w:t xml:space="preserve">3.12 </w:t>
            </w:r>
          </w:p>
          <w:p w14:paraId="6C4B3202" w14:textId="77777777"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p>
        </w:tc>
        <w:tc>
          <w:tcPr>
            <w:tcW w:w="978" w:type="pct"/>
            <w:tcBorders>
              <w:top w:val="nil"/>
              <w:left w:val="nil"/>
              <w:bottom w:val="nil"/>
            </w:tcBorders>
            <w:vAlign w:val="center"/>
          </w:tcPr>
          <w:p w14:paraId="1BCA59B6" w14:textId="146B0AA4" w:rsidR="00881FBB" w:rsidRPr="0084045A" w:rsidRDefault="00881FBB" w:rsidP="00E85224">
            <w:pPr>
              <w:spacing w:line="240" w:lineRule="auto"/>
              <w:ind w:right="72"/>
              <w:jc w:val="right"/>
              <w:rPr>
                <w:rFonts w:ascii="Arial" w:hAnsi="Arial" w:cs="Arial"/>
                <w:noProof/>
                <w:color w:val="000000"/>
                <w:lang w:val="en-GB"/>
              </w:rPr>
            </w:pPr>
            <w:r w:rsidRPr="0084045A">
              <w:rPr>
                <w:rFonts w:ascii="Arial" w:hAnsi="Arial" w:cs="Arial"/>
                <w:noProof/>
                <w:color w:val="000000"/>
                <w:lang w:val="en-GB"/>
              </w:rPr>
              <w:t xml:space="preserve">3.12 </w:t>
            </w:r>
          </w:p>
          <w:p w14:paraId="3CE04CA5" w14:textId="77777777"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p>
        </w:tc>
      </w:tr>
      <w:tr w:rsidR="00881FBB" w:rsidRPr="0084045A" w14:paraId="1C843089" w14:textId="77777777" w:rsidTr="00512905">
        <w:trPr>
          <w:trHeight w:hRule="exact" w:val="347"/>
        </w:trPr>
        <w:tc>
          <w:tcPr>
            <w:tcW w:w="1958" w:type="pct"/>
            <w:tcBorders>
              <w:top w:val="nil"/>
              <w:bottom w:val="nil"/>
              <w:right w:val="nil"/>
            </w:tcBorders>
            <w:shd w:val="clear" w:color="auto" w:fill="auto"/>
            <w:noWrap/>
            <w:vAlign w:val="center"/>
          </w:tcPr>
          <w:p w14:paraId="2439B910" w14:textId="7BF8D917" w:rsidR="00881FBB" w:rsidRPr="0084045A" w:rsidRDefault="00881FBB" w:rsidP="00E85224">
            <w:pPr>
              <w:spacing w:after="0" w:line="240" w:lineRule="auto"/>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Ceftriaxone</w:t>
            </w:r>
          </w:p>
        </w:tc>
        <w:tc>
          <w:tcPr>
            <w:tcW w:w="1086" w:type="pct"/>
            <w:tcBorders>
              <w:top w:val="nil"/>
              <w:left w:val="nil"/>
              <w:bottom w:val="nil"/>
              <w:right w:val="nil"/>
            </w:tcBorders>
            <w:shd w:val="clear" w:color="auto" w:fill="auto"/>
            <w:noWrap/>
            <w:vAlign w:val="center"/>
          </w:tcPr>
          <w:p w14:paraId="557D5F4C" w14:textId="60CB29ED" w:rsidR="00881FBB" w:rsidRPr="0084045A" w:rsidRDefault="00881FBB" w:rsidP="00E85224">
            <w:pPr>
              <w:spacing w:line="240" w:lineRule="auto"/>
              <w:ind w:right="71"/>
              <w:jc w:val="right"/>
              <w:rPr>
                <w:rFonts w:ascii="Arial" w:hAnsi="Arial" w:cs="Arial"/>
                <w:noProof/>
                <w:color w:val="000000"/>
                <w:lang w:val="en-GB"/>
              </w:rPr>
            </w:pPr>
            <w:r w:rsidRPr="0084045A">
              <w:rPr>
                <w:rFonts w:ascii="Arial" w:hAnsi="Arial" w:cs="Arial"/>
                <w:noProof/>
                <w:color w:val="000000"/>
                <w:lang w:val="en-GB"/>
              </w:rPr>
              <w:t xml:space="preserve">11.87 </w:t>
            </w:r>
          </w:p>
          <w:p w14:paraId="45BDC133" w14:textId="77777777" w:rsidR="00881FBB" w:rsidRPr="0084045A" w:rsidRDefault="00881FBB" w:rsidP="00E85224">
            <w:pPr>
              <w:spacing w:after="0" w:line="240" w:lineRule="auto"/>
              <w:ind w:right="71"/>
              <w:jc w:val="right"/>
              <w:rPr>
                <w:rFonts w:ascii="Arial" w:eastAsia="Times New Roman" w:hAnsi="Arial" w:cs="Arial"/>
                <w:noProof/>
                <w:color w:val="000000"/>
                <w:lang w:val="en-GB" w:eastAsia="es-ES"/>
              </w:rPr>
            </w:pPr>
          </w:p>
        </w:tc>
        <w:tc>
          <w:tcPr>
            <w:tcW w:w="978" w:type="pct"/>
            <w:tcBorders>
              <w:top w:val="nil"/>
              <w:left w:val="nil"/>
              <w:bottom w:val="nil"/>
              <w:right w:val="nil"/>
            </w:tcBorders>
            <w:vAlign w:val="center"/>
          </w:tcPr>
          <w:p w14:paraId="1BA98C29" w14:textId="7A074C98" w:rsidR="00881FBB" w:rsidRPr="0084045A" w:rsidRDefault="00881FBB" w:rsidP="00E85224">
            <w:pPr>
              <w:spacing w:line="240" w:lineRule="auto"/>
              <w:ind w:right="72"/>
              <w:jc w:val="right"/>
              <w:rPr>
                <w:rFonts w:ascii="Arial" w:hAnsi="Arial" w:cs="Arial"/>
                <w:noProof/>
                <w:color w:val="000000"/>
                <w:lang w:val="en-GB"/>
              </w:rPr>
            </w:pPr>
            <w:r w:rsidRPr="0084045A">
              <w:rPr>
                <w:rFonts w:ascii="Arial" w:hAnsi="Arial" w:cs="Arial"/>
                <w:noProof/>
                <w:color w:val="000000"/>
                <w:lang w:val="en-GB"/>
              </w:rPr>
              <w:t xml:space="preserve">11.89 </w:t>
            </w:r>
          </w:p>
          <w:p w14:paraId="5272B113" w14:textId="77777777"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p>
        </w:tc>
        <w:tc>
          <w:tcPr>
            <w:tcW w:w="978" w:type="pct"/>
            <w:tcBorders>
              <w:top w:val="nil"/>
              <w:left w:val="nil"/>
              <w:bottom w:val="nil"/>
            </w:tcBorders>
            <w:vAlign w:val="center"/>
          </w:tcPr>
          <w:p w14:paraId="14FFF7E0" w14:textId="698402E7" w:rsidR="00881FBB" w:rsidRPr="0084045A" w:rsidRDefault="00881FBB" w:rsidP="00E85224">
            <w:pPr>
              <w:spacing w:line="240" w:lineRule="auto"/>
              <w:ind w:right="72"/>
              <w:jc w:val="right"/>
              <w:rPr>
                <w:rFonts w:ascii="Arial" w:hAnsi="Arial" w:cs="Arial"/>
                <w:noProof/>
                <w:color w:val="000000"/>
                <w:lang w:val="en-GB"/>
              </w:rPr>
            </w:pPr>
            <w:r w:rsidRPr="0084045A">
              <w:rPr>
                <w:rFonts w:ascii="Arial" w:hAnsi="Arial" w:cs="Arial"/>
                <w:noProof/>
                <w:color w:val="000000"/>
                <w:lang w:val="en-GB"/>
              </w:rPr>
              <w:t xml:space="preserve">10.67 </w:t>
            </w:r>
          </w:p>
          <w:p w14:paraId="3AD51B46" w14:textId="77777777"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p>
        </w:tc>
      </w:tr>
      <w:tr w:rsidR="00881FBB" w:rsidRPr="0084045A" w14:paraId="1397806C" w14:textId="77777777" w:rsidTr="00512905">
        <w:trPr>
          <w:trHeight w:hRule="exact" w:val="347"/>
        </w:trPr>
        <w:tc>
          <w:tcPr>
            <w:tcW w:w="1958" w:type="pct"/>
            <w:tcBorders>
              <w:top w:val="nil"/>
              <w:right w:val="nil"/>
            </w:tcBorders>
            <w:shd w:val="clear" w:color="auto" w:fill="auto"/>
            <w:noWrap/>
            <w:vAlign w:val="center"/>
          </w:tcPr>
          <w:p w14:paraId="1646C506" w14:textId="4387C612" w:rsidR="00881FBB" w:rsidRPr="0084045A" w:rsidRDefault="00881FBB" w:rsidP="00C735DE">
            <w:pPr>
              <w:spacing w:after="0" w:line="240" w:lineRule="auto"/>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Hospitali</w:t>
            </w:r>
            <w:r w:rsidR="00C735DE" w:rsidRPr="0084045A">
              <w:rPr>
                <w:rFonts w:ascii="Arial" w:eastAsia="Times New Roman" w:hAnsi="Arial" w:cs="Arial"/>
                <w:noProof/>
                <w:color w:val="000000"/>
                <w:lang w:val="en-GB" w:eastAsia="es-ES"/>
              </w:rPr>
              <w:t>s</w:t>
            </w:r>
            <w:r w:rsidRPr="0084045A">
              <w:rPr>
                <w:rFonts w:ascii="Arial" w:eastAsia="Times New Roman" w:hAnsi="Arial" w:cs="Arial"/>
                <w:noProof/>
                <w:color w:val="000000"/>
                <w:lang w:val="en-GB" w:eastAsia="es-ES"/>
              </w:rPr>
              <w:t>ation bed-day</w:t>
            </w:r>
          </w:p>
        </w:tc>
        <w:tc>
          <w:tcPr>
            <w:tcW w:w="1086" w:type="pct"/>
            <w:tcBorders>
              <w:top w:val="nil"/>
              <w:left w:val="nil"/>
              <w:right w:val="nil"/>
            </w:tcBorders>
            <w:shd w:val="clear" w:color="auto" w:fill="auto"/>
            <w:noWrap/>
            <w:vAlign w:val="center"/>
          </w:tcPr>
          <w:p w14:paraId="34013512" w14:textId="281A1E69" w:rsidR="00881FBB" w:rsidRPr="0084045A" w:rsidRDefault="00881FBB" w:rsidP="00E85224">
            <w:pPr>
              <w:spacing w:line="240" w:lineRule="auto"/>
              <w:ind w:right="71"/>
              <w:jc w:val="right"/>
              <w:rPr>
                <w:rFonts w:ascii="Arial" w:hAnsi="Arial" w:cs="Arial"/>
                <w:noProof/>
                <w:color w:val="000000"/>
                <w:lang w:val="en-GB"/>
              </w:rPr>
            </w:pPr>
            <w:r w:rsidRPr="0084045A">
              <w:rPr>
                <w:rFonts w:ascii="Arial" w:hAnsi="Arial" w:cs="Arial"/>
                <w:noProof/>
                <w:color w:val="000000"/>
                <w:lang w:val="en-GB"/>
              </w:rPr>
              <w:t xml:space="preserve">2064.12 </w:t>
            </w:r>
          </w:p>
          <w:p w14:paraId="2D5DCEBA" w14:textId="77777777" w:rsidR="00881FBB" w:rsidRPr="0084045A" w:rsidRDefault="00881FBB" w:rsidP="00E85224">
            <w:pPr>
              <w:spacing w:after="0" w:line="240" w:lineRule="auto"/>
              <w:ind w:right="71"/>
              <w:jc w:val="right"/>
              <w:rPr>
                <w:rFonts w:ascii="Arial" w:eastAsia="Times New Roman" w:hAnsi="Arial" w:cs="Arial"/>
                <w:noProof/>
                <w:color w:val="000000"/>
                <w:lang w:val="en-GB" w:eastAsia="es-ES"/>
              </w:rPr>
            </w:pPr>
          </w:p>
        </w:tc>
        <w:tc>
          <w:tcPr>
            <w:tcW w:w="978" w:type="pct"/>
            <w:tcBorders>
              <w:top w:val="nil"/>
              <w:left w:val="nil"/>
              <w:right w:val="nil"/>
            </w:tcBorders>
            <w:vAlign w:val="center"/>
          </w:tcPr>
          <w:p w14:paraId="02D09196" w14:textId="0D0D7997" w:rsidR="00881FBB" w:rsidRPr="0084045A" w:rsidRDefault="00881FBB" w:rsidP="00E85224">
            <w:pPr>
              <w:spacing w:line="240" w:lineRule="auto"/>
              <w:ind w:right="72"/>
              <w:jc w:val="right"/>
              <w:rPr>
                <w:rFonts w:ascii="Arial" w:hAnsi="Arial" w:cs="Arial"/>
                <w:noProof/>
                <w:color w:val="000000"/>
                <w:lang w:val="en-GB"/>
              </w:rPr>
            </w:pPr>
            <w:r w:rsidRPr="0084045A">
              <w:rPr>
                <w:rFonts w:ascii="Arial" w:hAnsi="Arial" w:cs="Arial"/>
                <w:noProof/>
                <w:color w:val="000000"/>
                <w:lang w:val="en-GB"/>
              </w:rPr>
              <w:t xml:space="preserve">7757.00 </w:t>
            </w:r>
          </w:p>
          <w:p w14:paraId="166DDD12" w14:textId="77777777"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p>
        </w:tc>
        <w:tc>
          <w:tcPr>
            <w:tcW w:w="978" w:type="pct"/>
            <w:tcBorders>
              <w:top w:val="nil"/>
              <w:left w:val="nil"/>
            </w:tcBorders>
            <w:vAlign w:val="center"/>
          </w:tcPr>
          <w:p w14:paraId="0FC6AA26" w14:textId="08704325" w:rsidR="00881FBB" w:rsidRPr="0084045A" w:rsidRDefault="00881FBB" w:rsidP="00E85224">
            <w:pPr>
              <w:spacing w:line="240" w:lineRule="auto"/>
              <w:ind w:right="72"/>
              <w:jc w:val="right"/>
              <w:rPr>
                <w:rFonts w:ascii="Arial" w:hAnsi="Arial" w:cs="Arial"/>
                <w:noProof/>
                <w:color w:val="000000"/>
                <w:lang w:val="en-GB"/>
              </w:rPr>
            </w:pPr>
            <w:r w:rsidRPr="0084045A">
              <w:rPr>
                <w:rFonts w:ascii="Arial" w:hAnsi="Arial" w:cs="Arial"/>
                <w:noProof/>
                <w:color w:val="000000"/>
                <w:lang w:val="en-GB"/>
              </w:rPr>
              <w:t xml:space="preserve">305.21 </w:t>
            </w:r>
          </w:p>
          <w:p w14:paraId="537A3D89" w14:textId="77777777" w:rsidR="00881FBB" w:rsidRPr="0084045A" w:rsidRDefault="00881FBB" w:rsidP="00E85224">
            <w:pPr>
              <w:spacing w:after="0" w:line="240" w:lineRule="auto"/>
              <w:ind w:right="72"/>
              <w:jc w:val="right"/>
              <w:rPr>
                <w:rFonts w:ascii="Arial" w:eastAsia="Times New Roman" w:hAnsi="Arial" w:cs="Arial"/>
                <w:noProof/>
                <w:color w:val="000000"/>
                <w:lang w:val="en-GB" w:eastAsia="es-ES"/>
              </w:rPr>
            </w:pPr>
          </w:p>
        </w:tc>
      </w:tr>
    </w:tbl>
    <w:p w14:paraId="00CBBA72" w14:textId="14AD41CB" w:rsidR="009B7329" w:rsidRPr="00096BA7" w:rsidRDefault="003E16F5" w:rsidP="00512905">
      <w:pPr>
        <w:spacing w:after="0" w:line="240" w:lineRule="auto"/>
        <w:rPr>
          <w:rFonts w:ascii="Arial" w:hAnsi="Arial" w:cs="Arial"/>
          <w:noProof/>
          <w:sz w:val="20"/>
          <w:szCs w:val="20"/>
        </w:rPr>
      </w:pPr>
      <w:r w:rsidRPr="00096BA7">
        <w:rPr>
          <w:rFonts w:ascii="Arial" w:hAnsi="Arial" w:cs="Arial"/>
          <w:noProof/>
          <w:color w:val="000000" w:themeColor="text1"/>
          <w:sz w:val="20"/>
          <w:szCs w:val="20"/>
        </w:rPr>
        <w:t xml:space="preserve">Abbreviations: </w:t>
      </w:r>
      <w:r w:rsidR="00094075" w:rsidRPr="00096BA7">
        <w:rPr>
          <w:rFonts w:ascii="Arial" w:hAnsi="Arial" w:cs="Arial"/>
          <w:noProof/>
          <w:color w:val="000000" w:themeColor="text1"/>
          <w:sz w:val="20"/>
          <w:szCs w:val="20"/>
        </w:rPr>
        <w:t>IMSS</w:t>
      </w:r>
      <w:r w:rsidRPr="00096BA7">
        <w:rPr>
          <w:rFonts w:ascii="Arial" w:hAnsi="Arial" w:cs="Arial"/>
          <w:noProof/>
          <w:color w:val="000000" w:themeColor="text1"/>
          <w:sz w:val="20"/>
          <w:szCs w:val="20"/>
        </w:rPr>
        <w:t xml:space="preserve">, </w:t>
      </w:r>
      <w:r w:rsidR="00357F57" w:rsidRPr="00096BA7">
        <w:rPr>
          <w:rFonts w:ascii="Arial" w:hAnsi="Arial" w:cs="Arial"/>
          <w:noProof/>
          <w:color w:val="000000" w:themeColor="text1"/>
          <w:sz w:val="20"/>
          <w:szCs w:val="20"/>
        </w:rPr>
        <w:t>Instituto Mexicano del Seguro Social</w:t>
      </w:r>
      <w:r w:rsidR="00357908" w:rsidRPr="00096BA7">
        <w:rPr>
          <w:rFonts w:ascii="Arial" w:hAnsi="Arial" w:cs="Arial"/>
          <w:noProof/>
          <w:color w:val="000000" w:themeColor="text1"/>
          <w:sz w:val="20"/>
          <w:szCs w:val="20"/>
        </w:rPr>
        <w:t xml:space="preserve"> (Mexican Social Security Institute)</w:t>
      </w:r>
      <w:r w:rsidRPr="00096BA7">
        <w:rPr>
          <w:rFonts w:ascii="Arial" w:hAnsi="Arial" w:cs="Arial"/>
          <w:noProof/>
          <w:color w:val="000000" w:themeColor="text1"/>
          <w:sz w:val="20"/>
          <w:szCs w:val="20"/>
        </w:rPr>
        <w:t xml:space="preserve">; ISSSTE, </w:t>
      </w:r>
      <w:r w:rsidR="00357908" w:rsidRPr="00096BA7">
        <w:rPr>
          <w:rFonts w:ascii="Arial" w:hAnsi="Arial" w:cs="Arial"/>
          <w:noProof/>
          <w:color w:val="000000" w:themeColor="text1"/>
          <w:sz w:val="20"/>
          <w:szCs w:val="20"/>
        </w:rPr>
        <w:t>Instituto de Seguridad y Servicios Sociales para los Trabajadores del Estado (Institute for Social Security and Services for State Workers)</w:t>
      </w:r>
      <w:r w:rsidRPr="00096BA7">
        <w:rPr>
          <w:rFonts w:ascii="Arial" w:hAnsi="Arial" w:cs="Arial"/>
          <w:noProof/>
          <w:color w:val="000000" w:themeColor="text1"/>
          <w:sz w:val="20"/>
          <w:szCs w:val="20"/>
        </w:rPr>
        <w:t>; MoH, Ministry of Health</w:t>
      </w:r>
      <w:r w:rsidR="009B7329" w:rsidRPr="00096BA7">
        <w:rPr>
          <w:rFonts w:ascii="Arial" w:hAnsi="Arial" w:cs="Arial"/>
          <w:noProof/>
          <w:color w:val="000000" w:themeColor="text1"/>
          <w:sz w:val="20"/>
          <w:szCs w:val="20"/>
        </w:rPr>
        <w:t xml:space="preserve">; </w:t>
      </w:r>
      <w:r w:rsidR="009B7329" w:rsidRPr="00096BA7">
        <w:rPr>
          <w:rFonts w:ascii="Arial" w:hAnsi="Arial" w:cs="Arial"/>
          <w:noProof/>
          <w:sz w:val="20"/>
          <w:szCs w:val="20"/>
        </w:rPr>
        <w:t>PCR, polymerase chain reaction</w:t>
      </w:r>
    </w:p>
    <w:p w14:paraId="2543EB63" w14:textId="77777777" w:rsidR="009B7329" w:rsidRPr="00096BA7" w:rsidRDefault="009B7329" w:rsidP="009B7329">
      <w:pPr>
        <w:rPr>
          <w:rFonts w:ascii="Arial" w:hAnsi="Arial" w:cs="Arial"/>
          <w:noProof/>
          <w:color w:val="000000" w:themeColor="text1"/>
          <w:sz w:val="24"/>
          <w:szCs w:val="24"/>
        </w:rPr>
      </w:pPr>
    </w:p>
    <w:p w14:paraId="7A214C3A" w14:textId="297C6BE5" w:rsidR="00881FBB" w:rsidRPr="0084045A" w:rsidRDefault="00E85224" w:rsidP="009B7329">
      <w:pPr>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 xml:space="preserve">Data sources for each </w:t>
      </w:r>
      <w:r w:rsidR="00C735DE" w:rsidRPr="0084045A">
        <w:rPr>
          <w:rFonts w:ascii="Arial" w:hAnsi="Arial" w:cs="Arial"/>
          <w:noProof/>
          <w:color w:val="000000" w:themeColor="text1"/>
          <w:sz w:val="24"/>
          <w:szCs w:val="24"/>
          <w:lang w:val="en-GB"/>
        </w:rPr>
        <w:t>unit cost</w:t>
      </w:r>
      <w:r w:rsidRPr="0084045A">
        <w:rPr>
          <w:rFonts w:ascii="Arial" w:hAnsi="Arial" w:cs="Arial"/>
          <w:noProof/>
          <w:color w:val="000000" w:themeColor="text1"/>
          <w:sz w:val="24"/>
          <w:szCs w:val="24"/>
          <w:lang w:val="en-GB"/>
        </w:rPr>
        <w:t xml:space="preserve"> are the following:</w:t>
      </w:r>
    </w:p>
    <w:p w14:paraId="6A763512" w14:textId="77777777" w:rsidR="00881FBB" w:rsidRPr="0084045A" w:rsidRDefault="00881FBB" w:rsidP="00512905">
      <w:pPr>
        <w:spacing w:after="0" w:line="240" w:lineRule="auto"/>
        <w:rPr>
          <w:rFonts w:ascii="Arial" w:hAnsi="Arial" w:cs="Arial"/>
          <w:noProof/>
          <w:color w:val="000000" w:themeColor="text1"/>
          <w:sz w:val="24"/>
          <w:szCs w:val="24"/>
          <w:lang w:val="en-GB"/>
        </w:rPr>
      </w:pPr>
    </w:p>
    <w:p w14:paraId="53DED1DF" w14:textId="00D7D3A5" w:rsidR="00881FBB" w:rsidRPr="0084045A" w:rsidRDefault="00E85224" w:rsidP="00512905">
      <w:pPr>
        <w:spacing w:after="0" w:line="240" w:lineRule="auto"/>
        <w:rPr>
          <w:rFonts w:ascii="Arial" w:hAnsi="Arial" w:cs="Arial"/>
          <w:b/>
          <w:noProof/>
          <w:color w:val="000000" w:themeColor="text1"/>
          <w:sz w:val="24"/>
          <w:szCs w:val="24"/>
          <w:lang w:val="en-GB"/>
        </w:rPr>
      </w:pPr>
      <w:r w:rsidRPr="0084045A">
        <w:rPr>
          <w:rFonts w:ascii="Arial" w:hAnsi="Arial" w:cs="Arial"/>
          <w:b/>
          <w:noProof/>
          <w:color w:val="000000" w:themeColor="text1"/>
          <w:sz w:val="24"/>
          <w:szCs w:val="24"/>
          <w:lang w:val="en-GB"/>
        </w:rPr>
        <w:t>ISSSTE</w:t>
      </w:r>
    </w:p>
    <w:p w14:paraId="26264C27" w14:textId="0E64704C" w:rsidR="00881FBB" w:rsidRPr="0084045A" w:rsidRDefault="00505A0C" w:rsidP="00512905">
      <w:pPr>
        <w:pStyle w:val="Prrafodelista"/>
        <w:numPr>
          <w:ilvl w:val="0"/>
          <w:numId w:val="59"/>
        </w:numPr>
        <w:spacing w:after="0" w:line="240" w:lineRule="auto"/>
        <w:contextualSpacing w:val="0"/>
        <w:rPr>
          <w:rFonts w:ascii="Arial" w:hAnsi="Arial" w:cs="Arial"/>
          <w:noProof/>
          <w:sz w:val="24"/>
          <w:szCs w:val="24"/>
          <w:lang w:val="en-GB"/>
        </w:rPr>
      </w:pPr>
      <w:r w:rsidRPr="0084045A">
        <w:rPr>
          <w:rFonts w:ascii="Arial" w:hAnsi="Arial" w:cs="Arial"/>
          <w:noProof/>
          <w:sz w:val="24"/>
          <w:szCs w:val="24"/>
          <w:lang w:val="en-GB"/>
        </w:rPr>
        <w:t>Outpatient consult</w:t>
      </w:r>
      <w:r w:rsidR="005773E5" w:rsidRPr="0084045A">
        <w:rPr>
          <w:rFonts w:ascii="Arial" w:hAnsi="Arial" w:cs="Arial"/>
          <w:noProof/>
          <w:sz w:val="24"/>
          <w:szCs w:val="24"/>
          <w:lang w:val="en-GB"/>
        </w:rPr>
        <w:t>ation</w:t>
      </w:r>
      <w:r w:rsidR="00E85224" w:rsidRPr="0084045A">
        <w:rPr>
          <w:rFonts w:ascii="Arial" w:hAnsi="Arial" w:cs="Arial"/>
          <w:noProof/>
          <w:sz w:val="24"/>
          <w:szCs w:val="24"/>
          <w:lang w:val="en-GB"/>
        </w:rPr>
        <w:t xml:space="preserve">, </w:t>
      </w:r>
      <w:r w:rsidR="005A1693" w:rsidRPr="0084045A">
        <w:rPr>
          <w:rFonts w:ascii="Arial" w:hAnsi="Arial" w:cs="Arial"/>
          <w:noProof/>
          <w:sz w:val="24"/>
          <w:szCs w:val="24"/>
          <w:lang w:val="en-GB"/>
        </w:rPr>
        <w:t xml:space="preserve">specialist </w:t>
      </w:r>
      <w:r w:rsidRPr="0084045A">
        <w:rPr>
          <w:rFonts w:ascii="Arial" w:hAnsi="Arial" w:cs="Arial"/>
          <w:noProof/>
          <w:sz w:val="24"/>
          <w:szCs w:val="24"/>
          <w:lang w:val="en-GB"/>
        </w:rPr>
        <w:t>consult</w:t>
      </w:r>
      <w:r w:rsidR="005773E5" w:rsidRPr="0084045A">
        <w:rPr>
          <w:rFonts w:ascii="Arial" w:hAnsi="Arial" w:cs="Arial"/>
          <w:noProof/>
          <w:sz w:val="24"/>
          <w:szCs w:val="24"/>
          <w:lang w:val="en-GB"/>
        </w:rPr>
        <w:t>ation</w:t>
      </w:r>
      <w:r w:rsidR="00E85224" w:rsidRPr="0084045A">
        <w:rPr>
          <w:rFonts w:ascii="Arial" w:hAnsi="Arial" w:cs="Arial"/>
          <w:noProof/>
          <w:sz w:val="24"/>
          <w:szCs w:val="24"/>
          <w:lang w:val="en-GB"/>
        </w:rPr>
        <w:t xml:space="preserve">, </w:t>
      </w:r>
      <w:r w:rsidR="009B7329" w:rsidRPr="0084045A">
        <w:rPr>
          <w:rFonts w:ascii="Arial" w:hAnsi="Arial" w:cs="Arial"/>
          <w:noProof/>
          <w:sz w:val="24"/>
          <w:szCs w:val="24"/>
          <w:lang w:val="en-GB"/>
        </w:rPr>
        <w:t xml:space="preserve">emergency room </w:t>
      </w:r>
      <w:r w:rsidR="00ED008E" w:rsidRPr="0084045A">
        <w:rPr>
          <w:rFonts w:ascii="Arial" w:hAnsi="Arial" w:cs="Arial"/>
          <w:noProof/>
          <w:sz w:val="24"/>
          <w:szCs w:val="24"/>
          <w:lang w:val="en-GB"/>
        </w:rPr>
        <w:t xml:space="preserve">(ER) </w:t>
      </w:r>
      <w:r w:rsidR="00C735DE" w:rsidRPr="0084045A">
        <w:rPr>
          <w:rFonts w:ascii="Arial" w:hAnsi="Arial" w:cs="Arial"/>
          <w:noProof/>
          <w:sz w:val="24"/>
          <w:szCs w:val="24"/>
          <w:lang w:val="en-GB"/>
        </w:rPr>
        <w:t>care</w:t>
      </w:r>
      <w:r w:rsidR="009B7329" w:rsidRPr="0084045A">
        <w:rPr>
          <w:rFonts w:ascii="Arial" w:hAnsi="Arial" w:cs="Arial"/>
          <w:noProof/>
          <w:sz w:val="24"/>
          <w:szCs w:val="24"/>
          <w:lang w:val="en-GB"/>
        </w:rPr>
        <w:t>,</w:t>
      </w:r>
      <w:r w:rsidR="00E85224" w:rsidRPr="0084045A">
        <w:rPr>
          <w:rFonts w:ascii="Arial" w:hAnsi="Arial" w:cs="Arial"/>
          <w:noProof/>
          <w:sz w:val="24"/>
          <w:szCs w:val="24"/>
          <w:lang w:val="en-GB"/>
        </w:rPr>
        <w:t xml:space="preserve"> and hospitalisation bed-day:</w:t>
      </w:r>
      <w:r w:rsidR="00D970ED" w:rsidRPr="0084045A">
        <w:rPr>
          <w:rFonts w:ascii="Arial" w:hAnsi="Arial" w:cs="Arial"/>
          <w:noProof/>
          <w:sz w:val="24"/>
          <w:szCs w:val="24"/>
          <w:lang w:val="en-GB"/>
        </w:rPr>
        <w:t xml:space="preserve"> publicly available data from Mexico’s Ministry of Health</w:t>
      </w:r>
      <w:r w:rsidR="00E85224" w:rsidRPr="0084045A">
        <w:rPr>
          <w:rFonts w:ascii="Arial" w:hAnsi="Arial" w:cs="Arial"/>
          <w:noProof/>
          <w:sz w:val="24"/>
          <w:szCs w:val="24"/>
          <w:lang w:val="en-GB"/>
        </w:rPr>
        <w:t xml:space="preserve"> </w:t>
      </w:r>
      <w:sdt>
        <w:sdtPr>
          <w:rPr>
            <w:rFonts w:ascii="Arial" w:hAnsi="Arial" w:cs="Arial"/>
            <w:noProof/>
            <w:sz w:val="24"/>
            <w:szCs w:val="24"/>
            <w:lang w:val="en-GB"/>
          </w:rPr>
          <w:id w:val="-2143415112"/>
          <w:citation/>
        </w:sdtPr>
        <w:sdtEndPr/>
        <w:sdtContent>
          <w:r w:rsidR="00881FBB" w:rsidRPr="0084045A">
            <w:rPr>
              <w:rFonts w:ascii="Arial" w:hAnsi="Arial" w:cs="Arial"/>
              <w:noProof/>
              <w:sz w:val="24"/>
              <w:szCs w:val="24"/>
              <w:lang w:val="en-GB"/>
            </w:rPr>
            <w:fldChar w:fldCharType="begin"/>
          </w:r>
          <w:r w:rsidR="00881FBB" w:rsidRPr="0084045A">
            <w:rPr>
              <w:rFonts w:ascii="Arial" w:hAnsi="Arial" w:cs="Arial"/>
              <w:noProof/>
              <w:sz w:val="24"/>
              <w:szCs w:val="24"/>
              <w:lang w:val="en-GB"/>
            </w:rPr>
            <w:instrText xml:space="preserve">CITATION Sec19 \l 2058 </w:instrText>
          </w:r>
          <w:r w:rsidR="00881FBB" w:rsidRPr="0084045A">
            <w:rPr>
              <w:rFonts w:ascii="Arial" w:hAnsi="Arial" w:cs="Arial"/>
              <w:noProof/>
              <w:sz w:val="24"/>
              <w:szCs w:val="24"/>
              <w:lang w:val="en-GB"/>
            </w:rPr>
            <w:fldChar w:fldCharType="separate"/>
          </w:r>
          <w:r w:rsidR="00881FBB" w:rsidRPr="0084045A">
            <w:rPr>
              <w:rFonts w:ascii="Arial" w:hAnsi="Arial" w:cs="Arial"/>
              <w:noProof/>
              <w:sz w:val="24"/>
              <w:szCs w:val="24"/>
              <w:lang w:val="en-GB"/>
            </w:rPr>
            <w:t>(Secretaría de Salud, 2004)</w:t>
          </w:r>
          <w:r w:rsidR="00881FBB" w:rsidRPr="0084045A">
            <w:rPr>
              <w:rFonts w:ascii="Arial" w:hAnsi="Arial" w:cs="Arial"/>
              <w:noProof/>
              <w:sz w:val="24"/>
              <w:szCs w:val="24"/>
              <w:lang w:val="en-GB"/>
            </w:rPr>
            <w:fldChar w:fldCharType="end"/>
          </w:r>
        </w:sdtContent>
      </w:sdt>
      <w:r w:rsidR="00D970ED" w:rsidRPr="0084045A">
        <w:rPr>
          <w:rFonts w:ascii="Arial" w:hAnsi="Arial" w:cs="Arial"/>
          <w:noProof/>
          <w:sz w:val="24"/>
          <w:szCs w:val="24"/>
          <w:lang w:val="en-GB"/>
        </w:rPr>
        <w:t>.</w:t>
      </w:r>
    </w:p>
    <w:p w14:paraId="26443C7A" w14:textId="2EB0A1DD" w:rsidR="00881FBB" w:rsidRPr="0084045A" w:rsidRDefault="007F70BB" w:rsidP="00512905">
      <w:pPr>
        <w:pStyle w:val="Prrafodelista"/>
        <w:numPr>
          <w:ilvl w:val="0"/>
          <w:numId w:val="59"/>
        </w:numPr>
        <w:spacing w:after="0" w:line="240" w:lineRule="auto"/>
        <w:contextualSpacing w:val="0"/>
        <w:rPr>
          <w:rFonts w:ascii="Arial" w:hAnsi="Arial" w:cs="Arial"/>
          <w:noProof/>
          <w:sz w:val="24"/>
          <w:szCs w:val="24"/>
          <w:lang w:val="en-GB"/>
        </w:rPr>
      </w:pPr>
      <w:r w:rsidRPr="0084045A">
        <w:rPr>
          <w:rFonts w:ascii="Arial" w:hAnsi="Arial" w:cs="Arial"/>
          <w:noProof/>
          <w:sz w:val="24"/>
          <w:szCs w:val="24"/>
          <w:lang w:val="en-GB"/>
        </w:rPr>
        <w:t xml:space="preserve">Amantadine: </w:t>
      </w:r>
      <w:r w:rsidR="00567395" w:rsidRPr="0084045A">
        <w:rPr>
          <w:rFonts w:ascii="Arial" w:hAnsi="Arial" w:cs="Arial"/>
          <w:noProof/>
          <w:sz w:val="24"/>
          <w:szCs w:val="24"/>
          <w:lang w:val="en-GB"/>
        </w:rPr>
        <w:t xml:space="preserve">2018 drugstore </w:t>
      </w:r>
      <w:r w:rsidR="005773E5" w:rsidRPr="0084045A">
        <w:rPr>
          <w:rFonts w:ascii="Arial" w:hAnsi="Arial" w:cs="Arial"/>
          <w:noProof/>
          <w:sz w:val="24"/>
          <w:szCs w:val="24"/>
          <w:lang w:val="en-GB"/>
        </w:rPr>
        <w:t>price</w:t>
      </w:r>
      <w:r w:rsidR="00E31A7B" w:rsidRPr="0084045A">
        <w:rPr>
          <w:rFonts w:ascii="Arial" w:hAnsi="Arial" w:cs="Arial"/>
          <w:noProof/>
          <w:sz w:val="24"/>
          <w:szCs w:val="24"/>
          <w:lang w:val="en-GB"/>
        </w:rPr>
        <w:t>,</w:t>
      </w:r>
      <w:r w:rsidR="005773E5" w:rsidRPr="0084045A">
        <w:rPr>
          <w:rFonts w:ascii="Arial" w:hAnsi="Arial" w:cs="Arial"/>
          <w:noProof/>
          <w:sz w:val="24"/>
          <w:szCs w:val="24"/>
          <w:lang w:val="en-GB"/>
        </w:rPr>
        <w:t xml:space="preserve"> sold as </w:t>
      </w:r>
      <w:r w:rsidRPr="0084045A">
        <w:rPr>
          <w:rFonts w:ascii="Arial" w:hAnsi="Arial" w:cs="Arial"/>
          <w:noProof/>
          <w:sz w:val="24"/>
          <w:szCs w:val="24"/>
          <w:lang w:val="en-GB"/>
        </w:rPr>
        <w:t>an over-the-counter drug</w:t>
      </w:r>
      <w:r w:rsidR="005773E5" w:rsidRPr="0084045A">
        <w:rPr>
          <w:rFonts w:ascii="Arial" w:hAnsi="Arial" w:cs="Arial"/>
          <w:noProof/>
          <w:sz w:val="24"/>
          <w:szCs w:val="24"/>
          <w:lang w:val="en-GB"/>
        </w:rPr>
        <w:t>;</w:t>
      </w:r>
      <w:r w:rsidRPr="0084045A">
        <w:rPr>
          <w:rFonts w:ascii="Arial" w:hAnsi="Arial" w:cs="Arial"/>
          <w:noProof/>
          <w:sz w:val="24"/>
          <w:szCs w:val="24"/>
          <w:lang w:val="en-GB"/>
        </w:rPr>
        <w:t xml:space="preserve"> it does not require a prescription and </w:t>
      </w:r>
      <w:r w:rsidR="00C735DE" w:rsidRPr="0084045A">
        <w:rPr>
          <w:rFonts w:ascii="Arial" w:hAnsi="Arial" w:cs="Arial"/>
          <w:noProof/>
          <w:sz w:val="24"/>
          <w:szCs w:val="24"/>
          <w:lang w:val="en-GB"/>
        </w:rPr>
        <w:t xml:space="preserve">therefore </w:t>
      </w:r>
      <w:r w:rsidRPr="0084045A">
        <w:rPr>
          <w:rFonts w:ascii="Arial" w:hAnsi="Arial" w:cs="Arial"/>
          <w:noProof/>
          <w:sz w:val="24"/>
          <w:szCs w:val="24"/>
          <w:lang w:val="en-GB"/>
        </w:rPr>
        <w:t>can be purchased directly by the patient.</w:t>
      </w:r>
      <w:r w:rsidRPr="0084045A">
        <w:rPr>
          <w:rStyle w:val="Refdenotaalpie"/>
          <w:rFonts w:ascii="Arial" w:hAnsi="Arial" w:cs="Arial"/>
          <w:noProof/>
          <w:sz w:val="24"/>
          <w:szCs w:val="24"/>
          <w:lang w:val="en-GB"/>
        </w:rPr>
        <w:footnoteReference w:id="2"/>
      </w:r>
      <w:r w:rsidRPr="0084045A">
        <w:rPr>
          <w:rFonts w:ascii="Arial" w:hAnsi="Arial" w:cs="Arial"/>
          <w:noProof/>
          <w:sz w:val="24"/>
          <w:szCs w:val="24"/>
          <w:lang w:val="en-GB"/>
        </w:rPr>
        <w:t xml:space="preserve"> </w:t>
      </w:r>
    </w:p>
    <w:p w14:paraId="218DA838" w14:textId="3121C8A2" w:rsidR="007F70BB" w:rsidRPr="0084045A" w:rsidRDefault="007F70BB" w:rsidP="00512905">
      <w:pPr>
        <w:pStyle w:val="Prrafodelista"/>
        <w:numPr>
          <w:ilvl w:val="0"/>
          <w:numId w:val="59"/>
        </w:numPr>
        <w:spacing w:after="0" w:line="240" w:lineRule="auto"/>
        <w:contextualSpacing w:val="0"/>
        <w:rPr>
          <w:rFonts w:ascii="Arial" w:hAnsi="Arial" w:cs="Arial"/>
          <w:noProof/>
          <w:sz w:val="24"/>
          <w:szCs w:val="24"/>
          <w:lang w:val="en-GB"/>
        </w:rPr>
      </w:pPr>
      <w:r w:rsidRPr="0084045A">
        <w:rPr>
          <w:rFonts w:ascii="Arial" w:hAnsi="Arial" w:cs="Arial"/>
          <w:noProof/>
          <w:sz w:val="24"/>
          <w:szCs w:val="24"/>
          <w:lang w:val="en-GB"/>
        </w:rPr>
        <w:t xml:space="preserve">Oseltamivir: </w:t>
      </w:r>
      <w:r w:rsidR="00B474B0" w:rsidRPr="0084045A">
        <w:rPr>
          <w:rFonts w:ascii="Arial" w:hAnsi="Arial" w:cs="Arial"/>
          <w:noProof/>
          <w:sz w:val="24"/>
          <w:szCs w:val="24"/>
          <w:lang w:val="en-GB"/>
        </w:rPr>
        <w:t xml:space="preserve">2018 </w:t>
      </w:r>
      <w:r w:rsidR="00644272" w:rsidRPr="0084045A">
        <w:rPr>
          <w:rFonts w:ascii="Arial" w:hAnsi="Arial" w:cs="Arial"/>
          <w:noProof/>
          <w:sz w:val="24"/>
          <w:szCs w:val="24"/>
          <w:lang w:val="en-GB"/>
        </w:rPr>
        <w:t xml:space="preserve">price </w:t>
      </w:r>
      <w:r w:rsidR="00B474B0" w:rsidRPr="0084045A">
        <w:rPr>
          <w:rFonts w:ascii="Arial" w:hAnsi="Arial" w:cs="Arial"/>
          <w:noProof/>
          <w:sz w:val="24"/>
          <w:szCs w:val="24"/>
          <w:lang w:val="en-GB"/>
        </w:rPr>
        <w:t>through consolidated government purchase</w:t>
      </w:r>
      <w:r w:rsidRPr="0084045A">
        <w:rPr>
          <w:rFonts w:ascii="Arial" w:hAnsi="Arial" w:cs="Arial"/>
          <w:noProof/>
          <w:sz w:val="24"/>
          <w:szCs w:val="24"/>
          <w:lang w:val="en-GB"/>
        </w:rPr>
        <w:t xml:space="preserve">. </w:t>
      </w:r>
    </w:p>
    <w:p w14:paraId="402E7C07" w14:textId="26FA43DD" w:rsidR="00881FBB" w:rsidRPr="0084045A" w:rsidRDefault="007F70BB" w:rsidP="00512905">
      <w:pPr>
        <w:pStyle w:val="Prrafodelista"/>
        <w:numPr>
          <w:ilvl w:val="0"/>
          <w:numId w:val="59"/>
        </w:numPr>
        <w:spacing w:after="0" w:line="240" w:lineRule="auto"/>
        <w:contextualSpacing w:val="0"/>
        <w:rPr>
          <w:rFonts w:ascii="Arial" w:hAnsi="Arial" w:cs="Arial"/>
          <w:noProof/>
          <w:sz w:val="24"/>
          <w:szCs w:val="24"/>
          <w:lang w:val="en-GB"/>
        </w:rPr>
      </w:pPr>
      <w:r w:rsidRPr="0084045A">
        <w:rPr>
          <w:rFonts w:ascii="Arial" w:hAnsi="Arial" w:cs="Arial"/>
          <w:noProof/>
          <w:sz w:val="24"/>
          <w:szCs w:val="24"/>
          <w:lang w:val="en-GB"/>
        </w:rPr>
        <w:t>Paracetamol and Ceftriaxone: ISSSTE’s 2019 Annual Acquisitions Programme.</w:t>
      </w:r>
      <w:r w:rsidRPr="0084045A">
        <w:rPr>
          <w:rStyle w:val="Refdenotaalpie"/>
          <w:rFonts w:ascii="Arial" w:hAnsi="Arial" w:cs="Arial"/>
          <w:noProof/>
          <w:sz w:val="24"/>
          <w:szCs w:val="24"/>
          <w:lang w:val="en-GB"/>
        </w:rPr>
        <w:footnoteReference w:id="3"/>
      </w:r>
      <w:r w:rsidRPr="0084045A">
        <w:rPr>
          <w:rFonts w:ascii="Arial" w:hAnsi="Arial" w:cs="Arial"/>
          <w:noProof/>
          <w:sz w:val="24"/>
          <w:szCs w:val="24"/>
          <w:lang w:val="en-GB"/>
        </w:rPr>
        <w:t xml:space="preserve"> For paracetamol, the code is </w:t>
      </w:r>
      <w:r w:rsidR="00881FBB" w:rsidRPr="0084045A">
        <w:rPr>
          <w:rFonts w:ascii="Arial" w:hAnsi="Arial" w:cs="Arial"/>
          <w:noProof/>
          <w:sz w:val="24"/>
          <w:szCs w:val="24"/>
          <w:lang w:val="en-GB"/>
        </w:rPr>
        <w:t>25301688</w:t>
      </w:r>
      <w:r w:rsidR="00183F9E" w:rsidRPr="0084045A">
        <w:rPr>
          <w:rFonts w:ascii="Arial" w:hAnsi="Arial" w:cs="Arial"/>
          <w:noProof/>
          <w:sz w:val="24"/>
          <w:szCs w:val="24"/>
          <w:lang w:val="en-GB"/>
        </w:rPr>
        <w:t>; f</w:t>
      </w:r>
      <w:r w:rsidRPr="0084045A">
        <w:rPr>
          <w:rFonts w:ascii="Arial" w:hAnsi="Arial" w:cs="Arial"/>
          <w:noProof/>
          <w:sz w:val="24"/>
          <w:szCs w:val="24"/>
          <w:lang w:val="en-GB"/>
        </w:rPr>
        <w:t>or ceftriaxone, the code is</w:t>
      </w:r>
      <w:r w:rsidR="00881FBB" w:rsidRPr="0084045A">
        <w:rPr>
          <w:rFonts w:ascii="Arial" w:hAnsi="Arial" w:cs="Arial"/>
          <w:noProof/>
          <w:sz w:val="24"/>
          <w:szCs w:val="24"/>
          <w:lang w:val="en-GB"/>
        </w:rPr>
        <w:t xml:space="preserve"> 25300461.</w:t>
      </w:r>
    </w:p>
    <w:p w14:paraId="467805AC" w14:textId="0C1FBD32" w:rsidR="007F70BB" w:rsidRPr="0084045A" w:rsidRDefault="00DE7B7C" w:rsidP="00512905">
      <w:pPr>
        <w:pStyle w:val="Prrafodelista"/>
        <w:numPr>
          <w:ilvl w:val="0"/>
          <w:numId w:val="59"/>
        </w:numPr>
        <w:spacing w:after="0" w:line="240" w:lineRule="auto"/>
        <w:contextualSpacing w:val="0"/>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 xml:space="preserve">PCR and throat swab: </w:t>
      </w:r>
      <w:r w:rsidR="00243475" w:rsidRPr="0084045A">
        <w:rPr>
          <w:rFonts w:ascii="Arial" w:hAnsi="Arial" w:cs="Arial"/>
          <w:noProof/>
          <w:color w:val="000000" w:themeColor="text1"/>
          <w:sz w:val="24"/>
          <w:szCs w:val="24"/>
          <w:lang w:val="en-GB"/>
        </w:rPr>
        <w:t xml:space="preserve">2018 </w:t>
      </w:r>
      <w:r w:rsidRPr="0084045A">
        <w:rPr>
          <w:rFonts w:ascii="Arial" w:hAnsi="Arial" w:cs="Arial"/>
          <w:noProof/>
          <w:color w:val="000000" w:themeColor="text1"/>
          <w:sz w:val="24"/>
          <w:szCs w:val="24"/>
          <w:lang w:val="en-GB"/>
        </w:rPr>
        <w:t>price</w:t>
      </w:r>
      <w:r w:rsidR="00243475" w:rsidRPr="0084045A">
        <w:rPr>
          <w:rFonts w:ascii="Arial" w:hAnsi="Arial" w:cs="Arial"/>
          <w:noProof/>
          <w:color w:val="000000" w:themeColor="text1"/>
          <w:sz w:val="24"/>
          <w:szCs w:val="24"/>
          <w:lang w:val="en-GB"/>
        </w:rPr>
        <w:t xml:space="preserve"> list </w:t>
      </w:r>
      <w:r w:rsidR="00B474B0" w:rsidRPr="0084045A">
        <w:rPr>
          <w:rFonts w:ascii="Arial" w:hAnsi="Arial" w:cs="Arial"/>
          <w:noProof/>
          <w:color w:val="000000" w:themeColor="text1"/>
          <w:sz w:val="24"/>
          <w:szCs w:val="24"/>
          <w:lang w:val="en-GB"/>
        </w:rPr>
        <w:t>InDR</w:t>
      </w:r>
      <w:r w:rsidR="00243475" w:rsidRPr="0084045A">
        <w:rPr>
          <w:rFonts w:ascii="Arial" w:hAnsi="Arial" w:cs="Arial"/>
          <w:noProof/>
          <w:color w:val="000000" w:themeColor="text1"/>
          <w:sz w:val="24"/>
          <w:szCs w:val="24"/>
          <w:lang w:val="en-GB"/>
        </w:rPr>
        <w:t>E</w:t>
      </w:r>
      <w:r w:rsidRPr="0084045A">
        <w:rPr>
          <w:rFonts w:ascii="Arial" w:hAnsi="Arial" w:cs="Arial"/>
          <w:noProof/>
          <w:color w:val="000000" w:themeColor="text1"/>
          <w:sz w:val="24"/>
          <w:szCs w:val="24"/>
          <w:lang w:val="en-GB"/>
        </w:rPr>
        <w:t>.</w:t>
      </w:r>
    </w:p>
    <w:p w14:paraId="3BB5EFFC" w14:textId="77777777" w:rsidR="00881FBB" w:rsidRPr="0084045A" w:rsidRDefault="00881FBB" w:rsidP="00E85224">
      <w:pPr>
        <w:spacing w:after="0" w:line="240" w:lineRule="auto"/>
        <w:jc w:val="both"/>
        <w:rPr>
          <w:rFonts w:ascii="Arial" w:hAnsi="Arial" w:cs="Arial"/>
          <w:b/>
          <w:noProof/>
          <w:color w:val="000000" w:themeColor="text1"/>
          <w:sz w:val="24"/>
          <w:szCs w:val="24"/>
          <w:lang w:val="en-GB"/>
        </w:rPr>
      </w:pPr>
    </w:p>
    <w:p w14:paraId="4DC47CC0" w14:textId="545A2B38" w:rsidR="00881FBB" w:rsidRPr="0084045A" w:rsidRDefault="00DE7B7C" w:rsidP="00DE7B7C">
      <w:pPr>
        <w:spacing w:after="0" w:line="240" w:lineRule="auto"/>
        <w:jc w:val="both"/>
        <w:rPr>
          <w:rFonts w:ascii="Arial" w:hAnsi="Arial" w:cs="Arial"/>
          <w:b/>
          <w:noProof/>
          <w:color w:val="000000" w:themeColor="text1"/>
          <w:sz w:val="24"/>
          <w:szCs w:val="24"/>
          <w:lang w:val="en-GB"/>
        </w:rPr>
      </w:pPr>
      <w:r w:rsidRPr="0084045A">
        <w:rPr>
          <w:rFonts w:ascii="Arial" w:hAnsi="Arial" w:cs="Arial"/>
          <w:b/>
          <w:noProof/>
          <w:color w:val="000000" w:themeColor="text1"/>
          <w:sz w:val="24"/>
          <w:szCs w:val="24"/>
          <w:lang w:val="en-GB"/>
        </w:rPr>
        <w:t>IMSS</w:t>
      </w:r>
    </w:p>
    <w:p w14:paraId="05F2A24D" w14:textId="78F2A2E5" w:rsidR="00881FBB" w:rsidRPr="0084045A" w:rsidRDefault="00505A0C" w:rsidP="00E85224">
      <w:pPr>
        <w:pStyle w:val="Prrafodelista"/>
        <w:numPr>
          <w:ilvl w:val="0"/>
          <w:numId w:val="59"/>
        </w:numPr>
        <w:spacing w:after="0" w:line="240" w:lineRule="auto"/>
        <w:contextualSpacing w:val="0"/>
        <w:jc w:val="both"/>
        <w:rPr>
          <w:rFonts w:ascii="Arial" w:hAnsi="Arial" w:cs="Arial"/>
          <w:noProof/>
          <w:sz w:val="24"/>
          <w:szCs w:val="24"/>
          <w:lang w:val="en-GB"/>
        </w:rPr>
      </w:pPr>
      <w:r w:rsidRPr="0084045A">
        <w:rPr>
          <w:rFonts w:ascii="Arial" w:hAnsi="Arial" w:cs="Arial"/>
          <w:noProof/>
          <w:sz w:val="24"/>
          <w:szCs w:val="24"/>
          <w:lang w:val="en-GB"/>
        </w:rPr>
        <w:t>Outpatient consult</w:t>
      </w:r>
      <w:r w:rsidR="005773E5" w:rsidRPr="0084045A">
        <w:rPr>
          <w:rFonts w:ascii="Arial" w:hAnsi="Arial" w:cs="Arial"/>
          <w:noProof/>
          <w:sz w:val="24"/>
          <w:szCs w:val="24"/>
          <w:lang w:val="en-GB"/>
        </w:rPr>
        <w:t>ation</w:t>
      </w:r>
      <w:r w:rsidR="00EA4AFC" w:rsidRPr="0084045A">
        <w:rPr>
          <w:rFonts w:ascii="Arial" w:hAnsi="Arial" w:cs="Arial"/>
          <w:noProof/>
          <w:sz w:val="24"/>
          <w:szCs w:val="24"/>
          <w:lang w:val="en-GB"/>
        </w:rPr>
        <w:t xml:space="preserve">, </w:t>
      </w:r>
      <w:r w:rsidRPr="0084045A">
        <w:rPr>
          <w:rFonts w:ascii="Arial" w:hAnsi="Arial" w:cs="Arial"/>
          <w:noProof/>
          <w:sz w:val="24"/>
          <w:szCs w:val="24"/>
          <w:lang w:val="en-GB"/>
        </w:rPr>
        <w:t>speciali</w:t>
      </w:r>
      <w:r w:rsidR="005773E5" w:rsidRPr="0084045A">
        <w:rPr>
          <w:rFonts w:ascii="Arial" w:hAnsi="Arial" w:cs="Arial"/>
          <w:noProof/>
          <w:sz w:val="24"/>
          <w:szCs w:val="24"/>
          <w:lang w:val="en-GB"/>
        </w:rPr>
        <w:t>st</w:t>
      </w:r>
      <w:r w:rsidRPr="0084045A">
        <w:rPr>
          <w:rFonts w:ascii="Arial" w:hAnsi="Arial" w:cs="Arial"/>
          <w:noProof/>
          <w:sz w:val="24"/>
          <w:szCs w:val="24"/>
          <w:lang w:val="en-GB"/>
        </w:rPr>
        <w:t xml:space="preserve"> consult</w:t>
      </w:r>
      <w:r w:rsidR="005773E5" w:rsidRPr="0084045A">
        <w:rPr>
          <w:rFonts w:ascii="Arial" w:hAnsi="Arial" w:cs="Arial"/>
          <w:noProof/>
          <w:sz w:val="24"/>
          <w:szCs w:val="24"/>
          <w:lang w:val="en-GB"/>
        </w:rPr>
        <w:t>ation</w:t>
      </w:r>
      <w:r w:rsidR="00EA4AFC" w:rsidRPr="0084045A">
        <w:rPr>
          <w:rFonts w:ascii="Arial" w:hAnsi="Arial" w:cs="Arial"/>
          <w:noProof/>
          <w:sz w:val="24"/>
          <w:szCs w:val="24"/>
          <w:lang w:val="en-GB"/>
        </w:rPr>
        <w:t xml:space="preserve">, ER </w:t>
      </w:r>
      <w:r w:rsidR="00B474B0" w:rsidRPr="0084045A">
        <w:rPr>
          <w:rFonts w:ascii="Arial" w:hAnsi="Arial" w:cs="Arial"/>
          <w:noProof/>
          <w:sz w:val="24"/>
          <w:szCs w:val="24"/>
          <w:lang w:val="en-GB"/>
        </w:rPr>
        <w:t>care</w:t>
      </w:r>
      <w:r w:rsidR="00ED008E" w:rsidRPr="0084045A">
        <w:rPr>
          <w:rFonts w:ascii="Arial" w:hAnsi="Arial" w:cs="Arial"/>
          <w:noProof/>
          <w:sz w:val="24"/>
          <w:szCs w:val="24"/>
          <w:lang w:val="en-GB"/>
        </w:rPr>
        <w:t>,</w:t>
      </w:r>
      <w:r w:rsidR="00EA4AFC" w:rsidRPr="0084045A">
        <w:rPr>
          <w:rFonts w:ascii="Arial" w:hAnsi="Arial" w:cs="Arial"/>
          <w:noProof/>
          <w:sz w:val="24"/>
          <w:szCs w:val="24"/>
          <w:lang w:val="en-GB"/>
        </w:rPr>
        <w:t xml:space="preserve"> and hospitalisation bed-day: Mexico’s</w:t>
      </w:r>
      <w:r w:rsidR="00556A1E" w:rsidRPr="0084045A">
        <w:rPr>
          <w:rFonts w:ascii="Arial" w:hAnsi="Arial" w:cs="Arial"/>
          <w:noProof/>
          <w:sz w:val="24"/>
          <w:szCs w:val="24"/>
          <w:lang w:val="en-GB"/>
        </w:rPr>
        <w:t xml:space="preserve"> </w:t>
      </w:r>
      <w:r w:rsidR="00556A1E" w:rsidRPr="0084045A">
        <w:rPr>
          <w:rFonts w:ascii="Arial" w:hAnsi="Arial" w:cs="Arial"/>
          <w:noProof/>
          <w:color w:val="000000" w:themeColor="text1"/>
          <w:sz w:val="24"/>
          <w:szCs w:val="24"/>
          <w:lang w:val="en-GB"/>
        </w:rPr>
        <w:t>Official Federal Gazette.</w:t>
      </w:r>
      <w:r w:rsidR="00556A1E" w:rsidRPr="0084045A">
        <w:rPr>
          <w:rStyle w:val="Refdenotaalpie"/>
          <w:rFonts w:ascii="Arial" w:hAnsi="Arial" w:cs="Arial"/>
          <w:noProof/>
          <w:color w:val="000000" w:themeColor="text1"/>
          <w:sz w:val="24"/>
          <w:szCs w:val="24"/>
          <w:lang w:val="en-GB"/>
        </w:rPr>
        <w:footnoteReference w:id="4"/>
      </w:r>
    </w:p>
    <w:p w14:paraId="68A3DF91" w14:textId="7FE0A1AC" w:rsidR="00556A1E" w:rsidRPr="0084045A" w:rsidRDefault="00556A1E" w:rsidP="00E85224">
      <w:pPr>
        <w:pStyle w:val="Prrafodelista"/>
        <w:numPr>
          <w:ilvl w:val="0"/>
          <w:numId w:val="59"/>
        </w:numPr>
        <w:spacing w:after="0" w:line="240" w:lineRule="auto"/>
        <w:contextualSpacing w:val="0"/>
        <w:jc w:val="both"/>
        <w:rPr>
          <w:rFonts w:ascii="Arial" w:hAnsi="Arial" w:cs="Arial"/>
          <w:noProof/>
          <w:sz w:val="24"/>
          <w:szCs w:val="24"/>
          <w:lang w:val="en-GB"/>
        </w:rPr>
      </w:pPr>
      <w:r w:rsidRPr="0084045A">
        <w:rPr>
          <w:rFonts w:ascii="Arial" w:hAnsi="Arial" w:cs="Arial"/>
          <w:noProof/>
          <w:sz w:val="24"/>
          <w:szCs w:val="24"/>
          <w:lang w:val="en-GB"/>
        </w:rPr>
        <w:t xml:space="preserve">Amantadine: </w:t>
      </w:r>
      <w:r w:rsidR="00567395" w:rsidRPr="0084045A">
        <w:rPr>
          <w:rFonts w:ascii="Arial" w:hAnsi="Arial" w:cs="Arial"/>
          <w:noProof/>
          <w:sz w:val="24"/>
          <w:szCs w:val="24"/>
          <w:lang w:val="en-GB"/>
        </w:rPr>
        <w:t>2018 drugstore public price.</w:t>
      </w:r>
      <w:r w:rsidRPr="0084045A">
        <w:rPr>
          <w:rFonts w:ascii="Arial" w:hAnsi="Arial" w:cs="Arial"/>
          <w:noProof/>
          <w:sz w:val="24"/>
          <w:szCs w:val="24"/>
          <w:vertAlign w:val="superscript"/>
          <w:lang w:val="en-GB"/>
        </w:rPr>
        <w:t>2</w:t>
      </w:r>
    </w:p>
    <w:p w14:paraId="67A9BA7A" w14:textId="77777777" w:rsidR="00644272" w:rsidRPr="0084045A" w:rsidRDefault="00644272" w:rsidP="00E85224">
      <w:pPr>
        <w:pStyle w:val="Prrafodelista"/>
        <w:numPr>
          <w:ilvl w:val="0"/>
          <w:numId w:val="59"/>
        </w:numPr>
        <w:spacing w:after="0" w:line="240" w:lineRule="auto"/>
        <w:contextualSpacing w:val="0"/>
        <w:jc w:val="both"/>
        <w:rPr>
          <w:rFonts w:ascii="Arial" w:hAnsi="Arial" w:cs="Arial"/>
          <w:noProof/>
          <w:sz w:val="24"/>
          <w:szCs w:val="24"/>
          <w:lang w:val="en-GB"/>
        </w:rPr>
      </w:pPr>
      <w:r w:rsidRPr="0084045A">
        <w:rPr>
          <w:rFonts w:ascii="Arial" w:hAnsi="Arial" w:cs="Arial"/>
          <w:noProof/>
          <w:sz w:val="24"/>
          <w:szCs w:val="24"/>
          <w:lang w:val="en-GB"/>
        </w:rPr>
        <w:t>Oseltamivir: 2018 price through consolidated government purchase.</w:t>
      </w:r>
    </w:p>
    <w:p w14:paraId="48492190" w14:textId="7563DA72" w:rsidR="00881FBB" w:rsidRPr="0084045A" w:rsidRDefault="00556A1E" w:rsidP="00E85224">
      <w:pPr>
        <w:pStyle w:val="Prrafodelista"/>
        <w:numPr>
          <w:ilvl w:val="0"/>
          <w:numId w:val="59"/>
        </w:numPr>
        <w:spacing w:after="0" w:line="240" w:lineRule="auto"/>
        <w:contextualSpacing w:val="0"/>
        <w:jc w:val="both"/>
        <w:rPr>
          <w:rFonts w:ascii="Arial" w:hAnsi="Arial" w:cs="Arial"/>
          <w:noProof/>
          <w:sz w:val="24"/>
          <w:szCs w:val="24"/>
          <w:lang w:val="en-GB"/>
        </w:rPr>
      </w:pPr>
      <w:r w:rsidRPr="0084045A">
        <w:rPr>
          <w:rFonts w:ascii="Arial" w:hAnsi="Arial" w:cs="Arial"/>
          <w:noProof/>
          <w:sz w:val="24"/>
          <w:szCs w:val="24"/>
          <w:lang w:val="en-GB"/>
        </w:rPr>
        <w:t>Paracetamol: IMSS Acquisitions Portal.</w:t>
      </w:r>
      <w:r w:rsidRPr="0084045A">
        <w:rPr>
          <w:rStyle w:val="Refdenotaalpie"/>
          <w:rFonts w:ascii="Arial" w:hAnsi="Arial" w:cs="Arial"/>
          <w:noProof/>
          <w:sz w:val="24"/>
          <w:szCs w:val="24"/>
          <w:lang w:val="en-GB"/>
        </w:rPr>
        <w:footnoteReference w:id="5"/>
      </w:r>
    </w:p>
    <w:p w14:paraId="7276B467" w14:textId="39D59DDC" w:rsidR="00881FBB" w:rsidRPr="0084045A" w:rsidRDefault="00556A1E" w:rsidP="00E85224">
      <w:pPr>
        <w:pStyle w:val="Prrafodelista"/>
        <w:numPr>
          <w:ilvl w:val="0"/>
          <w:numId w:val="59"/>
        </w:numPr>
        <w:spacing w:after="0" w:line="240" w:lineRule="auto"/>
        <w:contextualSpacing w:val="0"/>
        <w:jc w:val="both"/>
        <w:rPr>
          <w:rFonts w:ascii="Arial" w:hAnsi="Arial" w:cs="Arial"/>
          <w:noProof/>
          <w:sz w:val="24"/>
          <w:szCs w:val="24"/>
          <w:lang w:val="en-GB"/>
        </w:rPr>
      </w:pPr>
      <w:r w:rsidRPr="0084045A">
        <w:rPr>
          <w:rFonts w:ascii="Arial" w:hAnsi="Arial" w:cs="Arial"/>
          <w:noProof/>
          <w:sz w:val="24"/>
          <w:szCs w:val="24"/>
          <w:lang w:val="en-GB"/>
        </w:rPr>
        <w:t>Ceftriaxone: IMSS Acquisitions Portal.</w:t>
      </w:r>
      <w:r w:rsidRPr="0084045A">
        <w:rPr>
          <w:rStyle w:val="Refdenotaalpie"/>
          <w:rFonts w:ascii="Arial" w:hAnsi="Arial" w:cs="Arial"/>
          <w:noProof/>
          <w:sz w:val="24"/>
          <w:szCs w:val="24"/>
          <w:lang w:val="en-GB"/>
        </w:rPr>
        <w:footnoteReference w:id="6"/>
      </w:r>
    </w:p>
    <w:p w14:paraId="47D643BE" w14:textId="77777777" w:rsidR="00243475" w:rsidRPr="0084045A" w:rsidRDefault="00243475" w:rsidP="00243475">
      <w:pPr>
        <w:pStyle w:val="Prrafodelista"/>
        <w:numPr>
          <w:ilvl w:val="0"/>
          <w:numId w:val="59"/>
        </w:numPr>
        <w:spacing w:after="0" w:line="240" w:lineRule="auto"/>
        <w:contextualSpacing w:val="0"/>
        <w:jc w:val="both"/>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PCR and throat swab: 2018 price list InDRE.</w:t>
      </w:r>
    </w:p>
    <w:p w14:paraId="46FA815E" w14:textId="77777777" w:rsidR="00881FBB" w:rsidRPr="0084045A" w:rsidRDefault="00881FBB" w:rsidP="00E85224">
      <w:pPr>
        <w:spacing w:after="0" w:line="240" w:lineRule="auto"/>
        <w:jc w:val="both"/>
        <w:rPr>
          <w:rFonts w:ascii="Arial" w:hAnsi="Arial" w:cs="Arial"/>
          <w:b/>
          <w:noProof/>
          <w:color w:val="000000" w:themeColor="text1"/>
          <w:sz w:val="24"/>
          <w:szCs w:val="24"/>
          <w:lang w:val="en-GB"/>
        </w:rPr>
      </w:pPr>
    </w:p>
    <w:p w14:paraId="5FF1659B" w14:textId="014650DB" w:rsidR="00881FBB" w:rsidRPr="0084045A" w:rsidRDefault="00E7590C" w:rsidP="00E85224">
      <w:pPr>
        <w:spacing w:after="0" w:line="240" w:lineRule="auto"/>
        <w:jc w:val="both"/>
        <w:rPr>
          <w:rFonts w:ascii="Arial" w:hAnsi="Arial" w:cs="Arial"/>
          <w:b/>
          <w:noProof/>
          <w:color w:val="000000" w:themeColor="text1"/>
          <w:lang w:val="en-GB"/>
        </w:rPr>
      </w:pPr>
      <w:r w:rsidRPr="0084045A">
        <w:rPr>
          <w:rFonts w:ascii="Arial" w:hAnsi="Arial" w:cs="Arial"/>
          <w:b/>
          <w:noProof/>
          <w:color w:val="000000" w:themeColor="text1"/>
          <w:lang w:val="en-GB"/>
        </w:rPr>
        <w:t>Ministry of Health (MoH)</w:t>
      </w:r>
    </w:p>
    <w:p w14:paraId="6BBFEC6B" w14:textId="2500D909" w:rsidR="00644272" w:rsidRPr="0084045A" w:rsidRDefault="00505A0C" w:rsidP="00644272">
      <w:pPr>
        <w:pStyle w:val="Prrafodelista"/>
        <w:numPr>
          <w:ilvl w:val="0"/>
          <w:numId w:val="59"/>
        </w:numPr>
        <w:spacing w:after="0" w:line="240" w:lineRule="auto"/>
        <w:contextualSpacing w:val="0"/>
        <w:jc w:val="both"/>
        <w:rPr>
          <w:rFonts w:ascii="Arial" w:hAnsi="Arial" w:cs="Arial"/>
          <w:noProof/>
          <w:sz w:val="24"/>
          <w:szCs w:val="24"/>
          <w:lang w:val="en-GB"/>
        </w:rPr>
      </w:pPr>
      <w:r w:rsidRPr="0084045A">
        <w:rPr>
          <w:rFonts w:ascii="Arial" w:hAnsi="Arial" w:cs="Arial"/>
          <w:noProof/>
          <w:sz w:val="24"/>
          <w:szCs w:val="24"/>
          <w:lang w:val="en-GB"/>
        </w:rPr>
        <w:t>Outpatient consult</w:t>
      </w:r>
      <w:r w:rsidR="005773E5" w:rsidRPr="0084045A">
        <w:rPr>
          <w:rFonts w:ascii="Arial" w:hAnsi="Arial" w:cs="Arial"/>
          <w:noProof/>
          <w:sz w:val="24"/>
          <w:szCs w:val="24"/>
          <w:lang w:val="en-GB"/>
        </w:rPr>
        <w:t>ation</w:t>
      </w:r>
      <w:r w:rsidR="00644272" w:rsidRPr="0084045A">
        <w:rPr>
          <w:rFonts w:ascii="Arial" w:hAnsi="Arial" w:cs="Arial"/>
          <w:noProof/>
          <w:sz w:val="24"/>
          <w:szCs w:val="24"/>
          <w:lang w:val="en-GB"/>
        </w:rPr>
        <w:t xml:space="preserve">, </w:t>
      </w:r>
      <w:r w:rsidRPr="0084045A">
        <w:rPr>
          <w:rFonts w:ascii="Arial" w:hAnsi="Arial" w:cs="Arial"/>
          <w:noProof/>
          <w:sz w:val="24"/>
          <w:szCs w:val="24"/>
          <w:lang w:val="en-GB"/>
        </w:rPr>
        <w:t>speciali</w:t>
      </w:r>
      <w:r w:rsidR="005773E5" w:rsidRPr="0084045A">
        <w:rPr>
          <w:rFonts w:ascii="Arial" w:hAnsi="Arial" w:cs="Arial"/>
          <w:noProof/>
          <w:sz w:val="24"/>
          <w:szCs w:val="24"/>
          <w:lang w:val="en-GB"/>
        </w:rPr>
        <w:t>st</w:t>
      </w:r>
      <w:r w:rsidRPr="0084045A">
        <w:rPr>
          <w:rFonts w:ascii="Arial" w:hAnsi="Arial" w:cs="Arial"/>
          <w:noProof/>
          <w:sz w:val="24"/>
          <w:szCs w:val="24"/>
          <w:lang w:val="en-GB"/>
        </w:rPr>
        <w:t xml:space="preserve"> consult</w:t>
      </w:r>
      <w:r w:rsidR="005773E5" w:rsidRPr="0084045A">
        <w:rPr>
          <w:rFonts w:ascii="Arial" w:hAnsi="Arial" w:cs="Arial"/>
          <w:noProof/>
          <w:sz w:val="24"/>
          <w:szCs w:val="24"/>
          <w:lang w:val="en-GB"/>
        </w:rPr>
        <w:t>ation</w:t>
      </w:r>
      <w:r w:rsidR="00644272" w:rsidRPr="0084045A">
        <w:rPr>
          <w:rFonts w:ascii="Arial" w:hAnsi="Arial" w:cs="Arial"/>
          <w:noProof/>
          <w:sz w:val="24"/>
          <w:szCs w:val="24"/>
          <w:lang w:val="en-GB"/>
        </w:rPr>
        <w:t>, ER care</w:t>
      </w:r>
      <w:r w:rsidR="00ED008E" w:rsidRPr="0084045A">
        <w:rPr>
          <w:rFonts w:ascii="Arial" w:hAnsi="Arial" w:cs="Arial"/>
          <w:noProof/>
          <w:sz w:val="24"/>
          <w:szCs w:val="24"/>
          <w:lang w:val="en-GB"/>
        </w:rPr>
        <w:t>,</w:t>
      </w:r>
      <w:r w:rsidR="00644272" w:rsidRPr="0084045A">
        <w:rPr>
          <w:rFonts w:ascii="Arial" w:hAnsi="Arial" w:cs="Arial"/>
          <w:noProof/>
          <w:sz w:val="24"/>
          <w:szCs w:val="24"/>
          <w:lang w:val="en-GB"/>
        </w:rPr>
        <w:t xml:space="preserve"> and hospitalisation bed-day: publicly available data from Mexico’s Ministry of Health </w:t>
      </w:r>
      <w:sdt>
        <w:sdtPr>
          <w:rPr>
            <w:rFonts w:ascii="Arial" w:hAnsi="Arial" w:cs="Arial"/>
            <w:noProof/>
            <w:sz w:val="24"/>
            <w:szCs w:val="24"/>
            <w:lang w:val="en-GB"/>
          </w:rPr>
          <w:id w:val="-972979866"/>
          <w:citation/>
        </w:sdtPr>
        <w:sdtEndPr/>
        <w:sdtContent>
          <w:r w:rsidR="00644272" w:rsidRPr="0084045A">
            <w:rPr>
              <w:rFonts w:ascii="Arial" w:hAnsi="Arial" w:cs="Arial"/>
              <w:noProof/>
              <w:sz w:val="24"/>
              <w:szCs w:val="24"/>
              <w:lang w:val="en-GB"/>
            </w:rPr>
            <w:fldChar w:fldCharType="begin"/>
          </w:r>
          <w:r w:rsidR="00644272" w:rsidRPr="0084045A">
            <w:rPr>
              <w:rFonts w:ascii="Arial" w:hAnsi="Arial" w:cs="Arial"/>
              <w:noProof/>
              <w:sz w:val="24"/>
              <w:szCs w:val="24"/>
              <w:lang w:val="en-GB"/>
            </w:rPr>
            <w:instrText xml:space="preserve">CITATION Sec19 \l 2058 </w:instrText>
          </w:r>
          <w:r w:rsidR="00644272" w:rsidRPr="0084045A">
            <w:rPr>
              <w:rFonts w:ascii="Arial" w:hAnsi="Arial" w:cs="Arial"/>
              <w:noProof/>
              <w:sz w:val="24"/>
              <w:szCs w:val="24"/>
              <w:lang w:val="en-GB"/>
            </w:rPr>
            <w:fldChar w:fldCharType="separate"/>
          </w:r>
          <w:r w:rsidR="00644272" w:rsidRPr="0084045A">
            <w:rPr>
              <w:rFonts w:ascii="Arial" w:hAnsi="Arial" w:cs="Arial"/>
              <w:noProof/>
              <w:sz w:val="24"/>
              <w:szCs w:val="24"/>
              <w:lang w:val="en-GB"/>
            </w:rPr>
            <w:t>(Secretaría de Salud, 2004)</w:t>
          </w:r>
          <w:r w:rsidR="00644272" w:rsidRPr="0084045A">
            <w:rPr>
              <w:rFonts w:ascii="Arial" w:hAnsi="Arial" w:cs="Arial"/>
              <w:noProof/>
              <w:sz w:val="24"/>
              <w:szCs w:val="24"/>
              <w:lang w:val="en-GB"/>
            </w:rPr>
            <w:fldChar w:fldCharType="end"/>
          </w:r>
        </w:sdtContent>
      </w:sdt>
      <w:r w:rsidR="00B87D35" w:rsidRPr="0084045A">
        <w:rPr>
          <w:rFonts w:ascii="Arial" w:hAnsi="Arial" w:cs="Arial"/>
          <w:noProof/>
          <w:sz w:val="24"/>
          <w:szCs w:val="24"/>
          <w:lang w:val="en-GB"/>
        </w:rPr>
        <w:t>.</w:t>
      </w:r>
      <w:r w:rsidR="00B87D35" w:rsidRPr="0084045A">
        <w:rPr>
          <w:rStyle w:val="Refdenotaalpie"/>
          <w:rFonts w:ascii="Arial" w:hAnsi="Arial" w:cs="Arial"/>
          <w:noProof/>
          <w:color w:val="000000" w:themeColor="text1"/>
          <w:sz w:val="24"/>
          <w:szCs w:val="24"/>
          <w:lang w:val="en-GB"/>
        </w:rPr>
        <w:t>3</w:t>
      </w:r>
    </w:p>
    <w:p w14:paraId="3CDDBD48" w14:textId="67A75225" w:rsidR="00644272" w:rsidRPr="0084045A" w:rsidRDefault="00644272" w:rsidP="00644272">
      <w:pPr>
        <w:pStyle w:val="Prrafodelista"/>
        <w:numPr>
          <w:ilvl w:val="0"/>
          <w:numId w:val="59"/>
        </w:numPr>
        <w:spacing w:after="0" w:line="240" w:lineRule="auto"/>
        <w:contextualSpacing w:val="0"/>
        <w:jc w:val="both"/>
        <w:rPr>
          <w:rFonts w:ascii="Arial" w:hAnsi="Arial" w:cs="Arial"/>
          <w:noProof/>
          <w:sz w:val="24"/>
          <w:szCs w:val="24"/>
          <w:lang w:val="en-GB"/>
        </w:rPr>
      </w:pPr>
      <w:r w:rsidRPr="0084045A">
        <w:rPr>
          <w:rFonts w:ascii="Arial" w:hAnsi="Arial" w:cs="Arial"/>
          <w:noProof/>
          <w:sz w:val="24"/>
          <w:szCs w:val="24"/>
          <w:lang w:val="en-GB"/>
        </w:rPr>
        <w:t>Amantadine: 2018 drugstore public price.</w:t>
      </w:r>
      <w:r w:rsidRPr="0084045A">
        <w:rPr>
          <w:rFonts w:ascii="Arial" w:hAnsi="Arial" w:cs="Arial"/>
          <w:noProof/>
          <w:sz w:val="24"/>
          <w:szCs w:val="24"/>
          <w:vertAlign w:val="superscript"/>
          <w:lang w:val="en-GB"/>
        </w:rPr>
        <w:t>2</w:t>
      </w:r>
    </w:p>
    <w:p w14:paraId="21B3491A" w14:textId="7343A444" w:rsidR="00644272" w:rsidRPr="0084045A" w:rsidRDefault="00644272" w:rsidP="00644272">
      <w:pPr>
        <w:pStyle w:val="Prrafodelista"/>
        <w:numPr>
          <w:ilvl w:val="0"/>
          <w:numId w:val="59"/>
        </w:numPr>
        <w:spacing w:after="0" w:line="240" w:lineRule="auto"/>
        <w:contextualSpacing w:val="0"/>
        <w:jc w:val="both"/>
        <w:rPr>
          <w:rFonts w:ascii="Arial" w:hAnsi="Arial" w:cs="Arial"/>
          <w:noProof/>
          <w:sz w:val="24"/>
          <w:szCs w:val="24"/>
          <w:lang w:val="en-GB"/>
        </w:rPr>
      </w:pPr>
      <w:r w:rsidRPr="0084045A">
        <w:rPr>
          <w:rFonts w:ascii="Arial" w:hAnsi="Arial" w:cs="Arial"/>
          <w:noProof/>
          <w:sz w:val="24"/>
          <w:szCs w:val="24"/>
          <w:lang w:val="en-GB"/>
        </w:rPr>
        <w:t>Oseltamivir: 2018 price through consolidated government purchase.</w:t>
      </w:r>
    </w:p>
    <w:p w14:paraId="76082B08" w14:textId="2C930171" w:rsidR="00644272" w:rsidRPr="0084045A" w:rsidRDefault="00644272" w:rsidP="00644272">
      <w:pPr>
        <w:pStyle w:val="Prrafodelista"/>
        <w:numPr>
          <w:ilvl w:val="0"/>
          <w:numId w:val="59"/>
        </w:numPr>
        <w:spacing w:after="0" w:line="240" w:lineRule="auto"/>
        <w:contextualSpacing w:val="0"/>
        <w:jc w:val="both"/>
        <w:rPr>
          <w:rFonts w:ascii="Arial" w:hAnsi="Arial" w:cs="Arial"/>
          <w:noProof/>
          <w:sz w:val="24"/>
          <w:szCs w:val="24"/>
          <w:lang w:val="en-GB"/>
        </w:rPr>
      </w:pPr>
      <w:r w:rsidRPr="0084045A">
        <w:rPr>
          <w:rFonts w:ascii="Arial" w:hAnsi="Arial" w:cs="Arial"/>
          <w:noProof/>
          <w:sz w:val="24"/>
          <w:szCs w:val="24"/>
          <w:lang w:val="en-GB"/>
        </w:rPr>
        <w:t>Paracetamol: IMSS Acquisitions Portal.</w:t>
      </w:r>
      <w:r w:rsidR="00B87D35" w:rsidRPr="0084045A">
        <w:rPr>
          <w:rFonts w:ascii="Arial" w:hAnsi="Arial" w:cs="Arial"/>
          <w:noProof/>
          <w:sz w:val="24"/>
          <w:szCs w:val="24"/>
          <w:vertAlign w:val="superscript"/>
          <w:lang w:val="en-GB"/>
        </w:rPr>
        <w:t>4</w:t>
      </w:r>
    </w:p>
    <w:p w14:paraId="3267C1C6" w14:textId="24ABC697" w:rsidR="00644272" w:rsidRPr="0084045A" w:rsidRDefault="00644272" w:rsidP="00644272">
      <w:pPr>
        <w:pStyle w:val="Prrafodelista"/>
        <w:numPr>
          <w:ilvl w:val="0"/>
          <w:numId w:val="59"/>
        </w:numPr>
        <w:spacing w:after="0" w:line="240" w:lineRule="auto"/>
        <w:contextualSpacing w:val="0"/>
        <w:jc w:val="both"/>
        <w:rPr>
          <w:rFonts w:ascii="Arial" w:hAnsi="Arial" w:cs="Arial"/>
          <w:noProof/>
          <w:sz w:val="24"/>
          <w:szCs w:val="24"/>
          <w:lang w:val="en-GB"/>
        </w:rPr>
      </w:pPr>
      <w:r w:rsidRPr="0084045A">
        <w:rPr>
          <w:rFonts w:ascii="Arial" w:hAnsi="Arial" w:cs="Arial"/>
          <w:noProof/>
          <w:sz w:val="24"/>
          <w:szCs w:val="24"/>
          <w:lang w:val="en-GB"/>
        </w:rPr>
        <w:t>Ceftriaxone: IMSS Acquisitions Portal</w:t>
      </w:r>
      <w:r w:rsidR="00B87D35" w:rsidRPr="0084045A">
        <w:rPr>
          <w:rFonts w:ascii="Arial" w:hAnsi="Arial" w:cs="Arial"/>
          <w:noProof/>
          <w:sz w:val="24"/>
          <w:szCs w:val="24"/>
          <w:lang w:val="en-GB"/>
        </w:rPr>
        <w:t>.</w:t>
      </w:r>
      <w:r w:rsidR="00B87D35" w:rsidRPr="0084045A">
        <w:rPr>
          <w:rStyle w:val="Refdenotaalpie"/>
          <w:rFonts w:ascii="Arial" w:hAnsi="Arial" w:cs="Arial"/>
          <w:noProof/>
          <w:sz w:val="24"/>
          <w:szCs w:val="24"/>
          <w:lang w:val="en-GB"/>
        </w:rPr>
        <w:t>5</w:t>
      </w:r>
    </w:p>
    <w:p w14:paraId="5181AA1C" w14:textId="77777777" w:rsidR="00644272" w:rsidRPr="0084045A" w:rsidRDefault="00644272" w:rsidP="00644272">
      <w:pPr>
        <w:pStyle w:val="Prrafodelista"/>
        <w:numPr>
          <w:ilvl w:val="0"/>
          <w:numId w:val="59"/>
        </w:numPr>
        <w:spacing w:after="0" w:line="240" w:lineRule="auto"/>
        <w:contextualSpacing w:val="0"/>
        <w:jc w:val="both"/>
        <w:rPr>
          <w:rFonts w:ascii="Arial" w:hAnsi="Arial" w:cs="Arial"/>
          <w:noProof/>
          <w:color w:val="000000" w:themeColor="text1"/>
          <w:sz w:val="24"/>
          <w:szCs w:val="24"/>
          <w:lang w:val="en-GB"/>
        </w:rPr>
      </w:pPr>
      <w:r w:rsidRPr="0084045A">
        <w:rPr>
          <w:rFonts w:ascii="Arial" w:hAnsi="Arial" w:cs="Arial"/>
          <w:noProof/>
          <w:color w:val="000000" w:themeColor="text1"/>
          <w:sz w:val="24"/>
          <w:szCs w:val="24"/>
          <w:lang w:val="en-GB"/>
        </w:rPr>
        <w:t>PCR and throat swab: 2018 price list InDRE.</w:t>
      </w:r>
    </w:p>
    <w:p w14:paraId="4AD3C752" w14:textId="77777777" w:rsidR="00881FBB" w:rsidRPr="0084045A" w:rsidRDefault="00881FBB" w:rsidP="00E85224">
      <w:pPr>
        <w:spacing w:after="0" w:line="240" w:lineRule="auto"/>
        <w:jc w:val="both"/>
        <w:rPr>
          <w:rFonts w:ascii="Arial" w:hAnsi="Arial" w:cs="Arial"/>
          <w:b/>
          <w:noProof/>
          <w:color w:val="000000" w:themeColor="text1"/>
          <w:lang w:val="en-GB"/>
        </w:rPr>
      </w:pPr>
    </w:p>
    <w:p w14:paraId="51F4E7B5" w14:textId="77777777" w:rsidR="00505A0C" w:rsidRPr="0084045A" w:rsidRDefault="00505A0C" w:rsidP="00505A0C">
      <w:pPr>
        <w:spacing w:after="0" w:line="240" w:lineRule="auto"/>
        <w:rPr>
          <w:rFonts w:ascii="Arial" w:hAnsi="Arial" w:cs="Arial"/>
          <w:b/>
          <w:noProof/>
          <w:color w:val="000000" w:themeColor="text1"/>
          <w:lang w:val="en-GB"/>
        </w:rPr>
      </w:pPr>
    </w:p>
    <w:p w14:paraId="42A72518" w14:textId="77777777" w:rsidR="004A1075" w:rsidRPr="0084045A" w:rsidRDefault="004A1075">
      <w:pPr>
        <w:rPr>
          <w:rFonts w:ascii="Arial" w:hAnsi="Arial" w:cs="Arial"/>
          <w:b/>
          <w:noProof/>
          <w:color w:val="000000" w:themeColor="text1"/>
          <w:lang w:val="en-GB"/>
        </w:rPr>
      </w:pPr>
      <w:r w:rsidRPr="0084045A">
        <w:rPr>
          <w:rFonts w:ascii="Arial" w:hAnsi="Arial" w:cs="Arial"/>
          <w:b/>
          <w:noProof/>
          <w:color w:val="000000" w:themeColor="text1"/>
          <w:lang w:val="en-GB"/>
        </w:rPr>
        <w:br w:type="page"/>
      </w:r>
    </w:p>
    <w:p w14:paraId="399270BA" w14:textId="50BCA5C7" w:rsidR="00881FBB" w:rsidRPr="0084045A" w:rsidRDefault="00881FBB" w:rsidP="00512905">
      <w:pPr>
        <w:pStyle w:val="Ttulo2"/>
        <w:rPr>
          <w:noProof/>
          <w:lang w:val="en-GB"/>
        </w:rPr>
      </w:pPr>
      <w:r w:rsidRPr="0084045A">
        <w:rPr>
          <w:noProof/>
          <w:lang w:val="en-GB"/>
        </w:rPr>
        <w:lastRenderedPageBreak/>
        <w:t xml:space="preserve">Table </w:t>
      </w:r>
      <w:r w:rsidR="00505A0C" w:rsidRPr="0084045A">
        <w:rPr>
          <w:noProof/>
          <w:lang w:val="en-GB"/>
        </w:rPr>
        <w:t>S</w:t>
      </w:r>
      <w:r w:rsidR="00EF2803" w:rsidRPr="0084045A">
        <w:rPr>
          <w:noProof/>
          <w:lang w:val="en-GB"/>
        </w:rPr>
        <w:t>3</w:t>
      </w:r>
      <w:r w:rsidR="00505A0C" w:rsidRPr="0084045A">
        <w:rPr>
          <w:noProof/>
          <w:lang w:val="en-GB"/>
        </w:rPr>
        <w:t>.</w:t>
      </w:r>
      <w:r w:rsidR="00EE72A9" w:rsidRPr="0084045A">
        <w:rPr>
          <w:noProof/>
          <w:lang w:val="en-GB"/>
        </w:rPr>
        <w:t>2</w:t>
      </w:r>
      <w:r w:rsidRPr="0084045A">
        <w:rPr>
          <w:noProof/>
          <w:lang w:val="en-GB"/>
        </w:rPr>
        <w:t xml:space="preserve">. Unit cost by </w:t>
      </w:r>
      <w:r w:rsidR="00505A0C" w:rsidRPr="0084045A">
        <w:rPr>
          <w:noProof/>
          <w:lang w:val="en-GB"/>
        </w:rPr>
        <w:t>public health provider</w:t>
      </w:r>
      <w:r w:rsidRPr="0084045A">
        <w:rPr>
          <w:noProof/>
          <w:lang w:val="en-GB"/>
        </w:rPr>
        <w:t xml:space="preserve"> and season</w:t>
      </w:r>
    </w:p>
    <w:p w14:paraId="41FB648A" w14:textId="77777777" w:rsidR="00881FBB" w:rsidRPr="0084045A" w:rsidRDefault="00881FBB" w:rsidP="00E85224">
      <w:pPr>
        <w:spacing w:after="0" w:line="240" w:lineRule="auto"/>
        <w:ind w:right="246"/>
        <w:jc w:val="both"/>
        <w:rPr>
          <w:rFonts w:ascii="Arial" w:hAnsi="Arial" w:cs="Arial"/>
          <w:noProof/>
          <w:color w:val="000000" w:themeColor="text1"/>
          <w:lang w:val="en-GB"/>
        </w:rPr>
      </w:pPr>
    </w:p>
    <w:tbl>
      <w:tblPr>
        <w:tblW w:w="9034" w:type="dxa"/>
        <w:tblInd w:w="70" w:type="dxa"/>
        <w:tblCellMar>
          <w:left w:w="70" w:type="dxa"/>
          <w:right w:w="70" w:type="dxa"/>
        </w:tblCellMar>
        <w:tblLook w:val="04A0" w:firstRow="1" w:lastRow="0" w:firstColumn="1" w:lastColumn="0" w:noHBand="0" w:noVBand="1"/>
      </w:tblPr>
      <w:tblGrid>
        <w:gridCol w:w="1915"/>
        <w:gridCol w:w="791"/>
        <w:gridCol w:w="791"/>
        <w:gridCol w:w="791"/>
        <w:gridCol w:w="791"/>
        <w:gridCol w:w="791"/>
        <w:gridCol w:w="791"/>
        <w:gridCol w:w="791"/>
        <w:gridCol w:w="791"/>
        <w:gridCol w:w="791"/>
      </w:tblGrid>
      <w:tr w:rsidR="00881FBB" w:rsidRPr="0084045A" w14:paraId="019AF57A" w14:textId="77777777" w:rsidTr="00512905">
        <w:trPr>
          <w:trHeight w:val="324"/>
        </w:trPr>
        <w:tc>
          <w:tcPr>
            <w:tcW w:w="1915" w:type="dxa"/>
            <w:vMerge w:val="restart"/>
            <w:tcBorders>
              <w:top w:val="single" w:sz="4" w:space="0" w:color="auto"/>
              <w:left w:val="nil"/>
              <w:bottom w:val="single" w:sz="4" w:space="0" w:color="auto"/>
              <w:right w:val="nil"/>
            </w:tcBorders>
            <w:shd w:val="clear" w:color="auto" w:fill="auto"/>
            <w:noWrap/>
            <w:vAlign w:val="center"/>
          </w:tcPr>
          <w:p w14:paraId="644CDB38" w14:textId="77777777" w:rsidR="00881FBB" w:rsidRPr="0084045A" w:rsidRDefault="00881FBB" w:rsidP="00505A0C">
            <w:pPr>
              <w:spacing w:after="0" w:line="240" w:lineRule="auto"/>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Unit cost</w:t>
            </w:r>
          </w:p>
        </w:tc>
        <w:tc>
          <w:tcPr>
            <w:tcW w:w="7119" w:type="dxa"/>
            <w:gridSpan w:val="9"/>
            <w:tcBorders>
              <w:top w:val="single" w:sz="4" w:space="0" w:color="auto"/>
              <w:left w:val="nil"/>
              <w:bottom w:val="single" w:sz="4" w:space="0" w:color="auto"/>
              <w:right w:val="nil"/>
            </w:tcBorders>
            <w:shd w:val="clear" w:color="auto" w:fill="auto"/>
            <w:noWrap/>
            <w:vAlign w:val="center"/>
          </w:tcPr>
          <w:p w14:paraId="7382F26B" w14:textId="77777777" w:rsidR="00881FBB" w:rsidRPr="0084045A" w:rsidRDefault="00881FBB" w:rsidP="00E85224">
            <w:pPr>
              <w:spacing w:after="0" w:line="240" w:lineRule="auto"/>
              <w:jc w:val="center"/>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Season</w:t>
            </w:r>
          </w:p>
        </w:tc>
      </w:tr>
      <w:tr w:rsidR="00881FBB" w:rsidRPr="0084045A" w14:paraId="79D776A7" w14:textId="77777777" w:rsidTr="00505A0C">
        <w:trPr>
          <w:trHeight w:val="1032"/>
        </w:trPr>
        <w:tc>
          <w:tcPr>
            <w:tcW w:w="1915" w:type="dxa"/>
            <w:vMerge/>
            <w:tcBorders>
              <w:left w:val="nil"/>
              <w:bottom w:val="single" w:sz="4" w:space="0" w:color="auto"/>
              <w:right w:val="nil"/>
            </w:tcBorders>
            <w:shd w:val="clear" w:color="auto" w:fill="auto"/>
            <w:noWrap/>
            <w:vAlign w:val="center"/>
            <w:hideMark/>
          </w:tcPr>
          <w:p w14:paraId="30C7ED83" w14:textId="77777777" w:rsidR="00881FBB" w:rsidRPr="0084045A" w:rsidRDefault="00881FBB" w:rsidP="00E85224">
            <w:pPr>
              <w:spacing w:after="0" w:line="240" w:lineRule="auto"/>
              <w:rPr>
                <w:rFonts w:ascii="Arial" w:eastAsia="Times New Roman" w:hAnsi="Arial" w:cs="Arial"/>
                <w:b/>
                <w:bCs/>
                <w:noProof/>
                <w:color w:val="000000"/>
                <w:sz w:val="16"/>
                <w:szCs w:val="16"/>
                <w:lang w:val="en-GB" w:eastAsia="es-ES"/>
              </w:rPr>
            </w:pPr>
          </w:p>
        </w:tc>
        <w:tc>
          <w:tcPr>
            <w:tcW w:w="791" w:type="dxa"/>
            <w:tcBorders>
              <w:top w:val="nil"/>
              <w:left w:val="nil"/>
              <w:bottom w:val="single" w:sz="4" w:space="0" w:color="auto"/>
              <w:right w:val="nil"/>
            </w:tcBorders>
            <w:shd w:val="clear" w:color="auto" w:fill="auto"/>
            <w:noWrap/>
            <w:textDirection w:val="btLr"/>
            <w:vAlign w:val="center"/>
            <w:hideMark/>
          </w:tcPr>
          <w:p w14:paraId="00EF8A2B" w14:textId="5BC60CBC" w:rsidR="00881FBB" w:rsidRPr="0084045A" w:rsidRDefault="00881FBB" w:rsidP="00E85224">
            <w:pPr>
              <w:spacing w:after="0" w:line="240" w:lineRule="auto"/>
              <w:jc w:val="center"/>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2009</w:t>
            </w:r>
            <w:r w:rsidR="00BA4518" w:rsidRPr="0084045A">
              <w:rPr>
                <w:rFonts w:ascii="Arial" w:eastAsia="Times New Roman" w:hAnsi="Arial" w:cs="Arial"/>
                <w:b/>
                <w:bCs/>
                <w:noProof/>
                <w:color w:val="000000"/>
                <w:sz w:val="16"/>
                <w:szCs w:val="16"/>
                <w:lang w:val="en-GB" w:eastAsia="es-ES"/>
              </w:rPr>
              <w:t>–</w:t>
            </w:r>
            <w:r w:rsidRPr="0084045A">
              <w:rPr>
                <w:rFonts w:ascii="Arial" w:eastAsia="Times New Roman" w:hAnsi="Arial" w:cs="Arial"/>
                <w:b/>
                <w:bCs/>
                <w:noProof/>
                <w:color w:val="000000"/>
                <w:sz w:val="16"/>
                <w:szCs w:val="16"/>
                <w:lang w:val="en-GB" w:eastAsia="es-ES"/>
              </w:rPr>
              <w:t>2010</w:t>
            </w:r>
          </w:p>
        </w:tc>
        <w:tc>
          <w:tcPr>
            <w:tcW w:w="791" w:type="dxa"/>
            <w:tcBorders>
              <w:top w:val="nil"/>
              <w:left w:val="nil"/>
              <w:bottom w:val="single" w:sz="4" w:space="0" w:color="auto"/>
              <w:right w:val="nil"/>
            </w:tcBorders>
            <w:shd w:val="clear" w:color="auto" w:fill="auto"/>
            <w:noWrap/>
            <w:textDirection w:val="btLr"/>
            <w:vAlign w:val="center"/>
            <w:hideMark/>
          </w:tcPr>
          <w:p w14:paraId="00944EDB" w14:textId="57E35FAA" w:rsidR="00881FBB" w:rsidRPr="0084045A" w:rsidRDefault="00881FBB" w:rsidP="00E85224">
            <w:pPr>
              <w:spacing w:after="0" w:line="240" w:lineRule="auto"/>
              <w:jc w:val="center"/>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2010</w:t>
            </w:r>
            <w:r w:rsidR="00BA4518" w:rsidRPr="0084045A">
              <w:rPr>
                <w:rFonts w:ascii="Arial" w:eastAsia="Times New Roman" w:hAnsi="Arial" w:cs="Arial"/>
                <w:b/>
                <w:bCs/>
                <w:noProof/>
                <w:color w:val="000000"/>
                <w:sz w:val="16"/>
                <w:szCs w:val="16"/>
                <w:lang w:val="en-GB" w:eastAsia="es-ES"/>
              </w:rPr>
              <w:t>–</w:t>
            </w:r>
            <w:r w:rsidRPr="0084045A">
              <w:rPr>
                <w:rFonts w:ascii="Arial" w:eastAsia="Times New Roman" w:hAnsi="Arial" w:cs="Arial"/>
                <w:b/>
                <w:bCs/>
                <w:noProof/>
                <w:color w:val="000000"/>
                <w:sz w:val="16"/>
                <w:szCs w:val="16"/>
                <w:lang w:val="en-GB" w:eastAsia="es-ES"/>
              </w:rPr>
              <w:t>2011</w:t>
            </w:r>
          </w:p>
        </w:tc>
        <w:tc>
          <w:tcPr>
            <w:tcW w:w="791" w:type="dxa"/>
            <w:tcBorders>
              <w:top w:val="nil"/>
              <w:left w:val="nil"/>
              <w:bottom w:val="single" w:sz="4" w:space="0" w:color="auto"/>
              <w:right w:val="nil"/>
            </w:tcBorders>
            <w:shd w:val="clear" w:color="auto" w:fill="auto"/>
            <w:noWrap/>
            <w:textDirection w:val="btLr"/>
            <w:vAlign w:val="center"/>
            <w:hideMark/>
          </w:tcPr>
          <w:p w14:paraId="54A1DE5E" w14:textId="48D9CEA7" w:rsidR="00881FBB" w:rsidRPr="0084045A" w:rsidRDefault="00881FBB" w:rsidP="00E85224">
            <w:pPr>
              <w:spacing w:after="0" w:line="240" w:lineRule="auto"/>
              <w:jc w:val="center"/>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2011</w:t>
            </w:r>
            <w:r w:rsidR="00BA4518" w:rsidRPr="0084045A">
              <w:rPr>
                <w:rFonts w:ascii="Arial" w:eastAsia="Times New Roman" w:hAnsi="Arial" w:cs="Arial"/>
                <w:b/>
                <w:bCs/>
                <w:noProof/>
                <w:color w:val="000000"/>
                <w:sz w:val="16"/>
                <w:szCs w:val="16"/>
                <w:lang w:val="en-GB" w:eastAsia="es-ES"/>
              </w:rPr>
              <w:t>–</w:t>
            </w:r>
            <w:r w:rsidRPr="0084045A">
              <w:rPr>
                <w:rFonts w:ascii="Arial" w:eastAsia="Times New Roman" w:hAnsi="Arial" w:cs="Arial"/>
                <w:b/>
                <w:bCs/>
                <w:noProof/>
                <w:color w:val="000000"/>
                <w:sz w:val="16"/>
                <w:szCs w:val="16"/>
                <w:lang w:val="en-GB" w:eastAsia="es-ES"/>
              </w:rPr>
              <w:t>2012</w:t>
            </w:r>
          </w:p>
        </w:tc>
        <w:tc>
          <w:tcPr>
            <w:tcW w:w="791" w:type="dxa"/>
            <w:tcBorders>
              <w:top w:val="nil"/>
              <w:left w:val="nil"/>
              <w:bottom w:val="single" w:sz="4" w:space="0" w:color="auto"/>
              <w:right w:val="nil"/>
            </w:tcBorders>
            <w:shd w:val="clear" w:color="auto" w:fill="auto"/>
            <w:noWrap/>
            <w:textDirection w:val="btLr"/>
            <w:vAlign w:val="center"/>
            <w:hideMark/>
          </w:tcPr>
          <w:p w14:paraId="60DCAFAF" w14:textId="66D9CAF6" w:rsidR="00881FBB" w:rsidRPr="0084045A" w:rsidRDefault="00881FBB" w:rsidP="00E85224">
            <w:pPr>
              <w:spacing w:after="0" w:line="240" w:lineRule="auto"/>
              <w:jc w:val="center"/>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2012</w:t>
            </w:r>
            <w:r w:rsidR="00BA4518" w:rsidRPr="0084045A">
              <w:rPr>
                <w:rFonts w:ascii="Arial" w:eastAsia="Times New Roman" w:hAnsi="Arial" w:cs="Arial"/>
                <w:b/>
                <w:bCs/>
                <w:noProof/>
                <w:color w:val="000000"/>
                <w:sz w:val="16"/>
                <w:szCs w:val="16"/>
                <w:lang w:val="en-GB" w:eastAsia="es-ES"/>
              </w:rPr>
              <w:t>–</w:t>
            </w:r>
            <w:r w:rsidRPr="0084045A">
              <w:rPr>
                <w:rFonts w:ascii="Arial" w:eastAsia="Times New Roman" w:hAnsi="Arial" w:cs="Arial"/>
                <w:b/>
                <w:bCs/>
                <w:noProof/>
                <w:color w:val="000000"/>
                <w:sz w:val="16"/>
                <w:szCs w:val="16"/>
                <w:lang w:val="en-GB" w:eastAsia="es-ES"/>
              </w:rPr>
              <w:t>2013</w:t>
            </w:r>
          </w:p>
        </w:tc>
        <w:tc>
          <w:tcPr>
            <w:tcW w:w="791" w:type="dxa"/>
            <w:tcBorders>
              <w:top w:val="nil"/>
              <w:left w:val="nil"/>
              <w:bottom w:val="single" w:sz="4" w:space="0" w:color="auto"/>
              <w:right w:val="nil"/>
            </w:tcBorders>
            <w:shd w:val="clear" w:color="auto" w:fill="auto"/>
            <w:noWrap/>
            <w:textDirection w:val="btLr"/>
            <w:vAlign w:val="center"/>
            <w:hideMark/>
          </w:tcPr>
          <w:p w14:paraId="0D4CB939" w14:textId="4C4C2798" w:rsidR="00881FBB" w:rsidRPr="0084045A" w:rsidRDefault="00881FBB" w:rsidP="00E85224">
            <w:pPr>
              <w:spacing w:after="0" w:line="240" w:lineRule="auto"/>
              <w:jc w:val="center"/>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2013</w:t>
            </w:r>
            <w:r w:rsidR="00BA4518" w:rsidRPr="0084045A">
              <w:rPr>
                <w:rFonts w:ascii="Arial" w:eastAsia="Times New Roman" w:hAnsi="Arial" w:cs="Arial"/>
                <w:b/>
                <w:bCs/>
                <w:noProof/>
                <w:color w:val="000000"/>
                <w:sz w:val="16"/>
                <w:szCs w:val="16"/>
                <w:lang w:val="en-GB" w:eastAsia="es-ES"/>
              </w:rPr>
              <w:t>–</w:t>
            </w:r>
            <w:r w:rsidRPr="0084045A">
              <w:rPr>
                <w:rFonts w:ascii="Arial" w:eastAsia="Times New Roman" w:hAnsi="Arial" w:cs="Arial"/>
                <w:b/>
                <w:bCs/>
                <w:noProof/>
                <w:color w:val="000000"/>
                <w:sz w:val="16"/>
                <w:szCs w:val="16"/>
                <w:lang w:val="en-GB" w:eastAsia="es-ES"/>
              </w:rPr>
              <w:t>2014</w:t>
            </w:r>
          </w:p>
        </w:tc>
        <w:tc>
          <w:tcPr>
            <w:tcW w:w="791" w:type="dxa"/>
            <w:tcBorders>
              <w:top w:val="nil"/>
              <w:left w:val="nil"/>
              <w:bottom w:val="single" w:sz="4" w:space="0" w:color="auto"/>
              <w:right w:val="nil"/>
            </w:tcBorders>
            <w:shd w:val="clear" w:color="auto" w:fill="auto"/>
            <w:noWrap/>
            <w:textDirection w:val="btLr"/>
            <w:vAlign w:val="center"/>
            <w:hideMark/>
          </w:tcPr>
          <w:p w14:paraId="536A81B8" w14:textId="2097BF19" w:rsidR="00881FBB" w:rsidRPr="0084045A" w:rsidRDefault="00881FBB" w:rsidP="00E85224">
            <w:pPr>
              <w:spacing w:after="0" w:line="240" w:lineRule="auto"/>
              <w:jc w:val="center"/>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2014</w:t>
            </w:r>
            <w:r w:rsidR="00BA4518" w:rsidRPr="0084045A">
              <w:rPr>
                <w:rFonts w:ascii="Arial" w:eastAsia="Times New Roman" w:hAnsi="Arial" w:cs="Arial"/>
                <w:b/>
                <w:bCs/>
                <w:noProof/>
                <w:color w:val="000000"/>
                <w:sz w:val="16"/>
                <w:szCs w:val="16"/>
                <w:lang w:val="en-GB" w:eastAsia="es-ES"/>
              </w:rPr>
              <w:t>–</w:t>
            </w:r>
            <w:r w:rsidRPr="0084045A">
              <w:rPr>
                <w:rFonts w:ascii="Arial" w:eastAsia="Times New Roman" w:hAnsi="Arial" w:cs="Arial"/>
                <w:b/>
                <w:bCs/>
                <w:noProof/>
                <w:color w:val="000000"/>
                <w:sz w:val="16"/>
                <w:szCs w:val="16"/>
                <w:lang w:val="en-GB" w:eastAsia="es-ES"/>
              </w:rPr>
              <w:t>2015</w:t>
            </w:r>
          </w:p>
        </w:tc>
        <w:tc>
          <w:tcPr>
            <w:tcW w:w="791" w:type="dxa"/>
            <w:tcBorders>
              <w:top w:val="nil"/>
              <w:left w:val="nil"/>
              <w:bottom w:val="single" w:sz="4" w:space="0" w:color="auto"/>
              <w:right w:val="nil"/>
            </w:tcBorders>
            <w:shd w:val="clear" w:color="auto" w:fill="auto"/>
            <w:noWrap/>
            <w:textDirection w:val="btLr"/>
            <w:vAlign w:val="center"/>
            <w:hideMark/>
          </w:tcPr>
          <w:p w14:paraId="37FF4AA8" w14:textId="788AE37E" w:rsidR="00881FBB" w:rsidRPr="0084045A" w:rsidRDefault="00881FBB" w:rsidP="00E85224">
            <w:pPr>
              <w:spacing w:after="0" w:line="240" w:lineRule="auto"/>
              <w:jc w:val="center"/>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2015</w:t>
            </w:r>
            <w:r w:rsidR="00BA4518" w:rsidRPr="0084045A">
              <w:rPr>
                <w:rFonts w:ascii="Arial" w:eastAsia="Times New Roman" w:hAnsi="Arial" w:cs="Arial"/>
                <w:b/>
                <w:bCs/>
                <w:noProof/>
                <w:color w:val="000000"/>
                <w:sz w:val="16"/>
                <w:szCs w:val="16"/>
                <w:lang w:val="en-GB" w:eastAsia="es-ES"/>
              </w:rPr>
              <w:t>–</w:t>
            </w:r>
            <w:r w:rsidRPr="0084045A">
              <w:rPr>
                <w:rFonts w:ascii="Arial" w:eastAsia="Times New Roman" w:hAnsi="Arial" w:cs="Arial"/>
                <w:b/>
                <w:bCs/>
                <w:noProof/>
                <w:color w:val="000000"/>
                <w:sz w:val="16"/>
                <w:szCs w:val="16"/>
                <w:lang w:val="en-GB" w:eastAsia="es-ES"/>
              </w:rPr>
              <w:t>2016</w:t>
            </w:r>
          </w:p>
        </w:tc>
        <w:tc>
          <w:tcPr>
            <w:tcW w:w="791" w:type="dxa"/>
            <w:tcBorders>
              <w:top w:val="nil"/>
              <w:left w:val="nil"/>
              <w:bottom w:val="single" w:sz="4" w:space="0" w:color="auto"/>
              <w:right w:val="nil"/>
            </w:tcBorders>
            <w:shd w:val="clear" w:color="auto" w:fill="auto"/>
            <w:noWrap/>
            <w:textDirection w:val="btLr"/>
            <w:vAlign w:val="center"/>
            <w:hideMark/>
          </w:tcPr>
          <w:p w14:paraId="57DFEE90" w14:textId="03464892" w:rsidR="00881FBB" w:rsidRPr="0084045A" w:rsidRDefault="00881FBB" w:rsidP="00E85224">
            <w:pPr>
              <w:spacing w:after="0" w:line="240" w:lineRule="auto"/>
              <w:jc w:val="center"/>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2016</w:t>
            </w:r>
            <w:r w:rsidR="00BA4518" w:rsidRPr="0084045A">
              <w:rPr>
                <w:rFonts w:ascii="Arial" w:eastAsia="Times New Roman" w:hAnsi="Arial" w:cs="Arial"/>
                <w:b/>
                <w:bCs/>
                <w:noProof/>
                <w:color w:val="000000"/>
                <w:sz w:val="16"/>
                <w:szCs w:val="16"/>
                <w:lang w:val="en-GB" w:eastAsia="es-ES"/>
              </w:rPr>
              <w:t>–</w:t>
            </w:r>
            <w:r w:rsidRPr="0084045A">
              <w:rPr>
                <w:rFonts w:ascii="Arial" w:eastAsia="Times New Roman" w:hAnsi="Arial" w:cs="Arial"/>
                <w:b/>
                <w:bCs/>
                <w:noProof/>
                <w:color w:val="000000"/>
                <w:sz w:val="16"/>
                <w:szCs w:val="16"/>
                <w:lang w:val="en-GB" w:eastAsia="es-ES"/>
              </w:rPr>
              <w:t>2017</w:t>
            </w:r>
          </w:p>
        </w:tc>
        <w:tc>
          <w:tcPr>
            <w:tcW w:w="791" w:type="dxa"/>
            <w:tcBorders>
              <w:top w:val="nil"/>
              <w:left w:val="nil"/>
              <w:bottom w:val="single" w:sz="4" w:space="0" w:color="auto"/>
              <w:right w:val="nil"/>
            </w:tcBorders>
            <w:shd w:val="clear" w:color="auto" w:fill="auto"/>
            <w:noWrap/>
            <w:textDirection w:val="btLr"/>
            <w:vAlign w:val="center"/>
            <w:hideMark/>
          </w:tcPr>
          <w:p w14:paraId="44CFFADB" w14:textId="3A5ABCD1" w:rsidR="00881FBB" w:rsidRPr="0084045A" w:rsidRDefault="00881FBB" w:rsidP="00E85224">
            <w:pPr>
              <w:spacing w:after="0" w:line="240" w:lineRule="auto"/>
              <w:jc w:val="center"/>
              <w:rPr>
                <w:rFonts w:ascii="Arial" w:eastAsia="Times New Roman" w:hAnsi="Arial" w:cs="Arial"/>
                <w:b/>
                <w:bCs/>
                <w:noProof/>
                <w:color w:val="000000"/>
                <w:sz w:val="16"/>
                <w:szCs w:val="16"/>
                <w:lang w:val="en-GB" w:eastAsia="es-ES"/>
              </w:rPr>
            </w:pPr>
            <w:r w:rsidRPr="0084045A">
              <w:rPr>
                <w:rFonts w:ascii="Arial" w:eastAsia="Times New Roman" w:hAnsi="Arial" w:cs="Arial"/>
                <w:b/>
                <w:bCs/>
                <w:noProof/>
                <w:color w:val="000000"/>
                <w:sz w:val="16"/>
                <w:szCs w:val="16"/>
                <w:lang w:val="en-GB" w:eastAsia="es-ES"/>
              </w:rPr>
              <w:t>2017</w:t>
            </w:r>
            <w:r w:rsidR="00BA4518" w:rsidRPr="0084045A">
              <w:rPr>
                <w:rFonts w:ascii="Arial" w:eastAsia="Times New Roman" w:hAnsi="Arial" w:cs="Arial"/>
                <w:b/>
                <w:bCs/>
                <w:noProof/>
                <w:color w:val="000000"/>
                <w:sz w:val="16"/>
                <w:szCs w:val="16"/>
                <w:lang w:val="en-GB" w:eastAsia="es-ES"/>
              </w:rPr>
              <w:t>–</w:t>
            </w:r>
            <w:r w:rsidRPr="0084045A">
              <w:rPr>
                <w:rFonts w:ascii="Arial" w:eastAsia="Times New Roman" w:hAnsi="Arial" w:cs="Arial"/>
                <w:b/>
                <w:bCs/>
                <w:noProof/>
                <w:color w:val="000000"/>
                <w:sz w:val="16"/>
                <w:szCs w:val="16"/>
                <w:lang w:val="en-GB" w:eastAsia="es-ES"/>
              </w:rPr>
              <w:t>2018</w:t>
            </w:r>
          </w:p>
        </w:tc>
      </w:tr>
      <w:tr w:rsidR="00881FBB" w:rsidRPr="0084045A" w14:paraId="3F65786E" w14:textId="77777777" w:rsidTr="00512905">
        <w:trPr>
          <w:trHeight w:hRule="exact" w:val="284"/>
        </w:trPr>
        <w:tc>
          <w:tcPr>
            <w:tcW w:w="1915" w:type="dxa"/>
            <w:tcBorders>
              <w:top w:val="nil"/>
              <w:left w:val="nil"/>
              <w:bottom w:val="single" w:sz="4" w:space="0" w:color="auto"/>
              <w:right w:val="nil"/>
            </w:tcBorders>
            <w:shd w:val="clear" w:color="auto" w:fill="auto"/>
            <w:noWrap/>
            <w:vAlign w:val="center"/>
            <w:hideMark/>
          </w:tcPr>
          <w:p w14:paraId="59EFCF5D" w14:textId="77777777" w:rsidR="00881FBB" w:rsidRPr="0084045A" w:rsidRDefault="00881FBB" w:rsidP="00E85224">
            <w:pPr>
              <w:spacing w:after="0" w:line="240" w:lineRule="auto"/>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IMSS</w:t>
            </w:r>
          </w:p>
        </w:tc>
        <w:tc>
          <w:tcPr>
            <w:tcW w:w="791" w:type="dxa"/>
            <w:tcBorders>
              <w:top w:val="nil"/>
              <w:left w:val="nil"/>
              <w:bottom w:val="single" w:sz="4" w:space="0" w:color="auto"/>
              <w:right w:val="nil"/>
            </w:tcBorders>
            <w:shd w:val="clear" w:color="auto" w:fill="auto"/>
            <w:noWrap/>
            <w:textDirection w:val="btLr"/>
            <w:vAlign w:val="center"/>
            <w:hideMark/>
          </w:tcPr>
          <w:p w14:paraId="5FF315CC"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0B982C59"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67EA01C2"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17526EDC"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5073994E"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7DCD25B1"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422BE7C5"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29673CC5"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789320FD"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r>
      <w:tr w:rsidR="00881FBB" w:rsidRPr="0084045A" w14:paraId="7AE182D2" w14:textId="77777777" w:rsidTr="00512905">
        <w:trPr>
          <w:trHeight w:hRule="exact" w:val="284"/>
        </w:trPr>
        <w:tc>
          <w:tcPr>
            <w:tcW w:w="1915" w:type="dxa"/>
            <w:tcBorders>
              <w:top w:val="single" w:sz="4" w:space="0" w:color="auto"/>
              <w:left w:val="nil"/>
            </w:tcBorders>
            <w:shd w:val="clear" w:color="auto" w:fill="auto"/>
            <w:noWrap/>
            <w:vAlign w:val="center"/>
            <w:hideMark/>
          </w:tcPr>
          <w:p w14:paraId="32C9EACE" w14:textId="4E57C47E" w:rsidR="00881FBB" w:rsidRPr="0084045A" w:rsidRDefault="00505A0C"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Outpatient consult</w:t>
            </w:r>
            <w:r w:rsidR="005773E5" w:rsidRPr="0084045A">
              <w:rPr>
                <w:rFonts w:ascii="Arial" w:eastAsia="Times New Roman" w:hAnsi="Arial" w:cs="Arial"/>
                <w:noProof/>
                <w:color w:val="000000"/>
                <w:sz w:val="16"/>
                <w:szCs w:val="16"/>
                <w:lang w:val="en-GB" w:eastAsia="es-ES"/>
              </w:rPr>
              <w:t>ation</w:t>
            </w:r>
          </w:p>
        </w:tc>
        <w:tc>
          <w:tcPr>
            <w:tcW w:w="791" w:type="dxa"/>
            <w:tcBorders>
              <w:top w:val="single" w:sz="4" w:space="0" w:color="auto"/>
            </w:tcBorders>
            <w:shd w:val="clear" w:color="auto" w:fill="auto"/>
            <w:noWrap/>
            <w:vAlign w:val="center"/>
            <w:hideMark/>
          </w:tcPr>
          <w:p w14:paraId="0741A85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536.69</w:t>
            </w:r>
          </w:p>
        </w:tc>
        <w:tc>
          <w:tcPr>
            <w:tcW w:w="791" w:type="dxa"/>
            <w:tcBorders>
              <w:top w:val="single" w:sz="4" w:space="0" w:color="auto"/>
            </w:tcBorders>
            <w:shd w:val="clear" w:color="auto" w:fill="auto"/>
            <w:noWrap/>
            <w:vAlign w:val="center"/>
            <w:hideMark/>
          </w:tcPr>
          <w:p w14:paraId="7CE3103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554.98</w:t>
            </w:r>
          </w:p>
        </w:tc>
        <w:tc>
          <w:tcPr>
            <w:tcW w:w="791" w:type="dxa"/>
            <w:tcBorders>
              <w:top w:val="single" w:sz="4" w:space="0" w:color="auto"/>
            </w:tcBorders>
            <w:shd w:val="clear" w:color="auto" w:fill="auto"/>
            <w:noWrap/>
            <w:vAlign w:val="center"/>
            <w:hideMark/>
          </w:tcPr>
          <w:p w14:paraId="2DF1807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577.80</w:t>
            </w:r>
          </w:p>
        </w:tc>
        <w:tc>
          <w:tcPr>
            <w:tcW w:w="791" w:type="dxa"/>
            <w:tcBorders>
              <w:top w:val="single" w:sz="4" w:space="0" w:color="auto"/>
            </w:tcBorders>
            <w:shd w:val="clear" w:color="auto" w:fill="auto"/>
            <w:noWrap/>
            <w:vAlign w:val="center"/>
            <w:hideMark/>
          </w:tcPr>
          <w:p w14:paraId="24DB474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599.79</w:t>
            </w:r>
          </w:p>
        </w:tc>
        <w:tc>
          <w:tcPr>
            <w:tcW w:w="791" w:type="dxa"/>
            <w:tcBorders>
              <w:top w:val="single" w:sz="4" w:space="0" w:color="auto"/>
            </w:tcBorders>
            <w:shd w:val="clear" w:color="auto" w:fill="auto"/>
            <w:noWrap/>
            <w:vAlign w:val="center"/>
            <w:hideMark/>
          </w:tcPr>
          <w:p w14:paraId="0B4B338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623.90</w:t>
            </w:r>
          </w:p>
        </w:tc>
        <w:tc>
          <w:tcPr>
            <w:tcW w:w="791" w:type="dxa"/>
            <w:tcBorders>
              <w:top w:val="single" w:sz="4" w:space="0" w:color="auto"/>
            </w:tcBorders>
            <w:shd w:val="clear" w:color="auto" w:fill="auto"/>
            <w:noWrap/>
            <w:vAlign w:val="center"/>
            <w:hideMark/>
          </w:tcPr>
          <w:p w14:paraId="5F04CB1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640.87</w:t>
            </w:r>
          </w:p>
        </w:tc>
        <w:tc>
          <w:tcPr>
            <w:tcW w:w="791" w:type="dxa"/>
            <w:tcBorders>
              <w:top w:val="single" w:sz="4" w:space="0" w:color="auto"/>
            </w:tcBorders>
            <w:shd w:val="clear" w:color="auto" w:fill="auto"/>
            <w:noWrap/>
            <w:vAlign w:val="center"/>
            <w:hideMark/>
          </w:tcPr>
          <w:p w14:paraId="55EFED4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658.95</w:t>
            </w:r>
          </w:p>
        </w:tc>
        <w:tc>
          <w:tcPr>
            <w:tcW w:w="791" w:type="dxa"/>
            <w:tcBorders>
              <w:top w:val="single" w:sz="4" w:space="0" w:color="auto"/>
            </w:tcBorders>
            <w:shd w:val="clear" w:color="auto" w:fill="auto"/>
            <w:noWrap/>
            <w:vAlign w:val="center"/>
            <w:hideMark/>
          </w:tcPr>
          <w:p w14:paraId="706F626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698.77</w:t>
            </w:r>
          </w:p>
        </w:tc>
        <w:tc>
          <w:tcPr>
            <w:tcW w:w="791" w:type="dxa"/>
            <w:tcBorders>
              <w:top w:val="single" w:sz="4" w:space="0" w:color="auto"/>
              <w:right w:val="nil"/>
            </w:tcBorders>
            <w:shd w:val="clear" w:color="auto" w:fill="auto"/>
            <w:noWrap/>
            <w:vAlign w:val="center"/>
            <w:hideMark/>
          </w:tcPr>
          <w:p w14:paraId="7C2036C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733.00</w:t>
            </w:r>
          </w:p>
        </w:tc>
      </w:tr>
      <w:tr w:rsidR="00881FBB" w:rsidRPr="0084045A" w14:paraId="5D8725D0" w14:textId="77777777" w:rsidTr="00512905">
        <w:trPr>
          <w:trHeight w:hRule="exact" w:val="284"/>
        </w:trPr>
        <w:tc>
          <w:tcPr>
            <w:tcW w:w="1915" w:type="dxa"/>
            <w:tcBorders>
              <w:left w:val="nil"/>
            </w:tcBorders>
            <w:shd w:val="clear" w:color="auto" w:fill="auto"/>
            <w:noWrap/>
            <w:vAlign w:val="center"/>
            <w:hideMark/>
          </w:tcPr>
          <w:p w14:paraId="3864A41B" w14:textId="17D5C315" w:rsidR="00881FBB" w:rsidRPr="0084045A" w:rsidRDefault="005773E5"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Specialist consultation</w:t>
            </w:r>
          </w:p>
        </w:tc>
        <w:tc>
          <w:tcPr>
            <w:tcW w:w="791" w:type="dxa"/>
            <w:shd w:val="clear" w:color="auto" w:fill="auto"/>
            <w:noWrap/>
            <w:vAlign w:val="center"/>
            <w:hideMark/>
          </w:tcPr>
          <w:p w14:paraId="07F8765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849.34</w:t>
            </w:r>
          </w:p>
        </w:tc>
        <w:tc>
          <w:tcPr>
            <w:tcW w:w="791" w:type="dxa"/>
            <w:shd w:val="clear" w:color="auto" w:fill="auto"/>
            <w:noWrap/>
            <w:vAlign w:val="center"/>
            <w:hideMark/>
          </w:tcPr>
          <w:p w14:paraId="61E12CA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878.28</w:t>
            </w:r>
          </w:p>
        </w:tc>
        <w:tc>
          <w:tcPr>
            <w:tcW w:w="791" w:type="dxa"/>
            <w:shd w:val="clear" w:color="auto" w:fill="auto"/>
            <w:noWrap/>
            <w:vAlign w:val="center"/>
            <w:hideMark/>
          </w:tcPr>
          <w:p w14:paraId="167B6B0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914.39</w:t>
            </w:r>
          </w:p>
        </w:tc>
        <w:tc>
          <w:tcPr>
            <w:tcW w:w="791" w:type="dxa"/>
            <w:shd w:val="clear" w:color="auto" w:fill="auto"/>
            <w:noWrap/>
            <w:vAlign w:val="center"/>
            <w:hideMark/>
          </w:tcPr>
          <w:p w14:paraId="17C582E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949.20</w:t>
            </w:r>
          </w:p>
        </w:tc>
        <w:tc>
          <w:tcPr>
            <w:tcW w:w="791" w:type="dxa"/>
            <w:shd w:val="clear" w:color="auto" w:fill="auto"/>
            <w:noWrap/>
            <w:vAlign w:val="center"/>
            <w:hideMark/>
          </w:tcPr>
          <w:p w14:paraId="0F3C64F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987.34</w:t>
            </w:r>
          </w:p>
        </w:tc>
        <w:tc>
          <w:tcPr>
            <w:tcW w:w="791" w:type="dxa"/>
            <w:shd w:val="clear" w:color="auto" w:fill="auto"/>
            <w:noWrap/>
            <w:vAlign w:val="center"/>
            <w:hideMark/>
          </w:tcPr>
          <w:p w14:paraId="1AFAFBC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1014.20</w:t>
            </w:r>
          </w:p>
        </w:tc>
        <w:tc>
          <w:tcPr>
            <w:tcW w:w="791" w:type="dxa"/>
            <w:shd w:val="clear" w:color="auto" w:fill="auto"/>
            <w:noWrap/>
            <w:vAlign w:val="center"/>
            <w:hideMark/>
          </w:tcPr>
          <w:p w14:paraId="299AC2A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1042.82</w:t>
            </w:r>
          </w:p>
        </w:tc>
        <w:tc>
          <w:tcPr>
            <w:tcW w:w="791" w:type="dxa"/>
            <w:shd w:val="clear" w:color="auto" w:fill="auto"/>
            <w:noWrap/>
            <w:vAlign w:val="center"/>
            <w:hideMark/>
          </w:tcPr>
          <w:p w14:paraId="312AA96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1105.82</w:t>
            </w:r>
          </w:p>
        </w:tc>
        <w:tc>
          <w:tcPr>
            <w:tcW w:w="791" w:type="dxa"/>
            <w:tcBorders>
              <w:right w:val="nil"/>
            </w:tcBorders>
            <w:shd w:val="clear" w:color="auto" w:fill="auto"/>
            <w:noWrap/>
            <w:vAlign w:val="center"/>
            <w:hideMark/>
          </w:tcPr>
          <w:p w14:paraId="4CB1D6B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1160.00</w:t>
            </w:r>
          </w:p>
        </w:tc>
      </w:tr>
      <w:tr w:rsidR="00881FBB" w:rsidRPr="0084045A" w14:paraId="0C28A434" w14:textId="77777777" w:rsidTr="00512905">
        <w:trPr>
          <w:trHeight w:hRule="exact" w:val="284"/>
        </w:trPr>
        <w:tc>
          <w:tcPr>
            <w:tcW w:w="1915" w:type="dxa"/>
            <w:tcBorders>
              <w:left w:val="nil"/>
            </w:tcBorders>
            <w:shd w:val="clear" w:color="auto" w:fill="auto"/>
            <w:noWrap/>
            <w:vAlign w:val="center"/>
            <w:hideMark/>
          </w:tcPr>
          <w:p w14:paraId="24C275A7" w14:textId="51B5AC5F" w:rsidR="00881FBB" w:rsidRPr="0084045A" w:rsidRDefault="00BA4518"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ER</w:t>
            </w:r>
            <w:r w:rsidR="00505A0C" w:rsidRPr="0084045A">
              <w:rPr>
                <w:rFonts w:ascii="Arial" w:eastAsia="Times New Roman" w:hAnsi="Arial" w:cs="Arial"/>
                <w:noProof/>
                <w:color w:val="000000"/>
                <w:sz w:val="16"/>
                <w:szCs w:val="16"/>
                <w:lang w:val="en-GB" w:eastAsia="es-ES"/>
              </w:rPr>
              <w:t xml:space="preserve"> care</w:t>
            </w:r>
          </w:p>
        </w:tc>
        <w:tc>
          <w:tcPr>
            <w:tcW w:w="791" w:type="dxa"/>
            <w:shd w:val="clear" w:color="auto" w:fill="auto"/>
            <w:noWrap/>
            <w:vAlign w:val="center"/>
            <w:hideMark/>
          </w:tcPr>
          <w:p w14:paraId="5328606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411.49</w:t>
            </w:r>
          </w:p>
        </w:tc>
        <w:tc>
          <w:tcPr>
            <w:tcW w:w="791" w:type="dxa"/>
            <w:shd w:val="clear" w:color="auto" w:fill="auto"/>
            <w:noWrap/>
            <w:vAlign w:val="center"/>
            <w:hideMark/>
          </w:tcPr>
          <w:p w14:paraId="4F066BD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425.51</w:t>
            </w:r>
          </w:p>
        </w:tc>
        <w:tc>
          <w:tcPr>
            <w:tcW w:w="791" w:type="dxa"/>
            <w:shd w:val="clear" w:color="auto" w:fill="auto"/>
            <w:noWrap/>
            <w:vAlign w:val="center"/>
            <w:hideMark/>
          </w:tcPr>
          <w:p w14:paraId="4463E19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443.01</w:t>
            </w:r>
          </w:p>
        </w:tc>
        <w:tc>
          <w:tcPr>
            <w:tcW w:w="791" w:type="dxa"/>
            <w:shd w:val="clear" w:color="auto" w:fill="auto"/>
            <w:noWrap/>
            <w:vAlign w:val="center"/>
            <w:hideMark/>
          </w:tcPr>
          <w:p w14:paraId="46D2001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459.87</w:t>
            </w:r>
          </w:p>
        </w:tc>
        <w:tc>
          <w:tcPr>
            <w:tcW w:w="791" w:type="dxa"/>
            <w:shd w:val="clear" w:color="auto" w:fill="auto"/>
            <w:noWrap/>
            <w:vAlign w:val="center"/>
            <w:hideMark/>
          </w:tcPr>
          <w:p w14:paraId="015A994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478.35</w:t>
            </w:r>
          </w:p>
        </w:tc>
        <w:tc>
          <w:tcPr>
            <w:tcW w:w="791" w:type="dxa"/>
            <w:shd w:val="clear" w:color="auto" w:fill="auto"/>
            <w:noWrap/>
            <w:vAlign w:val="center"/>
            <w:hideMark/>
          </w:tcPr>
          <w:p w14:paraId="0BB7C6C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491.36</w:t>
            </w:r>
          </w:p>
        </w:tc>
        <w:tc>
          <w:tcPr>
            <w:tcW w:w="791" w:type="dxa"/>
            <w:shd w:val="clear" w:color="auto" w:fill="auto"/>
            <w:noWrap/>
            <w:vAlign w:val="center"/>
            <w:hideMark/>
          </w:tcPr>
          <w:p w14:paraId="2450EBA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505.23</w:t>
            </w:r>
          </w:p>
        </w:tc>
        <w:tc>
          <w:tcPr>
            <w:tcW w:w="791" w:type="dxa"/>
            <w:shd w:val="clear" w:color="auto" w:fill="auto"/>
            <w:noWrap/>
            <w:vAlign w:val="center"/>
            <w:hideMark/>
          </w:tcPr>
          <w:p w14:paraId="4F6C34B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535.75</w:t>
            </w:r>
          </w:p>
        </w:tc>
        <w:tc>
          <w:tcPr>
            <w:tcW w:w="791" w:type="dxa"/>
            <w:tcBorders>
              <w:right w:val="nil"/>
            </w:tcBorders>
            <w:shd w:val="clear" w:color="auto" w:fill="auto"/>
            <w:noWrap/>
            <w:vAlign w:val="center"/>
            <w:hideMark/>
          </w:tcPr>
          <w:p w14:paraId="052F8C5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562.00</w:t>
            </w:r>
          </w:p>
        </w:tc>
      </w:tr>
      <w:tr w:rsidR="00881FBB" w:rsidRPr="0084045A" w14:paraId="08801D5C" w14:textId="77777777" w:rsidTr="00512905">
        <w:trPr>
          <w:trHeight w:hRule="exact" w:val="284"/>
        </w:trPr>
        <w:tc>
          <w:tcPr>
            <w:tcW w:w="1915" w:type="dxa"/>
            <w:tcBorders>
              <w:left w:val="nil"/>
            </w:tcBorders>
            <w:shd w:val="clear" w:color="auto" w:fill="auto"/>
            <w:noWrap/>
            <w:vAlign w:val="center"/>
            <w:hideMark/>
          </w:tcPr>
          <w:p w14:paraId="0E301F42" w14:textId="77777777"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Hospitalization bed-day</w:t>
            </w:r>
          </w:p>
        </w:tc>
        <w:tc>
          <w:tcPr>
            <w:tcW w:w="791" w:type="dxa"/>
            <w:shd w:val="clear" w:color="auto" w:fill="auto"/>
            <w:noWrap/>
            <w:vAlign w:val="center"/>
            <w:hideMark/>
          </w:tcPr>
          <w:p w14:paraId="672BDB9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5679.59</w:t>
            </w:r>
          </w:p>
        </w:tc>
        <w:tc>
          <w:tcPr>
            <w:tcW w:w="791" w:type="dxa"/>
            <w:shd w:val="clear" w:color="auto" w:fill="auto"/>
            <w:noWrap/>
            <w:vAlign w:val="center"/>
            <w:hideMark/>
          </w:tcPr>
          <w:p w14:paraId="189383E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5873.12</w:t>
            </w:r>
          </w:p>
        </w:tc>
        <w:tc>
          <w:tcPr>
            <w:tcW w:w="791" w:type="dxa"/>
            <w:shd w:val="clear" w:color="auto" w:fill="auto"/>
            <w:noWrap/>
            <w:vAlign w:val="center"/>
            <w:hideMark/>
          </w:tcPr>
          <w:p w14:paraId="6E36EA4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6114.59</w:t>
            </w:r>
          </w:p>
        </w:tc>
        <w:tc>
          <w:tcPr>
            <w:tcW w:w="791" w:type="dxa"/>
            <w:shd w:val="clear" w:color="auto" w:fill="auto"/>
            <w:noWrap/>
            <w:vAlign w:val="center"/>
            <w:hideMark/>
          </w:tcPr>
          <w:p w14:paraId="4BC7D2E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6347.34</w:t>
            </w:r>
          </w:p>
        </w:tc>
        <w:tc>
          <w:tcPr>
            <w:tcW w:w="791" w:type="dxa"/>
            <w:shd w:val="clear" w:color="auto" w:fill="auto"/>
            <w:noWrap/>
            <w:vAlign w:val="center"/>
            <w:hideMark/>
          </w:tcPr>
          <w:p w14:paraId="4BF2F20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6602.41</w:t>
            </w:r>
          </w:p>
        </w:tc>
        <w:tc>
          <w:tcPr>
            <w:tcW w:w="791" w:type="dxa"/>
            <w:shd w:val="clear" w:color="auto" w:fill="auto"/>
            <w:noWrap/>
            <w:vAlign w:val="center"/>
            <w:hideMark/>
          </w:tcPr>
          <w:p w14:paraId="423B2DD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6782.04</w:t>
            </w:r>
          </w:p>
        </w:tc>
        <w:tc>
          <w:tcPr>
            <w:tcW w:w="791" w:type="dxa"/>
            <w:shd w:val="clear" w:color="auto" w:fill="auto"/>
            <w:noWrap/>
            <w:vAlign w:val="center"/>
            <w:hideMark/>
          </w:tcPr>
          <w:p w14:paraId="735B49C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6973.41</w:t>
            </w:r>
          </w:p>
        </w:tc>
        <w:tc>
          <w:tcPr>
            <w:tcW w:w="791" w:type="dxa"/>
            <w:shd w:val="clear" w:color="auto" w:fill="auto"/>
            <w:noWrap/>
            <w:vAlign w:val="center"/>
            <w:hideMark/>
          </w:tcPr>
          <w:p w14:paraId="102A56F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7394.71</w:t>
            </w:r>
          </w:p>
        </w:tc>
        <w:tc>
          <w:tcPr>
            <w:tcW w:w="791" w:type="dxa"/>
            <w:tcBorders>
              <w:right w:val="nil"/>
            </w:tcBorders>
            <w:shd w:val="clear" w:color="auto" w:fill="auto"/>
            <w:noWrap/>
            <w:vAlign w:val="center"/>
            <w:hideMark/>
          </w:tcPr>
          <w:p w14:paraId="435755B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7757.00</w:t>
            </w:r>
          </w:p>
        </w:tc>
      </w:tr>
      <w:tr w:rsidR="00881FBB" w:rsidRPr="0084045A" w14:paraId="46C43BE9" w14:textId="77777777" w:rsidTr="00512905">
        <w:trPr>
          <w:trHeight w:hRule="exact" w:val="284"/>
        </w:trPr>
        <w:tc>
          <w:tcPr>
            <w:tcW w:w="1915" w:type="dxa"/>
            <w:tcBorders>
              <w:left w:val="nil"/>
            </w:tcBorders>
            <w:shd w:val="clear" w:color="auto" w:fill="auto"/>
            <w:noWrap/>
            <w:vAlign w:val="center"/>
            <w:hideMark/>
          </w:tcPr>
          <w:p w14:paraId="35F2F7AA" w14:textId="5F0116DF"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Amantadine</w:t>
            </w:r>
          </w:p>
        </w:tc>
        <w:tc>
          <w:tcPr>
            <w:tcW w:w="791" w:type="dxa"/>
            <w:shd w:val="clear" w:color="auto" w:fill="auto"/>
            <w:noWrap/>
            <w:vAlign w:val="center"/>
            <w:hideMark/>
          </w:tcPr>
          <w:p w14:paraId="4513F2C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32.95</w:t>
            </w:r>
          </w:p>
        </w:tc>
        <w:tc>
          <w:tcPr>
            <w:tcW w:w="791" w:type="dxa"/>
            <w:shd w:val="clear" w:color="auto" w:fill="auto"/>
            <w:noWrap/>
            <w:vAlign w:val="center"/>
            <w:hideMark/>
          </w:tcPr>
          <w:p w14:paraId="2956653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34.07</w:t>
            </w:r>
          </w:p>
        </w:tc>
        <w:tc>
          <w:tcPr>
            <w:tcW w:w="791" w:type="dxa"/>
            <w:shd w:val="clear" w:color="auto" w:fill="auto"/>
            <w:noWrap/>
            <w:vAlign w:val="center"/>
            <w:hideMark/>
          </w:tcPr>
          <w:p w14:paraId="7276829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35.47</w:t>
            </w:r>
          </w:p>
        </w:tc>
        <w:tc>
          <w:tcPr>
            <w:tcW w:w="791" w:type="dxa"/>
            <w:shd w:val="clear" w:color="auto" w:fill="auto"/>
            <w:noWrap/>
            <w:vAlign w:val="center"/>
            <w:hideMark/>
          </w:tcPr>
          <w:p w14:paraId="477BD15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36.82</w:t>
            </w:r>
          </w:p>
        </w:tc>
        <w:tc>
          <w:tcPr>
            <w:tcW w:w="791" w:type="dxa"/>
            <w:shd w:val="clear" w:color="auto" w:fill="auto"/>
            <w:noWrap/>
            <w:vAlign w:val="center"/>
            <w:hideMark/>
          </w:tcPr>
          <w:p w14:paraId="741BAAC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38.30</w:t>
            </w:r>
          </w:p>
        </w:tc>
        <w:tc>
          <w:tcPr>
            <w:tcW w:w="791" w:type="dxa"/>
            <w:shd w:val="clear" w:color="auto" w:fill="auto"/>
            <w:noWrap/>
            <w:vAlign w:val="center"/>
            <w:hideMark/>
          </w:tcPr>
          <w:p w14:paraId="6473BE3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39.34</w:t>
            </w:r>
          </w:p>
        </w:tc>
        <w:tc>
          <w:tcPr>
            <w:tcW w:w="791" w:type="dxa"/>
            <w:shd w:val="clear" w:color="auto" w:fill="auto"/>
            <w:noWrap/>
            <w:vAlign w:val="center"/>
            <w:hideMark/>
          </w:tcPr>
          <w:p w14:paraId="4755B5C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40.45</w:t>
            </w:r>
          </w:p>
        </w:tc>
        <w:tc>
          <w:tcPr>
            <w:tcW w:w="791" w:type="dxa"/>
            <w:shd w:val="clear" w:color="auto" w:fill="auto"/>
            <w:noWrap/>
            <w:vAlign w:val="center"/>
            <w:hideMark/>
          </w:tcPr>
          <w:p w14:paraId="3E2B4CB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42.90</w:t>
            </w:r>
          </w:p>
        </w:tc>
        <w:tc>
          <w:tcPr>
            <w:tcW w:w="791" w:type="dxa"/>
            <w:tcBorders>
              <w:right w:val="nil"/>
            </w:tcBorders>
            <w:shd w:val="clear" w:color="auto" w:fill="auto"/>
            <w:noWrap/>
            <w:vAlign w:val="center"/>
            <w:hideMark/>
          </w:tcPr>
          <w:p w14:paraId="1E29DB0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45.00</w:t>
            </w:r>
          </w:p>
        </w:tc>
      </w:tr>
      <w:tr w:rsidR="00881FBB" w:rsidRPr="0084045A" w14:paraId="264A39A3" w14:textId="77777777" w:rsidTr="00512905">
        <w:trPr>
          <w:trHeight w:hRule="exact" w:val="284"/>
        </w:trPr>
        <w:tc>
          <w:tcPr>
            <w:tcW w:w="1915" w:type="dxa"/>
            <w:tcBorders>
              <w:left w:val="nil"/>
            </w:tcBorders>
            <w:shd w:val="clear" w:color="auto" w:fill="auto"/>
            <w:noWrap/>
            <w:vAlign w:val="center"/>
            <w:hideMark/>
          </w:tcPr>
          <w:p w14:paraId="713B4577" w14:textId="47D75416"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Oseltamivir</w:t>
            </w:r>
          </w:p>
        </w:tc>
        <w:tc>
          <w:tcPr>
            <w:tcW w:w="791" w:type="dxa"/>
            <w:shd w:val="clear" w:color="auto" w:fill="auto"/>
            <w:noWrap/>
            <w:vAlign w:val="center"/>
            <w:hideMark/>
          </w:tcPr>
          <w:p w14:paraId="09E4CEA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81.18</w:t>
            </w:r>
          </w:p>
        </w:tc>
        <w:tc>
          <w:tcPr>
            <w:tcW w:w="791" w:type="dxa"/>
            <w:shd w:val="clear" w:color="auto" w:fill="auto"/>
            <w:noWrap/>
            <w:vAlign w:val="center"/>
            <w:hideMark/>
          </w:tcPr>
          <w:p w14:paraId="29D9CB25"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83.94</w:t>
            </w:r>
          </w:p>
        </w:tc>
        <w:tc>
          <w:tcPr>
            <w:tcW w:w="791" w:type="dxa"/>
            <w:shd w:val="clear" w:color="auto" w:fill="auto"/>
            <w:noWrap/>
            <w:vAlign w:val="center"/>
            <w:hideMark/>
          </w:tcPr>
          <w:p w14:paraId="23530D6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87.40</w:t>
            </w:r>
          </w:p>
        </w:tc>
        <w:tc>
          <w:tcPr>
            <w:tcW w:w="791" w:type="dxa"/>
            <w:shd w:val="clear" w:color="auto" w:fill="auto"/>
            <w:noWrap/>
            <w:vAlign w:val="center"/>
            <w:hideMark/>
          </w:tcPr>
          <w:p w14:paraId="4436F74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90.72</w:t>
            </w:r>
          </w:p>
        </w:tc>
        <w:tc>
          <w:tcPr>
            <w:tcW w:w="791" w:type="dxa"/>
            <w:shd w:val="clear" w:color="auto" w:fill="auto"/>
            <w:noWrap/>
            <w:vAlign w:val="center"/>
            <w:hideMark/>
          </w:tcPr>
          <w:p w14:paraId="0BB908C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94.37</w:t>
            </w:r>
          </w:p>
        </w:tc>
        <w:tc>
          <w:tcPr>
            <w:tcW w:w="791" w:type="dxa"/>
            <w:shd w:val="clear" w:color="auto" w:fill="auto"/>
            <w:noWrap/>
            <w:vAlign w:val="center"/>
            <w:hideMark/>
          </w:tcPr>
          <w:p w14:paraId="5491A32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96.94</w:t>
            </w:r>
          </w:p>
        </w:tc>
        <w:tc>
          <w:tcPr>
            <w:tcW w:w="791" w:type="dxa"/>
            <w:shd w:val="clear" w:color="auto" w:fill="auto"/>
            <w:noWrap/>
            <w:vAlign w:val="center"/>
            <w:hideMark/>
          </w:tcPr>
          <w:p w14:paraId="722D4DE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99.67</w:t>
            </w:r>
          </w:p>
        </w:tc>
        <w:tc>
          <w:tcPr>
            <w:tcW w:w="791" w:type="dxa"/>
            <w:shd w:val="clear" w:color="auto" w:fill="auto"/>
            <w:noWrap/>
            <w:vAlign w:val="center"/>
            <w:hideMark/>
          </w:tcPr>
          <w:p w14:paraId="4F13B53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105.69</w:t>
            </w:r>
          </w:p>
        </w:tc>
        <w:tc>
          <w:tcPr>
            <w:tcW w:w="791" w:type="dxa"/>
            <w:tcBorders>
              <w:right w:val="nil"/>
            </w:tcBorders>
            <w:shd w:val="clear" w:color="auto" w:fill="auto"/>
            <w:noWrap/>
            <w:vAlign w:val="center"/>
            <w:hideMark/>
          </w:tcPr>
          <w:p w14:paraId="421B243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110.87</w:t>
            </w:r>
          </w:p>
        </w:tc>
      </w:tr>
      <w:tr w:rsidR="00881FBB" w:rsidRPr="0084045A" w14:paraId="503EB62F" w14:textId="77777777" w:rsidTr="00512905">
        <w:trPr>
          <w:trHeight w:hRule="exact" w:val="284"/>
        </w:trPr>
        <w:tc>
          <w:tcPr>
            <w:tcW w:w="1915" w:type="dxa"/>
            <w:tcBorders>
              <w:left w:val="nil"/>
            </w:tcBorders>
            <w:shd w:val="clear" w:color="auto" w:fill="auto"/>
            <w:noWrap/>
            <w:vAlign w:val="center"/>
            <w:hideMark/>
          </w:tcPr>
          <w:p w14:paraId="0891F743" w14:textId="2AC19920"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Paracetamol</w:t>
            </w:r>
          </w:p>
        </w:tc>
        <w:tc>
          <w:tcPr>
            <w:tcW w:w="791" w:type="dxa"/>
            <w:shd w:val="clear" w:color="auto" w:fill="auto"/>
            <w:noWrap/>
            <w:vAlign w:val="center"/>
            <w:hideMark/>
          </w:tcPr>
          <w:p w14:paraId="62C77F0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2.28</w:t>
            </w:r>
          </w:p>
        </w:tc>
        <w:tc>
          <w:tcPr>
            <w:tcW w:w="791" w:type="dxa"/>
            <w:shd w:val="clear" w:color="auto" w:fill="auto"/>
            <w:noWrap/>
            <w:vAlign w:val="center"/>
            <w:hideMark/>
          </w:tcPr>
          <w:p w14:paraId="1A6150D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2.36</w:t>
            </w:r>
          </w:p>
        </w:tc>
        <w:tc>
          <w:tcPr>
            <w:tcW w:w="791" w:type="dxa"/>
            <w:shd w:val="clear" w:color="auto" w:fill="auto"/>
            <w:noWrap/>
            <w:vAlign w:val="center"/>
            <w:hideMark/>
          </w:tcPr>
          <w:p w14:paraId="22680AE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2.46</w:t>
            </w:r>
          </w:p>
        </w:tc>
        <w:tc>
          <w:tcPr>
            <w:tcW w:w="791" w:type="dxa"/>
            <w:shd w:val="clear" w:color="auto" w:fill="auto"/>
            <w:noWrap/>
            <w:vAlign w:val="center"/>
            <w:hideMark/>
          </w:tcPr>
          <w:p w14:paraId="0C76E08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2.55</w:t>
            </w:r>
          </w:p>
        </w:tc>
        <w:tc>
          <w:tcPr>
            <w:tcW w:w="791" w:type="dxa"/>
            <w:shd w:val="clear" w:color="auto" w:fill="auto"/>
            <w:noWrap/>
            <w:vAlign w:val="center"/>
            <w:hideMark/>
          </w:tcPr>
          <w:p w14:paraId="478FDBF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2.66</w:t>
            </w:r>
          </w:p>
        </w:tc>
        <w:tc>
          <w:tcPr>
            <w:tcW w:w="791" w:type="dxa"/>
            <w:shd w:val="clear" w:color="auto" w:fill="auto"/>
            <w:noWrap/>
            <w:vAlign w:val="center"/>
            <w:hideMark/>
          </w:tcPr>
          <w:p w14:paraId="74F5FBB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2.73</w:t>
            </w:r>
          </w:p>
        </w:tc>
        <w:tc>
          <w:tcPr>
            <w:tcW w:w="791" w:type="dxa"/>
            <w:shd w:val="clear" w:color="auto" w:fill="auto"/>
            <w:noWrap/>
            <w:vAlign w:val="center"/>
            <w:hideMark/>
          </w:tcPr>
          <w:p w14:paraId="1BC6F17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2.80</w:t>
            </w:r>
          </w:p>
        </w:tc>
        <w:tc>
          <w:tcPr>
            <w:tcW w:w="791" w:type="dxa"/>
            <w:shd w:val="clear" w:color="auto" w:fill="auto"/>
            <w:noWrap/>
            <w:vAlign w:val="center"/>
            <w:hideMark/>
          </w:tcPr>
          <w:p w14:paraId="3A2AA62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2.97</w:t>
            </w:r>
          </w:p>
        </w:tc>
        <w:tc>
          <w:tcPr>
            <w:tcW w:w="791" w:type="dxa"/>
            <w:tcBorders>
              <w:right w:val="nil"/>
            </w:tcBorders>
            <w:shd w:val="clear" w:color="auto" w:fill="auto"/>
            <w:noWrap/>
            <w:vAlign w:val="center"/>
            <w:hideMark/>
          </w:tcPr>
          <w:p w14:paraId="1135991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3.12</w:t>
            </w:r>
          </w:p>
        </w:tc>
      </w:tr>
      <w:tr w:rsidR="00881FBB" w:rsidRPr="0084045A" w14:paraId="262EC198" w14:textId="77777777" w:rsidTr="00512905">
        <w:trPr>
          <w:trHeight w:hRule="exact" w:val="284"/>
        </w:trPr>
        <w:tc>
          <w:tcPr>
            <w:tcW w:w="1915" w:type="dxa"/>
            <w:tcBorders>
              <w:left w:val="nil"/>
            </w:tcBorders>
            <w:shd w:val="clear" w:color="auto" w:fill="auto"/>
            <w:noWrap/>
            <w:vAlign w:val="center"/>
            <w:hideMark/>
          </w:tcPr>
          <w:p w14:paraId="10E01712" w14:textId="601C1EE4"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Ceftriaxone</w:t>
            </w:r>
          </w:p>
        </w:tc>
        <w:tc>
          <w:tcPr>
            <w:tcW w:w="791" w:type="dxa"/>
            <w:shd w:val="clear" w:color="auto" w:fill="auto"/>
            <w:noWrap/>
            <w:vAlign w:val="center"/>
            <w:hideMark/>
          </w:tcPr>
          <w:p w14:paraId="7FE1D9E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8.71</w:t>
            </w:r>
          </w:p>
        </w:tc>
        <w:tc>
          <w:tcPr>
            <w:tcW w:w="791" w:type="dxa"/>
            <w:shd w:val="clear" w:color="auto" w:fill="auto"/>
            <w:noWrap/>
            <w:vAlign w:val="center"/>
            <w:hideMark/>
          </w:tcPr>
          <w:p w14:paraId="1670DD3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9.00</w:t>
            </w:r>
          </w:p>
        </w:tc>
        <w:tc>
          <w:tcPr>
            <w:tcW w:w="791" w:type="dxa"/>
            <w:shd w:val="clear" w:color="auto" w:fill="auto"/>
            <w:noWrap/>
            <w:vAlign w:val="center"/>
            <w:hideMark/>
          </w:tcPr>
          <w:p w14:paraId="02E260D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9.37</w:t>
            </w:r>
          </w:p>
        </w:tc>
        <w:tc>
          <w:tcPr>
            <w:tcW w:w="791" w:type="dxa"/>
            <w:shd w:val="clear" w:color="auto" w:fill="auto"/>
            <w:noWrap/>
            <w:vAlign w:val="center"/>
            <w:hideMark/>
          </w:tcPr>
          <w:p w14:paraId="41AAE3B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9.73</w:t>
            </w:r>
          </w:p>
        </w:tc>
        <w:tc>
          <w:tcPr>
            <w:tcW w:w="791" w:type="dxa"/>
            <w:shd w:val="clear" w:color="auto" w:fill="auto"/>
            <w:noWrap/>
            <w:vAlign w:val="center"/>
            <w:hideMark/>
          </w:tcPr>
          <w:p w14:paraId="53EFA14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10.12</w:t>
            </w:r>
          </w:p>
        </w:tc>
        <w:tc>
          <w:tcPr>
            <w:tcW w:w="791" w:type="dxa"/>
            <w:shd w:val="clear" w:color="auto" w:fill="auto"/>
            <w:noWrap/>
            <w:vAlign w:val="center"/>
            <w:hideMark/>
          </w:tcPr>
          <w:p w14:paraId="2B0A120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10.40</w:t>
            </w:r>
          </w:p>
        </w:tc>
        <w:tc>
          <w:tcPr>
            <w:tcW w:w="791" w:type="dxa"/>
            <w:shd w:val="clear" w:color="auto" w:fill="auto"/>
            <w:noWrap/>
            <w:vAlign w:val="center"/>
            <w:hideMark/>
          </w:tcPr>
          <w:p w14:paraId="3C637BF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10.69</w:t>
            </w:r>
          </w:p>
        </w:tc>
        <w:tc>
          <w:tcPr>
            <w:tcW w:w="791" w:type="dxa"/>
            <w:shd w:val="clear" w:color="auto" w:fill="auto"/>
            <w:noWrap/>
            <w:vAlign w:val="center"/>
            <w:hideMark/>
          </w:tcPr>
          <w:p w14:paraId="4F97037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11.33</w:t>
            </w:r>
          </w:p>
        </w:tc>
        <w:tc>
          <w:tcPr>
            <w:tcW w:w="791" w:type="dxa"/>
            <w:tcBorders>
              <w:right w:val="nil"/>
            </w:tcBorders>
            <w:shd w:val="clear" w:color="auto" w:fill="auto"/>
            <w:noWrap/>
            <w:vAlign w:val="center"/>
            <w:hideMark/>
          </w:tcPr>
          <w:p w14:paraId="6F6C3B6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11.89</w:t>
            </w:r>
          </w:p>
        </w:tc>
      </w:tr>
      <w:tr w:rsidR="00881FBB" w:rsidRPr="0084045A" w14:paraId="2421AF0C" w14:textId="77777777" w:rsidTr="00512905">
        <w:trPr>
          <w:trHeight w:hRule="exact" w:val="284"/>
        </w:trPr>
        <w:tc>
          <w:tcPr>
            <w:tcW w:w="1915" w:type="dxa"/>
            <w:tcBorders>
              <w:left w:val="nil"/>
            </w:tcBorders>
            <w:shd w:val="clear" w:color="auto" w:fill="auto"/>
            <w:noWrap/>
            <w:vAlign w:val="center"/>
            <w:hideMark/>
          </w:tcPr>
          <w:p w14:paraId="6AC5B776" w14:textId="77777777"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PCR</w:t>
            </w:r>
          </w:p>
        </w:tc>
        <w:tc>
          <w:tcPr>
            <w:tcW w:w="791" w:type="dxa"/>
            <w:shd w:val="clear" w:color="auto" w:fill="auto"/>
            <w:noWrap/>
            <w:vAlign w:val="center"/>
            <w:hideMark/>
          </w:tcPr>
          <w:p w14:paraId="3E1C228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1414.90</w:t>
            </w:r>
          </w:p>
        </w:tc>
        <w:tc>
          <w:tcPr>
            <w:tcW w:w="791" w:type="dxa"/>
            <w:shd w:val="clear" w:color="auto" w:fill="auto"/>
            <w:noWrap/>
            <w:vAlign w:val="center"/>
            <w:hideMark/>
          </w:tcPr>
          <w:p w14:paraId="5864736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1463.12</w:t>
            </w:r>
          </w:p>
        </w:tc>
        <w:tc>
          <w:tcPr>
            <w:tcW w:w="791" w:type="dxa"/>
            <w:shd w:val="clear" w:color="auto" w:fill="auto"/>
            <w:noWrap/>
            <w:vAlign w:val="center"/>
            <w:hideMark/>
          </w:tcPr>
          <w:p w14:paraId="20ACD7C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1523.27</w:t>
            </w:r>
          </w:p>
        </w:tc>
        <w:tc>
          <w:tcPr>
            <w:tcW w:w="791" w:type="dxa"/>
            <w:shd w:val="clear" w:color="auto" w:fill="auto"/>
            <w:noWrap/>
            <w:vAlign w:val="center"/>
            <w:hideMark/>
          </w:tcPr>
          <w:p w14:paraId="21DF4D4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1581.25</w:t>
            </w:r>
          </w:p>
        </w:tc>
        <w:tc>
          <w:tcPr>
            <w:tcW w:w="791" w:type="dxa"/>
            <w:shd w:val="clear" w:color="auto" w:fill="auto"/>
            <w:noWrap/>
            <w:vAlign w:val="center"/>
            <w:hideMark/>
          </w:tcPr>
          <w:p w14:paraId="0EA38D8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1644.80</w:t>
            </w:r>
          </w:p>
        </w:tc>
        <w:tc>
          <w:tcPr>
            <w:tcW w:w="791" w:type="dxa"/>
            <w:shd w:val="clear" w:color="auto" w:fill="auto"/>
            <w:noWrap/>
            <w:vAlign w:val="center"/>
            <w:hideMark/>
          </w:tcPr>
          <w:p w14:paraId="337968D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1689.55</w:t>
            </w:r>
          </w:p>
        </w:tc>
        <w:tc>
          <w:tcPr>
            <w:tcW w:w="791" w:type="dxa"/>
            <w:shd w:val="clear" w:color="auto" w:fill="auto"/>
            <w:noWrap/>
            <w:vAlign w:val="center"/>
            <w:hideMark/>
          </w:tcPr>
          <w:p w14:paraId="53B87A3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1737.22</w:t>
            </w:r>
          </w:p>
        </w:tc>
        <w:tc>
          <w:tcPr>
            <w:tcW w:w="791" w:type="dxa"/>
            <w:shd w:val="clear" w:color="auto" w:fill="auto"/>
            <w:noWrap/>
            <w:vAlign w:val="center"/>
            <w:hideMark/>
          </w:tcPr>
          <w:p w14:paraId="673575F5"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1842.17</w:t>
            </w:r>
          </w:p>
        </w:tc>
        <w:tc>
          <w:tcPr>
            <w:tcW w:w="791" w:type="dxa"/>
            <w:tcBorders>
              <w:right w:val="nil"/>
            </w:tcBorders>
            <w:shd w:val="clear" w:color="auto" w:fill="auto"/>
            <w:noWrap/>
            <w:vAlign w:val="center"/>
            <w:hideMark/>
          </w:tcPr>
          <w:p w14:paraId="08FB1A0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1932.43</w:t>
            </w:r>
          </w:p>
        </w:tc>
      </w:tr>
      <w:tr w:rsidR="00881FBB" w:rsidRPr="0084045A" w14:paraId="4B97DE7D" w14:textId="77777777" w:rsidTr="00512905">
        <w:trPr>
          <w:trHeight w:hRule="exact" w:val="284"/>
        </w:trPr>
        <w:tc>
          <w:tcPr>
            <w:tcW w:w="1915" w:type="dxa"/>
            <w:tcBorders>
              <w:left w:val="nil"/>
              <w:bottom w:val="single" w:sz="4" w:space="0" w:color="auto"/>
            </w:tcBorders>
            <w:shd w:val="clear" w:color="auto" w:fill="auto"/>
            <w:noWrap/>
            <w:vAlign w:val="center"/>
            <w:hideMark/>
          </w:tcPr>
          <w:p w14:paraId="3B451D8D" w14:textId="77777777"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Bacteriologic culture</w:t>
            </w:r>
          </w:p>
        </w:tc>
        <w:tc>
          <w:tcPr>
            <w:tcW w:w="791" w:type="dxa"/>
            <w:tcBorders>
              <w:bottom w:val="single" w:sz="4" w:space="0" w:color="auto"/>
            </w:tcBorders>
            <w:shd w:val="clear" w:color="auto" w:fill="auto"/>
            <w:noWrap/>
            <w:vAlign w:val="center"/>
            <w:hideMark/>
          </w:tcPr>
          <w:p w14:paraId="658B7AE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147.42</w:t>
            </w:r>
          </w:p>
        </w:tc>
        <w:tc>
          <w:tcPr>
            <w:tcW w:w="791" w:type="dxa"/>
            <w:tcBorders>
              <w:bottom w:val="single" w:sz="4" w:space="0" w:color="auto"/>
            </w:tcBorders>
            <w:shd w:val="clear" w:color="auto" w:fill="auto"/>
            <w:noWrap/>
            <w:vAlign w:val="center"/>
            <w:hideMark/>
          </w:tcPr>
          <w:p w14:paraId="32F77B4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152.44</w:t>
            </w:r>
          </w:p>
        </w:tc>
        <w:tc>
          <w:tcPr>
            <w:tcW w:w="791" w:type="dxa"/>
            <w:tcBorders>
              <w:bottom w:val="single" w:sz="4" w:space="0" w:color="auto"/>
            </w:tcBorders>
            <w:shd w:val="clear" w:color="auto" w:fill="auto"/>
            <w:noWrap/>
            <w:vAlign w:val="center"/>
            <w:hideMark/>
          </w:tcPr>
          <w:p w14:paraId="5B4096C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158.71</w:t>
            </w:r>
          </w:p>
        </w:tc>
        <w:tc>
          <w:tcPr>
            <w:tcW w:w="791" w:type="dxa"/>
            <w:tcBorders>
              <w:bottom w:val="single" w:sz="4" w:space="0" w:color="auto"/>
            </w:tcBorders>
            <w:shd w:val="clear" w:color="auto" w:fill="auto"/>
            <w:noWrap/>
            <w:vAlign w:val="center"/>
            <w:hideMark/>
          </w:tcPr>
          <w:p w14:paraId="57E5172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164.75</w:t>
            </w:r>
          </w:p>
        </w:tc>
        <w:tc>
          <w:tcPr>
            <w:tcW w:w="791" w:type="dxa"/>
            <w:tcBorders>
              <w:bottom w:val="single" w:sz="4" w:space="0" w:color="auto"/>
            </w:tcBorders>
            <w:shd w:val="clear" w:color="auto" w:fill="auto"/>
            <w:noWrap/>
            <w:vAlign w:val="center"/>
            <w:hideMark/>
          </w:tcPr>
          <w:p w14:paraId="0AB6ECB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171.37</w:t>
            </w:r>
          </w:p>
        </w:tc>
        <w:tc>
          <w:tcPr>
            <w:tcW w:w="791" w:type="dxa"/>
            <w:tcBorders>
              <w:bottom w:val="single" w:sz="4" w:space="0" w:color="auto"/>
            </w:tcBorders>
            <w:shd w:val="clear" w:color="auto" w:fill="auto"/>
            <w:noWrap/>
            <w:vAlign w:val="center"/>
            <w:hideMark/>
          </w:tcPr>
          <w:p w14:paraId="26A5153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176.03</w:t>
            </w:r>
          </w:p>
        </w:tc>
        <w:tc>
          <w:tcPr>
            <w:tcW w:w="791" w:type="dxa"/>
            <w:tcBorders>
              <w:bottom w:val="single" w:sz="4" w:space="0" w:color="auto"/>
            </w:tcBorders>
            <w:shd w:val="clear" w:color="auto" w:fill="auto"/>
            <w:noWrap/>
            <w:vAlign w:val="center"/>
            <w:hideMark/>
          </w:tcPr>
          <w:p w14:paraId="262C5AF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181.00</w:t>
            </w:r>
          </w:p>
        </w:tc>
        <w:tc>
          <w:tcPr>
            <w:tcW w:w="791" w:type="dxa"/>
            <w:tcBorders>
              <w:bottom w:val="single" w:sz="4" w:space="0" w:color="auto"/>
            </w:tcBorders>
            <w:shd w:val="clear" w:color="auto" w:fill="auto"/>
            <w:noWrap/>
            <w:vAlign w:val="center"/>
            <w:hideMark/>
          </w:tcPr>
          <w:p w14:paraId="0EAA8A1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191.94</w:t>
            </w:r>
          </w:p>
        </w:tc>
        <w:tc>
          <w:tcPr>
            <w:tcW w:w="791" w:type="dxa"/>
            <w:tcBorders>
              <w:bottom w:val="single" w:sz="4" w:space="0" w:color="auto"/>
              <w:right w:val="nil"/>
            </w:tcBorders>
            <w:shd w:val="clear" w:color="auto" w:fill="auto"/>
            <w:noWrap/>
            <w:vAlign w:val="center"/>
            <w:hideMark/>
          </w:tcPr>
          <w:p w14:paraId="3F80CF2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201.34</w:t>
            </w:r>
          </w:p>
        </w:tc>
      </w:tr>
      <w:tr w:rsidR="00881FBB" w:rsidRPr="0084045A" w14:paraId="39773EC7" w14:textId="77777777" w:rsidTr="00512905">
        <w:trPr>
          <w:trHeight w:hRule="exact" w:val="284"/>
        </w:trPr>
        <w:tc>
          <w:tcPr>
            <w:tcW w:w="1915" w:type="dxa"/>
            <w:tcBorders>
              <w:top w:val="nil"/>
              <w:left w:val="nil"/>
              <w:bottom w:val="single" w:sz="4" w:space="0" w:color="auto"/>
              <w:right w:val="nil"/>
            </w:tcBorders>
            <w:shd w:val="clear" w:color="auto" w:fill="auto"/>
            <w:noWrap/>
            <w:vAlign w:val="center"/>
            <w:hideMark/>
          </w:tcPr>
          <w:p w14:paraId="1C3F3AA7" w14:textId="77777777" w:rsidR="00881FBB" w:rsidRPr="0084045A" w:rsidRDefault="00881FBB" w:rsidP="00E85224">
            <w:pPr>
              <w:spacing w:after="0" w:line="240" w:lineRule="auto"/>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ISSSTE</w:t>
            </w:r>
          </w:p>
        </w:tc>
        <w:tc>
          <w:tcPr>
            <w:tcW w:w="791" w:type="dxa"/>
            <w:tcBorders>
              <w:top w:val="nil"/>
              <w:left w:val="nil"/>
              <w:bottom w:val="single" w:sz="4" w:space="0" w:color="auto"/>
              <w:right w:val="nil"/>
            </w:tcBorders>
            <w:shd w:val="clear" w:color="auto" w:fill="auto"/>
            <w:noWrap/>
            <w:textDirection w:val="btLr"/>
            <w:vAlign w:val="center"/>
            <w:hideMark/>
          </w:tcPr>
          <w:p w14:paraId="40B9D8F5"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34C50300"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0510E23B"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73C3B2FE"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35B6B801"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3DBDD069"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35F12203"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7EB2AD12"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c>
          <w:tcPr>
            <w:tcW w:w="791" w:type="dxa"/>
            <w:tcBorders>
              <w:top w:val="nil"/>
              <w:left w:val="nil"/>
              <w:bottom w:val="single" w:sz="4" w:space="0" w:color="auto"/>
              <w:right w:val="nil"/>
            </w:tcBorders>
            <w:shd w:val="clear" w:color="auto" w:fill="auto"/>
            <w:noWrap/>
            <w:textDirection w:val="btLr"/>
            <w:vAlign w:val="center"/>
            <w:hideMark/>
          </w:tcPr>
          <w:p w14:paraId="27A67F88" w14:textId="77777777" w:rsidR="00881FBB" w:rsidRPr="0084045A" w:rsidRDefault="00881FBB" w:rsidP="00E85224">
            <w:pPr>
              <w:spacing w:after="0" w:line="240" w:lineRule="auto"/>
              <w:jc w:val="center"/>
              <w:rPr>
                <w:rFonts w:ascii="Arial" w:eastAsia="Times New Roman" w:hAnsi="Arial" w:cs="Arial"/>
                <w:b/>
                <w:bCs/>
                <w:noProof/>
                <w:sz w:val="16"/>
                <w:szCs w:val="16"/>
                <w:lang w:val="en-GB" w:eastAsia="es-ES"/>
              </w:rPr>
            </w:pPr>
            <w:r w:rsidRPr="0084045A">
              <w:rPr>
                <w:rFonts w:ascii="Arial" w:eastAsia="Times New Roman" w:hAnsi="Arial" w:cs="Arial"/>
                <w:b/>
                <w:bCs/>
                <w:noProof/>
                <w:sz w:val="16"/>
                <w:szCs w:val="16"/>
                <w:lang w:val="en-GB" w:eastAsia="es-ES"/>
              </w:rPr>
              <w:t> </w:t>
            </w:r>
          </w:p>
        </w:tc>
      </w:tr>
      <w:tr w:rsidR="00881FBB" w:rsidRPr="0084045A" w14:paraId="391D8B0F" w14:textId="77777777" w:rsidTr="00512905">
        <w:trPr>
          <w:trHeight w:hRule="exact" w:val="284"/>
        </w:trPr>
        <w:tc>
          <w:tcPr>
            <w:tcW w:w="1915" w:type="dxa"/>
            <w:tcBorders>
              <w:top w:val="single" w:sz="4" w:space="0" w:color="auto"/>
              <w:left w:val="nil"/>
            </w:tcBorders>
            <w:shd w:val="clear" w:color="auto" w:fill="auto"/>
            <w:noWrap/>
            <w:vAlign w:val="center"/>
            <w:hideMark/>
          </w:tcPr>
          <w:p w14:paraId="2EB01EE0" w14:textId="5643E928" w:rsidR="00881FBB" w:rsidRPr="0084045A" w:rsidRDefault="00505A0C"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Outpatient consult</w:t>
            </w:r>
            <w:r w:rsidR="005773E5" w:rsidRPr="0084045A">
              <w:rPr>
                <w:rFonts w:ascii="Arial" w:eastAsia="Times New Roman" w:hAnsi="Arial" w:cs="Arial"/>
                <w:noProof/>
                <w:color w:val="000000"/>
                <w:sz w:val="16"/>
                <w:szCs w:val="16"/>
                <w:lang w:val="en-GB" w:eastAsia="es-ES"/>
              </w:rPr>
              <w:t>ation</w:t>
            </w:r>
          </w:p>
        </w:tc>
        <w:tc>
          <w:tcPr>
            <w:tcW w:w="791" w:type="dxa"/>
            <w:tcBorders>
              <w:top w:val="single" w:sz="4" w:space="0" w:color="auto"/>
            </w:tcBorders>
            <w:shd w:val="clear" w:color="auto" w:fill="auto"/>
            <w:noWrap/>
            <w:vAlign w:val="center"/>
            <w:hideMark/>
          </w:tcPr>
          <w:p w14:paraId="359D554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271.26</w:t>
            </w:r>
          </w:p>
        </w:tc>
        <w:tc>
          <w:tcPr>
            <w:tcW w:w="791" w:type="dxa"/>
            <w:tcBorders>
              <w:top w:val="single" w:sz="4" w:space="0" w:color="auto"/>
            </w:tcBorders>
            <w:shd w:val="clear" w:color="auto" w:fill="auto"/>
            <w:noWrap/>
            <w:vAlign w:val="center"/>
            <w:hideMark/>
          </w:tcPr>
          <w:p w14:paraId="6FDCB5A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280.51</w:t>
            </w:r>
          </w:p>
        </w:tc>
        <w:tc>
          <w:tcPr>
            <w:tcW w:w="791" w:type="dxa"/>
            <w:tcBorders>
              <w:top w:val="single" w:sz="4" w:space="0" w:color="auto"/>
            </w:tcBorders>
            <w:shd w:val="clear" w:color="auto" w:fill="auto"/>
            <w:noWrap/>
            <w:vAlign w:val="center"/>
            <w:hideMark/>
          </w:tcPr>
          <w:p w14:paraId="0132422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292.04</w:t>
            </w:r>
          </w:p>
        </w:tc>
        <w:tc>
          <w:tcPr>
            <w:tcW w:w="791" w:type="dxa"/>
            <w:tcBorders>
              <w:top w:val="single" w:sz="4" w:space="0" w:color="auto"/>
            </w:tcBorders>
            <w:shd w:val="clear" w:color="auto" w:fill="auto"/>
            <w:noWrap/>
            <w:vAlign w:val="center"/>
            <w:hideMark/>
          </w:tcPr>
          <w:p w14:paraId="0020B4B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303.16</w:t>
            </w:r>
          </w:p>
        </w:tc>
        <w:tc>
          <w:tcPr>
            <w:tcW w:w="791" w:type="dxa"/>
            <w:tcBorders>
              <w:top w:val="single" w:sz="4" w:space="0" w:color="auto"/>
            </w:tcBorders>
            <w:shd w:val="clear" w:color="auto" w:fill="auto"/>
            <w:noWrap/>
            <w:vAlign w:val="center"/>
            <w:hideMark/>
          </w:tcPr>
          <w:p w14:paraId="01C10B6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315.34</w:t>
            </w:r>
          </w:p>
        </w:tc>
        <w:tc>
          <w:tcPr>
            <w:tcW w:w="791" w:type="dxa"/>
            <w:tcBorders>
              <w:top w:val="single" w:sz="4" w:space="0" w:color="auto"/>
            </w:tcBorders>
            <w:shd w:val="clear" w:color="auto" w:fill="auto"/>
            <w:noWrap/>
            <w:vAlign w:val="center"/>
            <w:hideMark/>
          </w:tcPr>
          <w:p w14:paraId="65DF1B4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323.92</w:t>
            </w:r>
          </w:p>
        </w:tc>
        <w:tc>
          <w:tcPr>
            <w:tcW w:w="791" w:type="dxa"/>
            <w:tcBorders>
              <w:top w:val="single" w:sz="4" w:space="0" w:color="auto"/>
            </w:tcBorders>
            <w:shd w:val="clear" w:color="auto" w:fill="auto"/>
            <w:noWrap/>
            <w:vAlign w:val="center"/>
            <w:hideMark/>
          </w:tcPr>
          <w:p w14:paraId="3B25A73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333.06</w:t>
            </w:r>
          </w:p>
        </w:tc>
        <w:tc>
          <w:tcPr>
            <w:tcW w:w="791" w:type="dxa"/>
            <w:tcBorders>
              <w:top w:val="single" w:sz="4" w:space="0" w:color="auto"/>
            </w:tcBorders>
            <w:shd w:val="clear" w:color="auto" w:fill="auto"/>
            <w:noWrap/>
            <w:vAlign w:val="center"/>
            <w:hideMark/>
          </w:tcPr>
          <w:p w14:paraId="2E8BD21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353.18</w:t>
            </w:r>
          </w:p>
        </w:tc>
        <w:tc>
          <w:tcPr>
            <w:tcW w:w="791" w:type="dxa"/>
            <w:tcBorders>
              <w:top w:val="single" w:sz="4" w:space="0" w:color="auto"/>
              <w:right w:val="nil"/>
            </w:tcBorders>
            <w:shd w:val="clear" w:color="auto" w:fill="auto"/>
            <w:noWrap/>
            <w:vAlign w:val="center"/>
            <w:hideMark/>
          </w:tcPr>
          <w:p w14:paraId="4507037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370.48</w:t>
            </w:r>
          </w:p>
        </w:tc>
      </w:tr>
      <w:tr w:rsidR="00881FBB" w:rsidRPr="0084045A" w14:paraId="2ADF0134" w14:textId="77777777" w:rsidTr="00512905">
        <w:trPr>
          <w:trHeight w:hRule="exact" w:val="284"/>
        </w:trPr>
        <w:tc>
          <w:tcPr>
            <w:tcW w:w="1915" w:type="dxa"/>
            <w:tcBorders>
              <w:left w:val="nil"/>
            </w:tcBorders>
            <w:shd w:val="clear" w:color="auto" w:fill="auto"/>
            <w:noWrap/>
            <w:vAlign w:val="center"/>
            <w:hideMark/>
          </w:tcPr>
          <w:p w14:paraId="3D6C7E37" w14:textId="41A2A515" w:rsidR="00881FBB" w:rsidRPr="0084045A" w:rsidRDefault="005773E5"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Specialist consultation</w:t>
            </w:r>
          </w:p>
        </w:tc>
        <w:tc>
          <w:tcPr>
            <w:tcW w:w="791" w:type="dxa"/>
            <w:shd w:val="clear" w:color="auto" w:fill="auto"/>
            <w:noWrap/>
            <w:vAlign w:val="center"/>
            <w:hideMark/>
          </w:tcPr>
          <w:p w14:paraId="0632CD9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594.20</w:t>
            </w:r>
          </w:p>
        </w:tc>
        <w:tc>
          <w:tcPr>
            <w:tcW w:w="791" w:type="dxa"/>
            <w:shd w:val="clear" w:color="auto" w:fill="auto"/>
            <w:noWrap/>
            <w:vAlign w:val="center"/>
            <w:hideMark/>
          </w:tcPr>
          <w:p w14:paraId="6604CF0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614.44</w:t>
            </w:r>
          </w:p>
        </w:tc>
        <w:tc>
          <w:tcPr>
            <w:tcW w:w="791" w:type="dxa"/>
            <w:shd w:val="clear" w:color="auto" w:fill="auto"/>
            <w:noWrap/>
            <w:vAlign w:val="center"/>
            <w:hideMark/>
          </w:tcPr>
          <w:p w14:paraId="6186FE7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639.71</w:t>
            </w:r>
          </w:p>
        </w:tc>
        <w:tc>
          <w:tcPr>
            <w:tcW w:w="791" w:type="dxa"/>
            <w:shd w:val="clear" w:color="auto" w:fill="auto"/>
            <w:noWrap/>
            <w:vAlign w:val="center"/>
            <w:hideMark/>
          </w:tcPr>
          <w:p w14:paraId="12DDA4B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664.06</w:t>
            </w:r>
          </w:p>
        </w:tc>
        <w:tc>
          <w:tcPr>
            <w:tcW w:w="791" w:type="dxa"/>
            <w:shd w:val="clear" w:color="auto" w:fill="auto"/>
            <w:noWrap/>
            <w:vAlign w:val="center"/>
            <w:hideMark/>
          </w:tcPr>
          <w:p w14:paraId="5C04561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690.74</w:t>
            </w:r>
          </w:p>
        </w:tc>
        <w:tc>
          <w:tcPr>
            <w:tcW w:w="791" w:type="dxa"/>
            <w:shd w:val="clear" w:color="auto" w:fill="auto"/>
            <w:noWrap/>
            <w:vAlign w:val="center"/>
            <w:hideMark/>
          </w:tcPr>
          <w:p w14:paraId="2D66D1B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709.53</w:t>
            </w:r>
          </w:p>
        </w:tc>
        <w:tc>
          <w:tcPr>
            <w:tcW w:w="791" w:type="dxa"/>
            <w:shd w:val="clear" w:color="auto" w:fill="auto"/>
            <w:noWrap/>
            <w:vAlign w:val="center"/>
            <w:hideMark/>
          </w:tcPr>
          <w:p w14:paraId="5C88703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729.56</w:t>
            </w:r>
          </w:p>
        </w:tc>
        <w:tc>
          <w:tcPr>
            <w:tcW w:w="791" w:type="dxa"/>
            <w:shd w:val="clear" w:color="auto" w:fill="auto"/>
            <w:noWrap/>
            <w:vAlign w:val="center"/>
            <w:hideMark/>
          </w:tcPr>
          <w:p w14:paraId="7946995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773.63</w:t>
            </w:r>
          </w:p>
        </w:tc>
        <w:tc>
          <w:tcPr>
            <w:tcW w:w="791" w:type="dxa"/>
            <w:tcBorders>
              <w:right w:val="nil"/>
            </w:tcBorders>
            <w:shd w:val="clear" w:color="auto" w:fill="auto"/>
            <w:noWrap/>
            <w:vAlign w:val="center"/>
            <w:hideMark/>
          </w:tcPr>
          <w:p w14:paraId="2474AB5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811.53</w:t>
            </w:r>
          </w:p>
        </w:tc>
      </w:tr>
      <w:tr w:rsidR="00881FBB" w:rsidRPr="0084045A" w14:paraId="4994425B" w14:textId="77777777" w:rsidTr="00512905">
        <w:trPr>
          <w:trHeight w:hRule="exact" w:val="284"/>
        </w:trPr>
        <w:tc>
          <w:tcPr>
            <w:tcW w:w="1915" w:type="dxa"/>
            <w:tcBorders>
              <w:left w:val="nil"/>
            </w:tcBorders>
            <w:shd w:val="clear" w:color="auto" w:fill="auto"/>
            <w:noWrap/>
            <w:vAlign w:val="center"/>
            <w:hideMark/>
          </w:tcPr>
          <w:p w14:paraId="483DE961" w14:textId="17A3F80A" w:rsidR="00881FBB" w:rsidRPr="0084045A" w:rsidRDefault="00505A0C"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E</w:t>
            </w:r>
            <w:r w:rsidR="00BA4518" w:rsidRPr="0084045A">
              <w:rPr>
                <w:rFonts w:ascii="Arial" w:eastAsia="Times New Roman" w:hAnsi="Arial" w:cs="Arial"/>
                <w:noProof/>
                <w:color w:val="000000"/>
                <w:sz w:val="16"/>
                <w:szCs w:val="16"/>
                <w:lang w:val="en-GB" w:eastAsia="es-ES"/>
              </w:rPr>
              <w:t>R</w:t>
            </w:r>
            <w:r w:rsidRPr="0084045A">
              <w:rPr>
                <w:rFonts w:ascii="Arial" w:eastAsia="Times New Roman" w:hAnsi="Arial" w:cs="Arial"/>
                <w:noProof/>
                <w:color w:val="000000"/>
                <w:sz w:val="16"/>
                <w:szCs w:val="16"/>
                <w:lang w:val="en-GB" w:eastAsia="es-ES"/>
              </w:rPr>
              <w:t xml:space="preserve"> care</w:t>
            </w:r>
          </w:p>
        </w:tc>
        <w:tc>
          <w:tcPr>
            <w:tcW w:w="791" w:type="dxa"/>
            <w:shd w:val="clear" w:color="auto" w:fill="auto"/>
            <w:noWrap/>
            <w:vAlign w:val="center"/>
            <w:hideMark/>
          </w:tcPr>
          <w:p w14:paraId="0A2EFEA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594.20</w:t>
            </w:r>
          </w:p>
        </w:tc>
        <w:tc>
          <w:tcPr>
            <w:tcW w:w="791" w:type="dxa"/>
            <w:shd w:val="clear" w:color="auto" w:fill="auto"/>
            <w:noWrap/>
            <w:vAlign w:val="center"/>
            <w:hideMark/>
          </w:tcPr>
          <w:p w14:paraId="47EB893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614.44</w:t>
            </w:r>
          </w:p>
        </w:tc>
        <w:tc>
          <w:tcPr>
            <w:tcW w:w="791" w:type="dxa"/>
            <w:shd w:val="clear" w:color="auto" w:fill="auto"/>
            <w:noWrap/>
            <w:vAlign w:val="center"/>
            <w:hideMark/>
          </w:tcPr>
          <w:p w14:paraId="31FC8A5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639.71</w:t>
            </w:r>
          </w:p>
        </w:tc>
        <w:tc>
          <w:tcPr>
            <w:tcW w:w="791" w:type="dxa"/>
            <w:shd w:val="clear" w:color="auto" w:fill="auto"/>
            <w:noWrap/>
            <w:vAlign w:val="center"/>
            <w:hideMark/>
          </w:tcPr>
          <w:p w14:paraId="40548A7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664.06</w:t>
            </w:r>
          </w:p>
        </w:tc>
        <w:tc>
          <w:tcPr>
            <w:tcW w:w="791" w:type="dxa"/>
            <w:shd w:val="clear" w:color="auto" w:fill="auto"/>
            <w:noWrap/>
            <w:vAlign w:val="center"/>
            <w:hideMark/>
          </w:tcPr>
          <w:p w14:paraId="064FF28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690.74</w:t>
            </w:r>
          </w:p>
        </w:tc>
        <w:tc>
          <w:tcPr>
            <w:tcW w:w="791" w:type="dxa"/>
            <w:shd w:val="clear" w:color="auto" w:fill="auto"/>
            <w:noWrap/>
            <w:vAlign w:val="center"/>
            <w:hideMark/>
          </w:tcPr>
          <w:p w14:paraId="4418314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709.53</w:t>
            </w:r>
          </w:p>
        </w:tc>
        <w:tc>
          <w:tcPr>
            <w:tcW w:w="791" w:type="dxa"/>
            <w:shd w:val="clear" w:color="auto" w:fill="auto"/>
            <w:noWrap/>
            <w:vAlign w:val="center"/>
            <w:hideMark/>
          </w:tcPr>
          <w:p w14:paraId="6F287EB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729.56</w:t>
            </w:r>
          </w:p>
        </w:tc>
        <w:tc>
          <w:tcPr>
            <w:tcW w:w="791" w:type="dxa"/>
            <w:shd w:val="clear" w:color="auto" w:fill="auto"/>
            <w:noWrap/>
            <w:vAlign w:val="center"/>
            <w:hideMark/>
          </w:tcPr>
          <w:p w14:paraId="7F92E6B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773.63</w:t>
            </w:r>
          </w:p>
        </w:tc>
        <w:tc>
          <w:tcPr>
            <w:tcW w:w="791" w:type="dxa"/>
            <w:tcBorders>
              <w:right w:val="nil"/>
            </w:tcBorders>
            <w:shd w:val="clear" w:color="auto" w:fill="auto"/>
            <w:noWrap/>
            <w:vAlign w:val="center"/>
            <w:hideMark/>
          </w:tcPr>
          <w:p w14:paraId="41AA9EA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811.53</w:t>
            </w:r>
          </w:p>
        </w:tc>
      </w:tr>
      <w:tr w:rsidR="00881FBB" w:rsidRPr="0084045A" w14:paraId="3AB804C1" w14:textId="77777777" w:rsidTr="00512905">
        <w:trPr>
          <w:trHeight w:hRule="exact" w:val="284"/>
        </w:trPr>
        <w:tc>
          <w:tcPr>
            <w:tcW w:w="1915" w:type="dxa"/>
            <w:tcBorders>
              <w:left w:val="nil"/>
            </w:tcBorders>
            <w:shd w:val="clear" w:color="auto" w:fill="auto"/>
            <w:noWrap/>
            <w:vAlign w:val="center"/>
            <w:hideMark/>
          </w:tcPr>
          <w:p w14:paraId="57C27BEB" w14:textId="77777777"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Hospitalization bed-day</w:t>
            </w:r>
          </w:p>
        </w:tc>
        <w:tc>
          <w:tcPr>
            <w:tcW w:w="791" w:type="dxa"/>
            <w:shd w:val="clear" w:color="auto" w:fill="auto"/>
            <w:noWrap/>
            <w:vAlign w:val="center"/>
            <w:hideMark/>
          </w:tcPr>
          <w:p w14:paraId="5B18BE8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1511.33</w:t>
            </w:r>
          </w:p>
        </w:tc>
        <w:tc>
          <w:tcPr>
            <w:tcW w:w="791" w:type="dxa"/>
            <w:shd w:val="clear" w:color="auto" w:fill="auto"/>
            <w:noWrap/>
            <w:vAlign w:val="center"/>
            <w:hideMark/>
          </w:tcPr>
          <w:p w14:paraId="5F536C2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1562.82</w:t>
            </w:r>
          </w:p>
        </w:tc>
        <w:tc>
          <w:tcPr>
            <w:tcW w:w="791" w:type="dxa"/>
            <w:shd w:val="clear" w:color="auto" w:fill="auto"/>
            <w:noWrap/>
            <w:vAlign w:val="center"/>
            <w:hideMark/>
          </w:tcPr>
          <w:p w14:paraId="1E683BA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1627.08</w:t>
            </w:r>
          </w:p>
        </w:tc>
        <w:tc>
          <w:tcPr>
            <w:tcW w:w="791" w:type="dxa"/>
            <w:shd w:val="clear" w:color="auto" w:fill="auto"/>
            <w:noWrap/>
            <w:vAlign w:val="center"/>
            <w:hideMark/>
          </w:tcPr>
          <w:p w14:paraId="1FC6483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1689.01</w:t>
            </w:r>
          </w:p>
        </w:tc>
        <w:tc>
          <w:tcPr>
            <w:tcW w:w="791" w:type="dxa"/>
            <w:shd w:val="clear" w:color="auto" w:fill="auto"/>
            <w:noWrap/>
            <w:vAlign w:val="center"/>
            <w:hideMark/>
          </w:tcPr>
          <w:p w14:paraId="14CC72A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1756.89</w:t>
            </w:r>
          </w:p>
        </w:tc>
        <w:tc>
          <w:tcPr>
            <w:tcW w:w="791" w:type="dxa"/>
            <w:shd w:val="clear" w:color="auto" w:fill="auto"/>
            <w:noWrap/>
            <w:vAlign w:val="center"/>
            <w:hideMark/>
          </w:tcPr>
          <w:p w14:paraId="0257CF0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1804.68</w:t>
            </w:r>
          </w:p>
        </w:tc>
        <w:tc>
          <w:tcPr>
            <w:tcW w:w="791" w:type="dxa"/>
            <w:shd w:val="clear" w:color="auto" w:fill="auto"/>
            <w:noWrap/>
            <w:vAlign w:val="center"/>
            <w:hideMark/>
          </w:tcPr>
          <w:p w14:paraId="7DAF2A1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1855.61</w:t>
            </w:r>
          </w:p>
        </w:tc>
        <w:tc>
          <w:tcPr>
            <w:tcW w:w="791" w:type="dxa"/>
            <w:shd w:val="clear" w:color="auto" w:fill="auto"/>
            <w:noWrap/>
            <w:vAlign w:val="center"/>
            <w:hideMark/>
          </w:tcPr>
          <w:p w14:paraId="43EFBF8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1967.71</w:t>
            </w:r>
          </w:p>
        </w:tc>
        <w:tc>
          <w:tcPr>
            <w:tcW w:w="791" w:type="dxa"/>
            <w:tcBorders>
              <w:right w:val="nil"/>
            </w:tcBorders>
            <w:shd w:val="clear" w:color="auto" w:fill="auto"/>
            <w:noWrap/>
            <w:vAlign w:val="center"/>
            <w:hideMark/>
          </w:tcPr>
          <w:p w14:paraId="5F938DE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2064.12</w:t>
            </w:r>
          </w:p>
        </w:tc>
      </w:tr>
      <w:tr w:rsidR="00881FBB" w:rsidRPr="0084045A" w14:paraId="7C39D9EA" w14:textId="77777777" w:rsidTr="00512905">
        <w:trPr>
          <w:trHeight w:hRule="exact" w:val="284"/>
        </w:trPr>
        <w:tc>
          <w:tcPr>
            <w:tcW w:w="1915" w:type="dxa"/>
            <w:tcBorders>
              <w:left w:val="nil"/>
            </w:tcBorders>
            <w:shd w:val="clear" w:color="auto" w:fill="auto"/>
            <w:noWrap/>
            <w:vAlign w:val="center"/>
            <w:hideMark/>
          </w:tcPr>
          <w:p w14:paraId="409B232D" w14:textId="31D9E87F"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Amantadine</w:t>
            </w:r>
          </w:p>
        </w:tc>
        <w:tc>
          <w:tcPr>
            <w:tcW w:w="791" w:type="dxa"/>
            <w:shd w:val="clear" w:color="auto" w:fill="auto"/>
            <w:noWrap/>
            <w:vAlign w:val="center"/>
            <w:hideMark/>
          </w:tcPr>
          <w:p w14:paraId="1AA13EA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32.95</w:t>
            </w:r>
          </w:p>
        </w:tc>
        <w:tc>
          <w:tcPr>
            <w:tcW w:w="791" w:type="dxa"/>
            <w:shd w:val="clear" w:color="auto" w:fill="auto"/>
            <w:noWrap/>
            <w:vAlign w:val="center"/>
            <w:hideMark/>
          </w:tcPr>
          <w:p w14:paraId="36EC72B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34.07</w:t>
            </w:r>
          </w:p>
        </w:tc>
        <w:tc>
          <w:tcPr>
            <w:tcW w:w="791" w:type="dxa"/>
            <w:shd w:val="clear" w:color="auto" w:fill="auto"/>
            <w:noWrap/>
            <w:vAlign w:val="center"/>
            <w:hideMark/>
          </w:tcPr>
          <w:p w14:paraId="27F8BFB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35.47</w:t>
            </w:r>
          </w:p>
        </w:tc>
        <w:tc>
          <w:tcPr>
            <w:tcW w:w="791" w:type="dxa"/>
            <w:shd w:val="clear" w:color="auto" w:fill="auto"/>
            <w:noWrap/>
            <w:vAlign w:val="center"/>
            <w:hideMark/>
          </w:tcPr>
          <w:p w14:paraId="0CE00AB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36.82</w:t>
            </w:r>
          </w:p>
        </w:tc>
        <w:tc>
          <w:tcPr>
            <w:tcW w:w="791" w:type="dxa"/>
            <w:shd w:val="clear" w:color="auto" w:fill="auto"/>
            <w:noWrap/>
            <w:vAlign w:val="center"/>
            <w:hideMark/>
          </w:tcPr>
          <w:p w14:paraId="0A08585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38.30</w:t>
            </w:r>
          </w:p>
        </w:tc>
        <w:tc>
          <w:tcPr>
            <w:tcW w:w="791" w:type="dxa"/>
            <w:shd w:val="clear" w:color="auto" w:fill="auto"/>
            <w:noWrap/>
            <w:vAlign w:val="center"/>
            <w:hideMark/>
          </w:tcPr>
          <w:p w14:paraId="7D31C21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39.34</w:t>
            </w:r>
          </w:p>
        </w:tc>
        <w:tc>
          <w:tcPr>
            <w:tcW w:w="791" w:type="dxa"/>
            <w:shd w:val="clear" w:color="auto" w:fill="auto"/>
            <w:noWrap/>
            <w:vAlign w:val="center"/>
            <w:hideMark/>
          </w:tcPr>
          <w:p w14:paraId="78F0E1C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40.45</w:t>
            </w:r>
          </w:p>
        </w:tc>
        <w:tc>
          <w:tcPr>
            <w:tcW w:w="791" w:type="dxa"/>
            <w:shd w:val="clear" w:color="auto" w:fill="auto"/>
            <w:noWrap/>
            <w:vAlign w:val="center"/>
            <w:hideMark/>
          </w:tcPr>
          <w:p w14:paraId="4C13345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42.90</w:t>
            </w:r>
          </w:p>
        </w:tc>
        <w:tc>
          <w:tcPr>
            <w:tcW w:w="791" w:type="dxa"/>
            <w:tcBorders>
              <w:right w:val="nil"/>
            </w:tcBorders>
            <w:shd w:val="clear" w:color="auto" w:fill="auto"/>
            <w:noWrap/>
            <w:vAlign w:val="center"/>
            <w:hideMark/>
          </w:tcPr>
          <w:p w14:paraId="17CBB05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45.00</w:t>
            </w:r>
          </w:p>
        </w:tc>
      </w:tr>
      <w:tr w:rsidR="00881FBB" w:rsidRPr="0084045A" w14:paraId="75C3D30F" w14:textId="77777777" w:rsidTr="00512905">
        <w:trPr>
          <w:trHeight w:hRule="exact" w:val="284"/>
        </w:trPr>
        <w:tc>
          <w:tcPr>
            <w:tcW w:w="1915" w:type="dxa"/>
            <w:tcBorders>
              <w:left w:val="nil"/>
            </w:tcBorders>
            <w:shd w:val="clear" w:color="auto" w:fill="auto"/>
            <w:noWrap/>
            <w:vAlign w:val="center"/>
            <w:hideMark/>
          </w:tcPr>
          <w:p w14:paraId="5269E90E" w14:textId="0FB9178C"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Oseltamivir</w:t>
            </w:r>
          </w:p>
        </w:tc>
        <w:tc>
          <w:tcPr>
            <w:tcW w:w="791" w:type="dxa"/>
            <w:shd w:val="clear" w:color="auto" w:fill="auto"/>
            <w:noWrap/>
            <w:vAlign w:val="center"/>
            <w:hideMark/>
          </w:tcPr>
          <w:p w14:paraId="441EB27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81.18</w:t>
            </w:r>
          </w:p>
        </w:tc>
        <w:tc>
          <w:tcPr>
            <w:tcW w:w="791" w:type="dxa"/>
            <w:shd w:val="clear" w:color="auto" w:fill="auto"/>
            <w:noWrap/>
            <w:vAlign w:val="center"/>
            <w:hideMark/>
          </w:tcPr>
          <w:p w14:paraId="68B0C2F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83.94</w:t>
            </w:r>
          </w:p>
        </w:tc>
        <w:tc>
          <w:tcPr>
            <w:tcW w:w="791" w:type="dxa"/>
            <w:shd w:val="clear" w:color="auto" w:fill="auto"/>
            <w:noWrap/>
            <w:vAlign w:val="center"/>
            <w:hideMark/>
          </w:tcPr>
          <w:p w14:paraId="60353C4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87.40</w:t>
            </w:r>
          </w:p>
        </w:tc>
        <w:tc>
          <w:tcPr>
            <w:tcW w:w="791" w:type="dxa"/>
            <w:shd w:val="clear" w:color="auto" w:fill="auto"/>
            <w:noWrap/>
            <w:vAlign w:val="center"/>
            <w:hideMark/>
          </w:tcPr>
          <w:p w14:paraId="7555430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90.72</w:t>
            </w:r>
          </w:p>
        </w:tc>
        <w:tc>
          <w:tcPr>
            <w:tcW w:w="791" w:type="dxa"/>
            <w:shd w:val="clear" w:color="auto" w:fill="auto"/>
            <w:noWrap/>
            <w:vAlign w:val="center"/>
            <w:hideMark/>
          </w:tcPr>
          <w:p w14:paraId="62F882C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94.37</w:t>
            </w:r>
          </w:p>
        </w:tc>
        <w:tc>
          <w:tcPr>
            <w:tcW w:w="791" w:type="dxa"/>
            <w:shd w:val="clear" w:color="auto" w:fill="auto"/>
            <w:noWrap/>
            <w:vAlign w:val="center"/>
            <w:hideMark/>
          </w:tcPr>
          <w:p w14:paraId="72BF2C5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96.94</w:t>
            </w:r>
          </w:p>
        </w:tc>
        <w:tc>
          <w:tcPr>
            <w:tcW w:w="791" w:type="dxa"/>
            <w:shd w:val="clear" w:color="auto" w:fill="auto"/>
            <w:noWrap/>
            <w:vAlign w:val="center"/>
            <w:hideMark/>
          </w:tcPr>
          <w:p w14:paraId="2B1604F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99.67</w:t>
            </w:r>
          </w:p>
        </w:tc>
        <w:tc>
          <w:tcPr>
            <w:tcW w:w="791" w:type="dxa"/>
            <w:shd w:val="clear" w:color="auto" w:fill="auto"/>
            <w:noWrap/>
            <w:vAlign w:val="center"/>
            <w:hideMark/>
          </w:tcPr>
          <w:p w14:paraId="06C84F85"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105.69</w:t>
            </w:r>
          </w:p>
        </w:tc>
        <w:tc>
          <w:tcPr>
            <w:tcW w:w="791" w:type="dxa"/>
            <w:tcBorders>
              <w:right w:val="nil"/>
            </w:tcBorders>
            <w:shd w:val="clear" w:color="auto" w:fill="auto"/>
            <w:noWrap/>
            <w:vAlign w:val="center"/>
            <w:hideMark/>
          </w:tcPr>
          <w:p w14:paraId="4D9F5D1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110.87</w:t>
            </w:r>
          </w:p>
        </w:tc>
      </w:tr>
      <w:tr w:rsidR="00881FBB" w:rsidRPr="0084045A" w14:paraId="0D57C606" w14:textId="77777777" w:rsidTr="00512905">
        <w:trPr>
          <w:trHeight w:hRule="exact" w:val="284"/>
        </w:trPr>
        <w:tc>
          <w:tcPr>
            <w:tcW w:w="1915" w:type="dxa"/>
            <w:tcBorders>
              <w:left w:val="nil"/>
            </w:tcBorders>
            <w:shd w:val="clear" w:color="auto" w:fill="auto"/>
            <w:noWrap/>
            <w:vAlign w:val="center"/>
            <w:hideMark/>
          </w:tcPr>
          <w:p w14:paraId="7484E91F" w14:textId="4AC90D4E"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Paracetamol</w:t>
            </w:r>
          </w:p>
        </w:tc>
        <w:tc>
          <w:tcPr>
            <w:tcW w:w="791" w:type="dxa"/>
            <w:shd w:val="clear" w:color="auto" w:fill="auto"/>
            <w:noWrap/>
            <w:vAlign w:val="center"/>
            <w:hideMark/>
          </w:tcPr>
          <w:p w14:paraId="29F0421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6.81</w:t>
            </w:r>
          </w:p>
        </w:tc>
        <w:tc>
          <w:tcPr>
            <w:tcW w:w="791" w:type="dxa"/>
            <w:shd w:val="clear" w:color="auto" w:fill="auto"/>
            <w:noWrap/>
            <w:vAlign w:val="center"/>
            <w:hideMark/>
          </w:tcPr>
          <w:p w14:paraId="0123977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7.04</w:t>
            </w:r>
          </w:p>
        </w:tc>
        <w:tc>
          <w:tcPr>
            <w:tcW w:w="791" w:type="dxa"/>
            <w:shd w:val="clear" w:color="auto" w:fill="auto"/>
            <w:noWrap/>
            <w:vAlign w:val="center"/>
            <w:hideMark/>
          </w:tcPr>
          <w:p w14:paraId="4D766B6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7.33</w:t>
            </w:r>
          </w:p>
        </w:tc>
        <w:tc>
          <w:tcPr>
            <w:tcW w:w="791" w:type="dxa"/>
            <w:shd w:val="clear" w:color="auto" w:fill="auto"/>
            <w:noWrap/>
            <w:vAlign w:val="center"/>
            <w:hideMark/>
          </w:tcPr>
          <w:p w14:paraId="5303FB1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7.61</w:t>
            </w:r>
          </w:p>
        </w:tc>
        <w:tc>
          <w:tcPr>
            <w:tcW w:w="791" w:type="dxa"/>
            <w:shd w:val="clear" w:color="auto" w:fill="auto"/>
            <w:noWrap/>
            <w:vAlign w:val="center"/>
            <w:hideMark/>
          </w:tcPr>
          <w:p w14:paraId="5AC51D3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7.92</w:t>
            </w:r>
          </w:p>
        </w:tc>
        <w:tc>
          <w:tcPr>
            <w:tcW w:w="791" w:type="dxa"/>
            <w:shd w:val="clear" w:color="auto" w:fill="auto"/>
            <w:noWrap/>
            <w:vAlign w:val="center"/>
            <w:hideMark/>
          </w:tcPr>
          <w:p w14:paraId="56FDA73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8.13</w:t>
            </w:r>
          </w:p>
        </w:tc>
        <w:tc>
          <w:tcPr>
            <w:tcW w:w="791" w:type="dxa"/>
            <w:shd w:val="clear" w:color="auto" w:fill="auto"/>
            <w:noWrap/>
            <w:vAlign w:val="center"/>
            <w:hideMark/>
          </w:tcPr>
          <w:p w14:paraId="5C0578B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8.36</w:t>
            </w:r>
          </w:p>
        </w:tc>
        <w:tc>
          <w:tcPr>
            <w:tcW w:w="791" w:type="dxa"/>
            <w:shd w:val="clear" w:color="auto" w:fill="auto"/>
            <w:noWrap/>
            <w:vAlign w:val="center"/>
            <w:hideMark/>
          </w:tcPr>
          <w:p w14:paraId="58F609F5"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8.87</w:t>
            </w:r>
          </w:p>
        </w:tc>
        <w:tc>
          <w:tcPr>
            <w:tcW w:w="791" w:type="dxa"/>
            <w:tcBorders>
              <w:right w:val="nil"/>
            </w:tcBorders>
            <w:shd w:val="clear" w:color="auto" w:fill="auto"/>
            <w:noWrap/>
            <w:vAlign w:val="center"/>
            <w:hideMark/>
          </w:tcPr>
          <w:p w14:paraId="71E8DC4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9.30</w:t>
            </w:r>
          </w:p>
        </w:tc>
      </w:tr>
      <w:tr w:rsidR="00881FBB" w:rsidRPr="0084045A" w14:paraId="30051EA2" w14:textId="77777777" w:rsidTr="00512905">
        <w:trPr>
          <w:trHeight w:hRule="exact" w:val="284"/>
        </w:trPr>
        <w:tc>
          <w:tcPr>
            <w:tcW w:w="1915" w:type="dxa"/>
            <w:tcBorders>
              <w:left w:val="nil"/>
            </w:tcBorders>
            <w:shd w:val="clear" w:color="auto" w:fill="auto"/>
            <w:noWrap/>
            <w:vAlign w:val="center"/>
            <w:hideMark/>
          </w:tcPr>
          <w:p w14:paraId="7B547E10" w14:textId="1E105310"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Ceftriaxone</w:t>
            </w:r>
          </w:p>
        </w:tc>
        <w:tc>
          <w:tcPr>
            <w:tcW w:w="791" w:type="dxa"/>
            <w:shd w:val="clear" w:color="auto" w:fill="auto"/>
            <w:noWrap/>
            <w:vAlign w:val="center"/>
            <w:hideMark/>
          </w:tcPr>
          <w:p w14:paraId="73751A4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8.69</w:t>
            </w:r>
          </w:p>
        </w:tc>
        <w:tc>
          <w:tcPr>
            <w:tcW w:w="791" w:type="dxa"/>
            <w:shd w:val="clear" w:color="auto" w:fill="auto"/>
            <w:noWrap/>
            <w:vAlign w:val="center"/>
            <w:hideMark/>
          </w:tcPr>
          <w:p w14:paraId="6E7D25E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8.99</w:t>
            </w:r>
          </w:p>
        </w:tc>
        <w:tc>
          <w:tcPr>
            <w:tcW w:w="791" w:type="dxa"/>
            <w:shd w:val="clear" w:color="auto" w:fill="auto"/>
            <w:noWrap/>
            <w:vAlign w:val="center"/>
            <w:hideMark/>
          </w:tcPr>
          <w:p w14:paraId="5224C7B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9.36</w:t>
            </w:r>
          </w:p>
        </w:tc>
        <w:tc>
          <w:tcPr>
            <w:tcW w:w="791" w:type="dxa"/>
            <w:shd w:val="clear" w:color="auto" w:fill="auto"/>
            <w:noWrap/>
            <w:vAlign w:val="center"/>
            <w:hideMark/>
          </w:tcPr>
          <w:p w14:paraId="680FAB5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9.71</w:t>
            </w:r>
          </w:p>
        </w:tc>
        <w:tc>
          <w:tcPr>
            <w:tcW w:w="791" w:type="dxa"/>
            <w:shd w:val="clear" w:color="auto" w:fill="auto"/>
            <w:noWrap/>
            <w:vAlign w:val="center"/>
            <w:hideMark/>
          </w:tcPr>
          <w:p w14:paraId="3C2D61A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10.10</w:t>
            </w:r>
          </w:p>
        </w:tc>
        <w:tc>
          <w:tcPr>
            <w:tcW w:w="791" w:type="dxa"/>
            <w:shd w:val="clear" w:color="auto" w:fill="auto"/>
            <w:noWrap/>
            <w:vAlign w:val="center"/>
            <w:hideMark/>
          </w:tcPr>
          <w:p w14:paraId="34091CB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10.38</w:t>
            </w:r>
          </w:p>
        </w:tc>
        <w:tc>
          <w:tcPr>
            <w:tcW w:w="791" w:type="dxa"/>
            <w:shd w:val="clear" w:color="auto" w:fill="auto"/>
            <w:noWrap/>
            <w:vAlign w:val="center"/>
            <w:hideMark/>
          </w:tcPr>
          <w:p w14:paraId="5C9F5D6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10.67</w:t>
            </w:r>
          </w:p>
        </w:tc>
        <w:tc>
          <w:tcPr>
            <w:tcW w:w="791" w:type="dxa"/>
            <w:shd w:val="clear" w:color="auto" w:fill="auto"/>
            <w:noWrap/>
            <w:vAlign w:val="center"/>
            <w:hideMark/>
          </w:tcPr>
          <w:p w14:paraId="68CF898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11.32</w:t>
            </w:r>
          </w:p>
        </w:tc>
        <w:tc>
          <w:tcPr>
            <w:tcW w:w="791" w:type="dxa"/>
            <w:tcBorders>
              <w:right w:val="nil"/>
            </w:tcBorders>
            <w:shd w:val="clear" w:color="auto" w:fill="auto"/>
            <w:noWrap/>
            <w:vAlign w:val="center"/>
            <w:hideMark/>
          </w:tcPr>
          <w:p w14:paraId="7CDC71C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11.87</w:t>
            </w:r>
          </w:p>
        </w:tc>
      </w:tr>
      <w:tr w:rsidR="00881FBB" w:rsidRPr="0084045A" w14:paraId="4A388BB7" w14:textId="77777777" w:rsidTr="00512905">
        <w:trPr>
          <w:trHeight w:hRule="exact" w:val="284"/>
        </w:trPr>
        <w:tc>
          <w:tcPr>
            <w:tcW w:w="1915" w:type="dxa"/>
            <w:tcBorders>
              <w:left w:val="nil"/>
            </w:tcBorders>
            <w:shd w:val="clear" w:color="auto" w:fill="auto"/>
            <w:noWrap/>
            <w:vAlign w:val="center"/>
            <w:hideMark/>
          </w:tcPr>
          <w:p w14:paraId="4F74E9C5" w14:textId="77777777"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PCR</w:t>
            </w:r>
          </w:p>
        </w:tc>
        <w:tc>
          <w:tcPr>
            <w:tcW w:w="791" w:type="dxa"/>
            <w:shd w:val="clear" w:color="auto" w:fill="auto"/>
            <w:noWrap/>
            <w:vAlign w:val="center"/>
            <w:hideMark/>
          </w:tcPr>
          <w:p w14:paraId="5338F7E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1742.95</w:t>
            </w:r>
          </w:p>
        </w:tc>
        <w:tc>
          <w:tcPr>
            <w:tcW w:w="791" w:type="dxa"/>
            <w:shd w:val="clear" w:color="auto" w:fill="auto"/>
            <w:noWrap/>
            <w:vAlign w:val="center"/>
            <w:hideMark/>
          </w:tcPr>
          <w:p w14:paraId="4B8AD10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1802.34</w:t>
            </w:r>
          </w:p>
        </w:tc>
        <w:tc>
          <w:tcPr>
            <w:tcW w:w="791" w:type="dxa"/>
            <w:shd w:val="clear" w:color="auto" w:fill="auto"/>
            <w:noWrap/>
            <w:vAlign w:val="center"/>
            <w:hideMark/>
          </w:tcPr>
          <w:p w14:paraId="2782B6C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1876.45</w:t>
            </w:r>
          </w:p>
        </w:tc>
        <w:tc>
          <w:tcPr>
            <w:tcW w:w="791" w:type="dxa"/>
            <w:shd w:val="clear" w:color="auto" w:fill="auto"/>
            <w:noWrap/>
            <w:vAlign w:val="center"/>
            <w:hideMark/>
          </w:tcPr>
          <w:p w14:paraId="5CAB3FC5"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1947.87</w:t>
            </w:r>
          </w:p>
        </w:tc>
        <w:tc>
          <w:tcPr>
            <w:tcW w:w="791" w:type="dxa"/>
            <w:shd w:val="clear" w:color="auto" w:fill="auto"/>
            <w:noWrap/>
            <w:vAlign w:val="center"/>
            <w:hideMark/>
          </w:tcPr>
          <w:p w14:paraId="30BA40F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2026.15</w:t>
            </w:r>
          </w:p>
        </w:tc>
        <w:tc>
          <w:tcPr>
            <w:tcW w:w="791" w:type="dxa"/>
            <w:shd w:val="clear" w:color="auto" w:fill="auto"/>
            <w:noWrap/>
            <w:vAlign w:val="center"/>
            <w:hideMark/>
          </w:tcPr>
          <w:p w14:paraId="745BC3E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2081.27</w:t>
            </w:r>
          </w:p>
        </w:tc>
        <w:tc>
          <w:tcPr>
            <w:tcW w:w="791" w:type="dxa"/>
            <w:shd w:val="clear" w:color="auto" w:fill="auto"/>
            <w:noWrap/>
            <w:vAlign w:val="center"/>
            <w:hideMark/>
          </w:tcPr>
          <w:p w14:paraId="7F779C9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2140.00</w:t>
            </w:r>
          </w:p>
        </w:tc>
        <w:tc>
          <w:tcPr>
            <w:tcW w:w="791" w:type="dxa"/>
            <w:shd w:val="clear" w:color="auto" w:fill="auto"/>
            <w:noWrap/>
            <w:vAlign w:val="center"/>
            <w:hideMark/>
          </w:tcPr>
          <w:p w14:paraId="2ABFD3E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2269.29</w:t>
            </w:r>
          </w:p>
        </w:tc>
        <w:tc>
          <w:tcPr>
            <w:tcW w:w="791" w:type="dxa"/>
            <w:tcBorders>
              <w:right w:val="nil"/>
            </w:tcBorders>
            <w:shd w:val="clear" w:color="auto" w:fill="auto"/>
            <w:noWrap/>
            <w:vAlign w:val="center"/>
            <w:hideMark/>
          </w:tcPr>
          <w:p w14:paraId="1C32216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2380.47</w:t>
            </w:r>
          </w:p>
        </w:tc>
      </w:tr>
      <w:tr w:rsidR="00881FBB" w:rsidRPr="0084045A" w14:paraId="170B38E8" w14:textId="77777777" w:rsidTr="00512905">
        <w:trPr>
          <w:trHeight w:hRule="exact" w:val="284"/>
        </w:trPr>
        <w:tc>
          <w:tcPr>
            <w:tcW w:w="1915" w:type="dxa"/>
            <w:tcBorders>
              <w:left w:val="nil"/>
              <w:bottom w:val="single" w:sz="4" w:space="0" w:color="auto"/>
            </w:tcBorders>
            <w:shd w:val="clear" w:color="auto" w:fill="auto"/>
            <w:noWrap/>
            <w:vAlign w:val="center"/>
            <w:hideMark/>
          </w:tcPr>
          <w:p w14:paraId="7654CBC3" w14:textId="77777777"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Bacteriologic culture</w:t>
            </w:r>
          </w:p>
        </w:tc>
        <w:tc>
          <w:tcPr>
            <w:tcW w:w="791" w:type="dxa"/>
            <w:tcBorders>
              <w:bottom w:val="single" w:sz="4" w:space="0" w:color="auto"/>
            </w:tcBorders>
            <w:shd w:val="clear" w:color="auto" w:fill="auto"/>
            <w:noWrap/>
            <w:vAlign w:val="center"/>
            <w:hideMark/>
          </w:tcPr>
          <w:p w14:paraId="2E19E15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147.42</w:t>
            </w:r>
          </w:p>
        </w:tc>
        <w:tc>
          <w:tcPr>
            <w:tcW w:w="791" w:type="dxa"/>
            <w:tcBorders>
              <w:bottom w:val="single" w:sz="4" w:space="0" w:color="auto"/>
            </w:tcBorders>
            <w:shd w:val="clear" w:color="auto" w:fill="auto"/>
            <w:noWrap/>
            <w:vAlign w:val="center"/>
            <w:hideMark/>
          </w:tcPr>
          <w:p w14:paraId="31E696D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152.44</w:t>
            </w:r>
          </w:p>
        </w:tc>
        <w:tc>
          <w:tcPr>
            <w:tcW w:w="791" w:type="dxa"/>
            <w:tcBorders>
              <w:bottom w:val="single" w:sz="4" w:space="0" w:color="auto"/>
            </w:tcBorders>
            <w:shd w:val="clear" w:color="auto" w:fill="auto"/>
            <w:noWrap/>
            <w:vAlign w:val="center"/>
            <w:hideMark/>
          </w:tcPr>
          <w:p w14:paraId="763617A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158.71</w:t>
            </w:r>
          </w:p>
        </w:tc>
        <w:tc>
          <w:tcPr>
            <w:tcW w:w="791" w:type="dxa"/>
            <w:tcBorders>
              <w:bottom w:val="single" w:sz="4" w:space="0" w:color="auto"/>
            </w:tcBorders>
            <w:shd w:val="clear" w:color="auto" w:fill="auto"/>
            <w:noWrap/>
            <w:vAlign w:val="center"/>
            <w:hideMark/>
          </w:tcPr>
          <w:p w14:paraId="1435BE6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164.75</w:t>
            </w:r>
          </w:p>
        </w:tc>
        <w:tc>
          <w:tcPr>
            <w:tcW w:w="791" w:type="dxa"/>
            <w:tcBorders>
              <w:bottom w:val="single" w:sz="4" w:space="0" w:color="auto"/>
            </w:tcBorders>
            <w:shd w:val="clear" w:color="auto" w:fill="auto"/>
            <w:noWrap/>
            <w:vAlign w:val="center"/>
            <w:hideMark/>
          </w:tcPr>
          <w:p w14:paraId="6CD553F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171.37</w:t>
            </w:r>
          </w:p>
        </w:tc>
        <w:tc>
          <w:tcPr>
            <w:tcW w:w="791" w:type="dxa"/>
            <w:tcBorders>
              <w:bottom w:val="single" w:sz="4" w:space="0" w:color="auto"/>
            </w:tcBorders>
            <w:shd w:val="clear" w:color="auto" w:fill="auto"/>
            <w:noWrap/>
            <w:vAlign w:val="center"/>
            <w:hideMark/>
          </w:tcPr>
          <w:p w14:paraId="4F025A6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176.03</w:t>
            </w:r>
          </w:p>
        </w:tc>
        <w:tc>
          <w:tcPr>
            <w:tcW w:w="791" w:type="dxa"/>
            <w:tcBorders>
              <w:bottom w:val="single" w:sz="4" w:space="0" w:color="auto"/>
            </w:tcBorders>
            <w:shd w:val="clear" w:color="auto" w:fill="auto"/>
            <w:noWrap/>
            <w:vAlign w:val="center"/>
            <w:hideMark/>
          </w:tcPr>
          <w:p w14:paraId="28532C6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181.00</w:t>
            </w:r>
          </w:p>
        </w:tc>
        <w:tc>
          <w:tcPr>
            <w:tcW w:w="791" w:type="dxa"/>
            <w:tcBorders>
              <w:bottom w:val="single" w:sz="4" w:space="0" w:color="auto"/>
            </w:tcBorders>
            <w:shd w:val="clear" w:color="auto" w:fill="auto"/>
            <w:noWrap/>
            <w:vAlign w:val="center"/>
            <w:hideMark/>
          </w:tcPr>
          <w:p w14:paraId="19DB8FD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191.94</w:t>
            </w:r>
          </w:p>
        </w:tc>
        <w:tc>
          <w:tcPr>
            <w:tcW w:w="791" w:type="dxa"/>
            <w:tcBorders>
              <w:bottom w:val="single" w:sz="4" w:space="0" w:color="auto"/>
              <w:right w:val="nil"/>
            </w:tcBorders>
            <w:shd w:val="clear" w:color="auto" w:fill="auto"/>
            <w:noWrap/>
            <w:vAlign w:val="center"/>
            <w:hideMark/>
          </w:tcPr>
          <w:p w14:paraId="1728E5F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201.34</w:t>
            </w:r>
          </w:p>
        </w:tc>
      </w:tr>
      <w:tr w:rsidR="00243475" w:rsidRPr="0084045A" w14:paraId="295816CE" w14:textId="77777777" w:rsidTr="00505A0C">
        <w:trPr>
          <w:trHeight w:hRule="exact" w:val="284"/>
        </w:trPr>
        <w:tc>
          <w:tcPr>
            <w:tcW w:w="9034" w:type="dxa"/>
            <w:gridSpan w:val="10"/>
            <w:tcBorders>
              <w:top w:val="nil"/>
              <w:left w:val="nil"/>
              <w:bottom w:val="single" w:sz="4" w:space="0" w:color="auto"/>
              <w:right w:val="nil"/>
            </w:tcBorders>
            <w:shd w:val="clear" w:color="auto" w:fill="auto"/>
            <w:noWrap/>
            <w:vAlign w:val="center"/>
            <w:hideMark/>
          </w:tcPr>
          <w:p w14:paraId="464D94F3" w14:textId="65F24F0B" w:rsidR="00243475" w:rsidRPr="00096BA7" w:rsidRDefault="002F66A4" w:rsidP="00243475">
            <w:pPr>
              <w:spacing w:after="0" w:line="240" w:lineRule="auto"/>
              <w:rPr>
                <w:rFonts w:ascii="Arial" w:eastAsia="Times New Roman" w:hAnsi="Arial" w:cs="Arial"/>
                <w:b/>
                <w:bCs/>
                <w:noProof/>
                <w:sz w:val="16"/>
                <w:szCs w:val="16"/>
                <w:lang w:eastAsia="es-ES"/>
              </w:rPr>
            </w:pPr>
            <w:r>
              <w:rPr>
                <w:rFonts w:ascii="Arial" w:eastAsia="Times New Roman" w:hAnsi="Arial" w:cs="Arial"/>
                <w:b/>
                <w:bCs/>
                <w:noProof/>
                <w:sz w:val="16"/>
                <w:szCs w:val="16"/>
                <w:lang w:eastAsia="es-ES"/>
              </w:rPr>
              <w:t>Ministry of Health (MoH)</w:t>
            </w:r>
          </w:p>
        </w:tc>
      </w:tr>
      <w:tr w:rsidR="00881FBB" w:rsidRPr="0084045A" w14:paraId="33CB9BDF" w14:textId="77777777" w:rsidTr="00512905">
        <w:trPr>
          <w:trHeight w:hRule="exact" w:val="284"/>
        </w:trPr>
        <w:tc>
          <w:tcPr>
            <w:tcW w:w="1915" w:type="dxa"/>
            <w:tcBorders>
              <w:top w:val="nil"/>
              <w:left w:val="nil"/>
            </w:tcBorders>
            <w:shd w:val="clear" w:color="auto" w:fill="auto"/>
            <w:noWrap/>
            <w:vAlign w:val="center"/>
            <w:hideMark/>
          </w:tcPr>
          <w:p w14:paraId="336F9F39" w14:textId="011048F8" w:rsidR="00881FBB" w:rsidRPr="0084045A" w:rsidRDefault="00505A0C"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Outpatient consult</w:t>
            </w:r>
            <w:r w:rsidR="005773E5" w:rsidRPr="0084045A">
              <w:rPr>
                <w:rFonts w:ascii="Arial" w:eastAsia="Times New Roman" w:hAnsi="Arial" w:cs="Arial"/>
                <w:noProof/>
                <w:color w:val="000000"/>
                <w:sz w:val="16"/>
                <w:szCs w:val="16"/>
                <w:lang w:val="en-GB" w:eastAsia="es-ES"/>
              </w:rPr>
              <w:t>ation</w:t>
            </w:r>
          </w:p>
        </w:tc>
        <w:tc>
          <w:tcPr>
            <w:tcW w:w="791" w:type="dxa"/>
            <w:tcBorders>
              <w:top w:val="single" w:sz="4" w:space="0" w:color="auto"/>
            </w:tcBorders>
            <w:shd w:val="clear" w:color="auto" w:fill="auto"/>
            <w:noWrap/>
            <w:vAlign w:val="center"/>
            <w:hideMark/>
          </w:tcPr>
          <w:p w14:paraId="5C3C24F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72.34</w:t>
            </w:r>
          </w:p>
        </w:tc>
        <w:tc>
          <w:tcPr>
            <w:tcW w:w="791" w:type="dxa"/>
            <w:tcBorders>
              <w:top w:val="single" w:sz="4" w:space="0" w:color="auto"/>
            </w:tcBorders>
            <w:shd w:val="clear" w:color="auto" w:fill="auto"/>
            <w:noWrap/>
            <w:vAlign w:val="center"/>
            <w:hideMark/>
          </w:tcPr>
          <w:p w14:paraId="0A643BE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74.80</w:t>
            </w:r>
          </w:p>
        </w:tc>
        <w:tc>
          <w:tcPr>
            <w:tcW w:w="791" w:type="dxa"/>
            <w:tcBorders>
              <w:top w:val="single" w:sz="4" w:space="0" w:color="auto"/>
            </w:tcBorders>
            <w:shd w:val="clear" w:color="auto" w:fill="auto"/>
            <w:noWrap/>
            <w:vAlign w:val="center"/>
            <w:hideMark/>
          </w:tcPr>
          <w:p w14:paraId="425BE58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77.88</w:t>
            </w:r>
          </w:p>
        </w:tc>
        <w:tc>
          <w:tcPr>
            <w:tcW w:w="791" w:type="dxa"/>
            <w:tcBorders>
              <w:top w:val="single" w:sz="4" w:space="0" w:color="auto"/>
            </w:tcBorders>
            <w:shd w:val="clear" w:color="auto" w:fill="auto"/>
            <w:noWrap/>
            <w:vAlign w:val="center"/>
            <w:hideMark/>
          </w:tcPr>
          <w:p w14:paraId="5A80BA7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80.84</w:t>
            </w:r>
          </w:p>
        </w:tc>
        <w:tc>
          <w:tcPr>
            <w:tcW w:w="791" w:type="dxa"/>
            <w:tcBorders>
              <w:top w:val="single" w:sz="4" w:space="0" w:color="auto"/>
            </w:tcBorders>
            <w:shd w:val="clear" w:color="auto" w:fill="auto"/>
            <w:noWrap/>
            <w:vAlign w:val="center"/>
            <w:hideMark/>
          </w:tcPr>
          <w:p w14:paraId="177D517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84.09</w:t>
            </w:r>
          </w:p>
        </w:tc>
        <w:tc>
          <w:tcPr>
            <w:tcW w:w="791" w:type="dxa"/>
            <w:tcBorders>
              <w:top w:val="single" w:sz="4" w:space="0" w:color="auto"/>
            </w:tcBorders>
            <w:shd w:val="clear" w:color="auto" w:fill="auto"/>
            <w:noWrap/>
            <w:vAlign w:val="center"/>
            <w:hideMark/>
          </w:tcPr>
          <w:p w14:paraId="3DAA7EC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86.38</w:t>
            </w:r>
          </w:p>
        </w:tc>
        <w:tc>
          <w:tcPr>
            <w:tcW w:w="791" w:type="dxa"/>
            <w:tcBorders>
              <w:top w:val="single" w:sz="4" w:space="0" w:color="auto"/>
            </w:tcBorders>
            <w:shd w:val="clear" w:color="auto" w:fill="auto"/>
            <w:noWrap/>
            <w:vAlign w:val="center"/>
            <w:hideMark/>
          </w:tcPr>
          <w:p w14:paraId="50CF1FA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88.82</w:t>
            </w:r>
          </w:p>
        </w:tc>
        <w:tc>
          <w:tcPr>
            <w:tcW w:w="791" w:type="dxa"/>
            <w:tcBorders>
              <w:top w:val="single" w:sz="4" w:space="0" w:color="auto"/>
            </w:tcBorders>
            <w:shd w:val="clear" w:color="auto" w:fill="auto"/>
            <w:noWrap/>
            <w:vAlign w:val="center"/>
            <w:hideMark/>
          </w:tcPr>
          <w:p w14:paraId="34FEA88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94.18</w:t>
            </w:r>
          </w:p>
        </w:tc>
        <w:tc>
          <w:tcPr>
            <w:tcW w:w="791" w:type="dxa"/>
            <w:tcBorders>
              <w:top w:val="single" w:sz="4" w:space="0" w:color="auto"/>
              <w:right w:val="nil"/>
            </w:tcBorders>
            <w:shd w:val="clear" w:color="auto" w:fill="auto"/>
            <w:noWrap/>
            <w:vAlign w:val="center"/>
            <w:hideMark/>
          </w:tcPr>
          <w:p w14:paraId="28933E5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98.80</w:t>
            </w:r>
          </w:p>
        </w:tc>
      </w:tr>
      <w:tr w:rsidR="00881FBB" w:rsidRPr="0084045A" w14:paraId="08EC1A47" w14:textId="77777777" w:rsidTr="00512905">
        <w:trPr>
          <w:trHeight w:hRule="exact" w:val="284"/>
        </w:trPr>
        <w:tc>
          <w:tcPr>
            <w:tcW w:w="1915" w:type="dxa"/>
            <w:tcBorders>
              <w:left w:val="nil"/>
            </w:tcBorders>
            <w:shd w:val="clear" w:color="auto" w:fill="auto"/>
            <w:noWrap/>
            <w:vAlign w:val="center"/>
            <w:hideMark/>
          </w:tcPr>
          <w:p w14:paraId="2527950D" w14:textId="086F5035" w:rsidR="00881FBB" w:rsidRPr="0084045A" w:rsidRDefault="005773E5"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Specialist consultation</w:t>
            </w:r>
          </w:p>
        </w:tc>
        <w:tc>
          <w:tcPr>
            <w:tcW w:w="791" w:type="dxa"/>
            <w:shd w:val="clear" w:color="auto" w:fill="auto"/>
            <w:noWrap/>
            <w:vAlign w:val="center"/>
            <w:hideMark/>
          </w:tcPr>
          <w:p w14:paraId="7A8DE1C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72.34</w:t>
            </w:r>
          </w:p>
        </w:tc>
        <w:tc>
          <w:tcPr>
            <w:tcW w:w="791" w:type="dxa"/>
            <w:shd w:val="clear" w:color="auto" w:fill="auto"/>
            <w:noWrap/>
            <w:vAlign w:val="center"/>
            <w:hideMark/>
          </w:tcPr>
          <w:p w14:paraId="301C334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74.80</w:t>
            </w:r>
          </w:p>
        </w:tc>
        <w:tc>
          <w:tcPr>
            <w:tcW w:w="791" w:type="dxa"/>
            <w:shd w:val="clear" w:color="auto" w:fill="auto"/>
            <w:noWrap/>
            <w:vAlign w:val="center"/>
            <w:hideMark/>
          </w:tcPr>
          <w:p w14:paraId="44E8722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77.88</w:t>
            </w:r>
          </w:p>
        </w:tc>
        <w:tc>
          <w:tcPr>
            <w:tcW w:w="791" w:type="dxa"/>
            <w:shd w:val="clear" w:color="auto" w:fill="auto"/>
            <w:noWrap/>
            <w:vAlign w:val="center"/>
            <w:hideMark/>
          </w:tcPr>
          <w:p w14:paraId="24710F7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80.84</w:t>
            </w:r>
          </w:p>
        </w:tc>
        <w:tc>
          <w:tcPr>
            <w:tcW w:w="791" w:type="dxa"/>
            <w:shd w:val="clear" w:color="auto" w:fill="auto"/>
            <w:noWrap/>
            <w:vAlign w:val="center"/>
            <w:hideMark/>
          </w:tcPr>
          <w:p w14:paraId="206A863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84.09</w:t>
            </w:r>
          </w:p>
        </w:tc>
        <w:tc>
          <w:tcPr>
            <w:tcW w:w="791" w:type="dxa"/>
            <w:shd w:val="clear" w:color="auto" w:fill="auto"/>
            <w:noWrap/>
            <w:vAlign w:val="center"/>
            <w:hideMark/>
          </w:tcPr>
          <w:p w14:paraId="31ABEB3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86.38</w:t>
            </w:r>
          </w:p>
        </w:tc>
        <w:tc>
          <w:tcPr>
            <w:tcW w:w="791" w:type="dxa"/>
            <w:shd w:val="clear" w:color="auto" w:fill="auto"/>
            <w:noWrap/>
            <w:vAlign w:val="center"/>
            <w:hideMark/>
          </w:tcPr>
          <w:p w14:paraId="2B6B3A6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88.82</w:t>
            </w:r>
          </w:p>
        </w:tc>
        <w:tc>
          <w:tcPr>
            <w:tcW w:w="791" w:type="dxa"/>
            <w:shd w:val="clear" w:color="auto" w:fill="auto"/>
            <w:noWrap/>
            <w:vAlign w:val="center"/>
            <w:hideMark/>
          </w:tcPr>
          <w:p w14:paraId="4BAD503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94.18</w:t>
            </w:r>
          </w:p>
        </w:tc>
        <w:tc>
          <w:tcPr>
            <w:tcW w:w="791" w:type="dxa"/>
            <w:tcBorders>
              <w:right w:val="nil"/>
            </w:tcBorders>
            <w:shd w:val="clear" w:color="auto" w:fill="auto"/>
            <w:noWrap/>
            <w:vAlign w:val="center"/>
            <w:hideMark/>
          </w:tcPr>
          <w:p w14:paraId="52EA7DE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98.80</w:t>
            </w:r>
          </w:p>
        </w:tc>
      </w:tr>
      <w:tr w:rsidR="00881FBB" w:rsidRPr="0084045A" w14:paraId="0F18979A" w14:textId="77777777" w:rsidTr="00512905">
        <w:trPr>
          <w:trHeight w:hRule="exact" w:val="284"/>
        </w:trPr>
        <w:tc>
          <w:tcPr>
            <w:tcW w:w="1915" w:type="dxa"/>
            <w:tcBorders>
              <w:left w:val="nil"/>
            </w:tcBorders>
            <w:shd w:val="clear" w:color="auto" w:fill="auto"/>
            <w:noWrap/>
            <w:vAlign w:val="center"/>
            <w:hideMark/>
          </w:tcPr>
          <w:p w14:paraId="64B8BABB" w14:textId="5E862A60" w:rsidR="00881FBB" w:rsidRPr="0084045A" w:rsidRDefault="00505A0C"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ER care</w:t>
            </w:r>
          </w:p>
        </w:tc>
        <w:tc>
          <w:tcPr>
            <w:tcW w:w="791" w:type="dxa"/>
            <w:shd w:val="clear" w:color="auto" w:fill="auto"/>
            <w:noWrap/>
            <w:vAlign w:val="center"/>
            <w:hideMark/>
          </w:tcPr>
          <w:p w14:paraId="1DE086D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223.47</w:t>
            </w:r>
          </w:p>
        </w:tc>
        <w:tc>
          <w:tcPr>
            <w:tcW w:w="791" w:type="dxa"/>
            <w:shd w:val="clear" w:color="auto" w:fill="auto"/>
            <w:noWrap/>
            <w:vAlign w:val="center"/>
            <w:hideMark/>
          </w:tcPr>
          <w:p w14:paraId="49A1464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231.08</w:t>
            </w:r>
          </w:p>
        </w:tc>
        <w:tc>
          <w:tcPr>
            <w:tcW w:w="791" w:type="dxa"/>
            <w:shd w:val="clear" w:color="auto" w:fill="auto"/>
            <w:noWrap/>
            <w:vAlign w:val="center"/>
            <w:hideMark/>
          </w:tcPr>
          <w:p w14:paraId="4B114A9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240.59</w:t>
            </w:r>
          </w:p>
        </w:tc>
        <w:tc>
          <w:tcPr>
            <w:tcW w:w="791" w:type="dxa"/>
            <w:shd w:val="clear" w:color="auto" w:fill="auto"/>
            <w:noWrap/>
            <w:vAlign w:val="center"/>
            <w:hideMark/>
          </w:tcPr>
          <w:p w14:paraId="71682D7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249.74</w:t>
            </w:r>
          </w:p>
        </w:tc>
        <w:tc>
          <w:tcPr>
            <w:tcW w:w="791" w:type="dxa"/>
            <w:shd w:val="clear" w:color="auto" w:fill="auto"/>
            <w:noWrap/>
            <w:vAlign w:val="center"/>
            <w:hideMark/>
          </w:tcPr>
          <w:p w14:paraId="44A4420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259.78</w:t>
            </w:r>
          </w:p>
        </w:tc>
        <w:tc>
          <w:tcPr>
            <w:tcW w:w="791" w:type="dxa"/>
            <w:shd w:val="clear" w:color="auto" w:fill="auto"/>
            <w:noWrap/>
            <w:vAlign w:val="center"/>
            <w:hideMark/>
          </w:tcPr>
          <w:p w14:paraId="6C86220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266.85</w:t>
            </w:r>
          </w:p>
        </w:tc>
        <w:tc>
          <w:tcPr>
            <w:tcW w:w="791" w:type="dxa"/>
            <w:shd w:val="clear" w:color="auto" w:fill="auto"/>
            <w:noWrap/>
            <w:vAlign w:val="center"/>
            <w:hideMark/>
          </w:tcPr>
          <w:p w14:paraId="70D3EFF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274.38</w:t>
            </w:r>
          </w:p>
        </w:tc>
        <w:tc>
          <w:tcPr>
            <w:tcW w:w="791" w:type="dxa"/>
            <w:shd w:val="clear" w:color="auto" w:fill="auto"/>
            <w:noWrap/>
            <w:vAlign w:val="center"/>
            <w:hideMark/>
          </w:tcPr>
          <w:p w14:paraId="0DAA6C3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290.95</w:t>
            </w:r>
          </w:p>
        </w:tc>
        <w:tc>
          <w:tcPr>
            <w:tcW w:w="791" w:type="dxa"/>
            <w:tcBorders>
              <w:right w:val="nil"/>
            </w:tcBorders>
            <w:shd w:val="clear" w:color="auto" w:fill="auto"/>
            <w:noWrap/>
            <w:vAlign w:val="center"/>
            <w:hideMark/>
          </w:tcPr>
          <w:p w14:paraId="5E055EF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305.21</w:t>
            </w:r>
          </w:p>
        </w:tc>
      </w:tr>
      <w:tr w:rsidR="00881FBB" w:rsidRPr="0084045A" w14:paraId="1ECE2A16" w14:textId="77777777" w:rsidTr="00512905">
        <w:trPr>
          <w:trHeight w:hRule="exact" w:val="284"/>
        </w:trPr>
        <w:tc>
          <w:tcPr>
            <w:tcW w:w="1915" w:type="dxa"/>
            <w:tcBorders>
              <w:left w:val="nil"/>
            </w:tcBorders>
            <w:shd w:val="clear" w:color="auto" w:fill="auto"/>
            <w:noWrap/>
            <w:vAlign w:val="center"/>
            <w:hideMark/>
          </w:tcPr>
          <w:p w14:paraId="3D7CA412" w14:textId="77777777"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Hospitalization bed-day</w:t>
            </w:r>
          </w:p>
        </w:tc>
        <w:tc>
          <w:tcPr>
            <w:tcW w:w="791" w:type="dxa"/>
            <w:shd w:val="clear" w:color="auto" w:fill="auto"/>
            <w:noWrap/>
            <w:vAlign w:val="center"/>
            <w:hideMark/>
          </w:tcPr>
          <w:p w14:paraId="71AF180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223.47</w:t>
            </w:r>
          </w:p>
        </w:tc>
        <w:tc>
          <w:tcPr>
            <w:tcW w:w="791" w:type="dxa"/>
            <w:shd w:val="clear" w:color="auto" w:fill="auto"/>
            <w:noWrap/>
            <w:vAlign w:val="center"/>
            <w:hideMark/>
          </w:tcPr>
          <w:p w14:paraId="653AE94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231.08</w:t>
            </w:r>
          </w:p>
        </w:tc>
        <w:tc>
          <w:tcPr>
            <w:tcW w:w="791" w:type="dxa"/>
            <w:shd w:val="clear" w:color="auto" w:fill="auto"/>
            <w:noWrap/>
            <w:vAlign w:val="center"/>
            <w:hideMark/>
          </w:tcPr>
          <w:p w14:paraId="2013AC3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240.59</w:t>
            </w:r>
          </w:p>
        </w:tc>
        <w:tc>
          <w:tcPr>
            <w:tcW w:w="791" w:type="dxa"/>
            <w:shd w:val="clear" w:color="auto" w:fill="auto"/>
            <w:noWrap/>
            <w:vAlign w:val="center"/>
            <w:hideMark/>
          </w:tcPr>
          <w:p w14:paraId="2DC3BED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249.74</w:t>
            </w:r>
          </w:p>
        </w:tc>
        <w:tc>
          <w:tcPr>
            <w:tcW w:w="791" w:type="dxa"/>
            <w:shd w:val="clear" w:color="auto" w:fill="auto"/>
            <w:noWrap/>
            <w:vAlign w:val="center"/>
            <w:hideMark/>
          </w:tcPr>
          <w:p w14:paraId="497DCCD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259.78</w:t>
            </w:r>
          </w:p>
        </w:tc>
        <w:tc>
          <w:tcPr>
            <w:tcW w:w="791" w:type="dxa"/>
            <w:shd w:val="clear" w:color="auto" w:fill="auto"/>
            <w:noWrap/>
            <w:vAlign w:val="center"/>
            <w:hideMark/>
          </w:tcPr>
          <w:p w14:paraId="7A27786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266.85</w:t>
            </w:r>
          </w:p>
        </w:tc>
        <w:tc>
          <w:tcPr>
            <w:tcW w:w="791" w:type="dxa"/>
            <w:shd w:val="clear" w:color="auto" w:fill="auto"/>
            <w:noWrap/>
            <w:vAlign w:val="center"/>
            <w:hideMark/>
          </w:tcPr>
          <w:p w14:paraId="574287F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274.38</w:t>
            </w:r>
          </w:p>
        </w:tc>
        <w:tc>
          <w:tcPr>
            <w:tcW w:w="791" w:type="dxa"/>
            <w:shd w:val="clear" w:color="auto" w:fill="auto"/>
            <w:noWrap/>
            <w:vAlign w:val="center"/>
            <w:hideMark/>
          </w:tcPr>
          <w:p w14:paraId="2E660CE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290.95</w:t>
            </w:r>
          </w:p>
        </w:tc>
        <w:tc>
          <w:tcPr>
            <w:tcW w:w="791" w:type="dxa"/>
            <w:tcBorders>
              <w:right w:val="nil"/>
            </w:tcBorders>
            <w:shd w:val="clear" w:color="auto" w:fill="auto"/>
            <w:noWrap/>
            <w:vAlign w:val="center"/>
            <w:hideMark/>
          </w:tcPr>
          <w:p w14:paraId="1C08F5E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305.21</w:t>
            </w:r>
          </w:p>
        </w:tc>
      </w:tr>
      <w:tr w:rsidR="00881FBB" w:rsidRPr="0084045A" w14:paraId="437326AA" w14:textId="77777777" w:rsidTr="00512905">
        <w:trPr>
          <w:trHeight w:hRule="exact" w:val="284"/>
        </w:trPr>
        <w:tc>
          <w:tcPr>
            <w:tcW w:w="1915" w:type="dxa"/>
            <w:tcBorders>
              <w:left w:val="nil"/>
            </w:tcBorders>
            <w:shd w:val="clear" w:color="auto" w:fill="auto"/>
            <w:noWrap/>
            <w:vAlign w:val="center"/>
            <w:hideMark/>
          </w:tcPr>
          <w:p w14:paraId="663143F0" w14:textId="734F4B99"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Amantadine</w:t>
            </w:r>
          </w:p>
        </w:tc>
        <w:tc>
          <w:tcPr>
            <w:tcW w:w="791" w:type="dxa"/>
            <w:shd w:val="clear" w:color="auto" w:fill="auto"/>
            <w:noWrap/>
            <w:vAlign w:val="center"/>
            <w:hideMark/>
          </w:tcPr>
          <w:p w14:paraId="0B08460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32.95</w:t>
            </w:r>
          </w:p>
        </w:tc>
        <w:tc>
          <w:tcPr>
            <w:tcW w:w="791" w:type="dxa"/>
            <w:shd w:val="clear" w:color="auto" w:fill="auto"/>
            <w:noWrap/>
            <w:vAlign w:val="center"/>
            <w:hideMark/>
          </w:tcPr>
          <w:p w14:paraId="5772327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34.07</w:t>
            </w:r>
          </w:p>
        </w:tc>
        <w:tc>
          <w:tcPr>
            <w:tcW w:w="791" w:type="dxa"/>
            <w:shd w:val="clear" w:color="auto" w:fill="auto"/>
            <w:noWrap/>
            <w:vAlign w:val="center"/>
            <w:hideMark/>
          </w:tcPr>
          <w:p w14:paraId="530799A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35.47</w:t>
            </w:r>
          </w:p>
        </w:tc>
        <w:tc>
          <w:tcPr>
            <w:tcW w:w="791" w:type="dxa"/>
            <w:shd w:val="clear" w:color="auto" w:fill="auto"/>
            <w:noWrap/>
            <w:vAlign w:val="center"/>
            <w:hideMark/>
          </w:tcPr>
          <w:p w14:paraId="659DCCD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36.82</w:t>
            </w:r>
          </w:p>
        </w:tc>
        <w:tc>
          <w:tcPr>
            <w:tcW w:w="791" w:type="dxa"/>
            <w:shd w:val="clear" w:color="auto" w:fill="auto"/>
            <w:noWrap/>
            <w:vAlign w:val="center"/>
            <w:hideMark/>
          </w:tcPr>
          <w:p w14:paraId="71C8510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38.30</w:t>
            </w:r>
          </w:p>
        </w:tc>
        <w:tc>
          <w:tcPr>
            <w:tcW w:w="791" w:type="dxa"/>
            <w:shd w:val="clear" w:color="auto" w:fill="auto"/>
            <w:noWrap/>
            <w:vAlign w:val="center"/>
            <w:hideMark/>
          </w:tcPr>
          <w:p w14:paraId="2CD8B21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39.34</w:t>
            </w:r>
          </w:p>
        </w:tc>
        <w:tc>
          <w:tcPr>
            <w:tcW w:w="791" w:type="dxa"/>
            <w:shd w:val="clear" w:color="auto" w:fill="auto"/>
            <w:noWrap/>
            <w:vAlign w:val="center"/>
            <w:hideMark/>
          </w:tcPr>
          <w:p w14:paraId="1033DED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40.45</w:t>
            </w:r>
          </w:p>
        </w:tc>
        <w:tc>
          <w:tcPr>
            <w:tcW w:w="791" w:type="dxa"/>
            <w:shd w:val="clear" w:color="auto" w:fill="auto"/>
            <w:noWrap/>
            <w:vAlign w:val="center"/>
            <w:hideMark/>
          </w:tcPr>
          <w:p w14:paraId="30F98FF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42.90</w:t>
            </w:r>
          </w:p>
        </w:tc>
        <w:tc>
          <w:tcPr>
            <w:tcW w:w="791" w:type="dxa"/>
            <w:tcBorders>
              <w:right w:val="nil"/>
            </w:tcBorders>
            <w:shd w:val="clear" w:color="auto" w:fill="auto"/>
            <w:noWrap/>
            <w:vAlign w:val="center"/>
            <w:hideMark/>
          </w:tcPr>
          <w:p w14:paraId="7114BBB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45.00</w:t>
            </w:r>
          </w:p>
        </w:tc>
      </w:tr>
      <w:tr w:rsidR="00881FBB" w:rsidRPr="0084045A" w14:paraId="0F758E20" w14:textId="77777777" w:rsidTr="00512905">
        <w:trPr>
          <w:trHeight w:hRule="exact" w:val="284"/>
        </w:trPr>
        <w:tc>
          <w:tcPr>
            <w:tcW w:w="1915" w:type="dxa"/>
            <w:tcBorders>
              <w:left w:val="nil"/>
            </w:tcBorders>
            <w:shd w:val="clear" w:color="auto" w:fill="auto"/>
            <w:noWrap/>
            <w:vAlign w:val="center"/>
            <w:hideMark/>
          </w:tcPr>
          <w:p w14:paraId="339F1BE7" w14:textId="44143507"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Oseltamivir</w:t>
            </w:r>
          </w:p>
        </w:tc>
        <w:tc>
          <w:tcPr>
            <w:tcW w:w="791" w:type="dxa"/>
            <w:shd w:val="clear" w:color="auto" w:fill="auto"/>
            <w:noWrap/>
            <w:vAlign w:val="center"/>
            <w:hideMark/>
          </w:tcPr>
          <w:p w14:paraId="79FE461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81.18</w:t>
            </w:r>
          </w:p>
        </w:tc>
        <w:tc>
          <w:tcPr>
            <w:tcW w:w="791" w:type="dxa"/>
            <w:shd w:val="clear" w:color="auto" w:fill="auto"/>
            <w:noWrap/>
            <w:vAlign w:val="center"/>
            <w:hideMark/>
          </w:tcPr>
          <w:p w14:paraId="2AD3735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83.94</w:t>
            </w:r>
          </w:p>
        </w:tc>
        <w:tc>
          <w:tcPr>
            <w:tcW w:w="791" w:type="dxa"/>
            <w:shd w:val="clear" w:color="auto" w:fill="auto"/>
            <w:noWrap/>
            <w:vAlign w:val="center"/>
            <w:hideMark/>
          </w:tcPr>
          <w:p w14:paraId="0CFB9C42"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87.40</w:t>
            </w:r>
          </w:p>
        </w:tc>
        <w:tc>
          <w:tcPr>
            <w:tcW w:w="791" w:type="dxa"/>
            <w:shd w:val="clear" w:color="auto" w:fill="auto"/>
            <w:noWrap/>
            <w:vAlign w:val="center"/>
            <w:hideMark/>
          </w:tcPr>
          <w:p w14:paraId="2BA63B7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90.72</w:t>
            </w:r>
          </w:p>
        </w:tc>
        <w:tc>
          <w:tcPr>
            <w:tcW w:w="791" w:type="dxa"/>
            <w:shd w:val="clear" w:color="auto" w:fill="auto"/>
            <w:noWrap/>
            <w:vAlign w:val="center"/>
            <w:hideMark/>
          </w:tcPr>
          <w:p w14:paraId="2342F8A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94.37</w:t>
            </w:r>
          </w:p>
        </w:tc>
        <w:tc>
          <w:tcPr>
            <w:tcW w:w="791" w:type="dxa"/>
            <w:shd w:val="clear" w:color="auto" w:fill="auto"/>
            <w:noWrap/>
            <w:vAlign w:val="center"/>
            <w:hideMark/>
          </w:tcPr>
          <w:p w14:paraId="5B49E4A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96.94</w:t>
            </w:r>
          </w:p>
        </w:tc>
        <w:tc>
          <w:tcPr>
            <w:tcW w:w="791" w:type="dxa"/>
            <w:shd w:val="clear" w:color="auto" w:fill="auto"/>
            <w:noWrap/>
            <w:vAlign w:val="center"/>
            <w:hideMark/>
          </w:tcPr>
          <w:p w14:paraId="3CD5A72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99.67</w:t>
            </w:r>
          </w:p>
        </w:tc>
        <w:tc>
          <w:tcPr>
            <w:tcW w:w="791" w:type="dxa"/>
            <w:shd w:val="clear" w:color="auto" w:fill="auto"/>
            <w:noWrap/>
            <w:vAlign w:val="center"/>
            <w:hideMark/>
          </w:tcPr>
          <w:p w14:paraId="6B7B07E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105.69</w:t>
            </w:r>
          </w:p>
        </w:tc>
        <w:tc>
          <w:tcPr>
            <w:tcW w:w="791" w:type="dxa"/>
            <w:tcBorders>
              <w:right w:val="nil"/>
            </w:tcBorders>
            <w:shd w:val="clear" w:color="auto" w:fill="auto"/>
            <w:noWrap/>
            <w:vAlign w:val="center"/>
            <w:hideMark/>
          </w:tcPr>
          <w:p w14:paraId="69EBA06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110.87</w:t>
            </w:r>
          </w:p>
        </w:tc>
      </w:tr>
      <w:tr w:rsidR="00881FBB" w:rsidRPr="0084045A" w14:paraId="116617FD" w14:textId="77777777" w:rsidTr="00512905">
        <w:trPr>
          <w:trHeight w:hRule="exact" w:val="284"/>
        </w:trPr>
        <w:tc>
          <w:tcPr>
            <w:tcW w:w="1915" w:type="dxa"/>
            <w:tcBorders>
              <w:left w:val="nil"/>
            </w:tcBorders>
            <w:shd w:val="clear" w:color="auto" w:fill="auto"/>
            <w:noWrap/>
            <w:vAlign w:val="center"/>
            <w:hideMark/>
          </w:tcPr>
          <w:p w14:paraId="2BDA1B06" w14:textId="56431E8A"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Paracetamol</w:t>
            </w:r>
          </w:p>
        </w:tc>
        <w:tc>
          <w:tcPr>
            <w:tcW w:w="791" w:type="dxa"/>
            <w:shd w:val="clear" w:color="auto" w:fill="auto"/>
            <w:noWrap/>
            <w:vAlign w:val="center"/>
            <w:hideMark/>
          </w:tcPr>
          <w:p w14:paraId="694B6DE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2.28</w:t>
            </w:r>
          </w:p>
        </w:tc>
        <w:tc>
          <w:tcPr>
            <w:tcW w:w="791" w:type="dxa"/>
            <w:shd w:val="clear" w:color="auto" w:fill="auto"/>
            <w:noWrap/>
            <w:vAlign w:val="center"/>
            <w:hideMark/>
          </w:tcPr>
          <w:p w14:paraId="0DC3FDA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2.36</w:t>
            </w:r>
          </w:p>
        </w:tc>
        <w:tc>
          <w:tcPr>
            <w:tcW w:w="791" w:type="dxa"/>
            <w:shd w:val="clear" w:color="auto" w:fill="auto"/>
            <w:noWrap/>
            <w:vAlign w:val="center"/>
            <w:hideMark/>
          </w:tcPr>
          <w:p w14:paraId="32E6B521"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2.46</w:t>
            </w:r>
          </w:p>
        </w:tc>
        <w:tc>
          <w:tcPr>
            <w:tcW w:w="791" w:type="dxa"/>
            <w:shd w:val="clear" w:color="auto" w:fill="auto"/>
            <w:noWrap/>
            <w:vAlign w:val="center"/>
            <w:hideMark/>
          </w:tcPr>
          <w:p w14:paraId="57BF751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2.55</w:t>
            </w:r>
          </w:p>
        </w:tc>
        <w:tc>
          <w:tcPr>
            <w:tcW w:w="791" w:type="dxa"/>
            <w:shd w:val="clear" w:color="auto" w:fill="auto"/>
            <w:noWrap/>
            <w:vAlign w:val="center"/>
            <w:hideMark/>
          </w:tcPr>
          <w:p w14:paraId="66FB3BA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2.66</w:t>
            </w:r>
          </w:p>
        </w:tc>
        <w:tc>
          <w:tcPr>
            <w:tcW w:w="791" w:type="dxa"/>
            <w:shd w:val="clear" w:color="auto" w:fill="auto"/>
            <w:noWrap/>
            <w:vAlign w:val="center"/>
            <w:hideMark/>
          </w:tcPr>
          <w:p w14:paraId="4F2D83F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2.73</w:t>
            </w:r>
          </w:p>
        </w:tc>
        <w:tc>
          <w:tcPr>
            <w:tcW w:w="791" w:type="dxa"/>
            <w:shd w:val="clear" w:color="auto" w:fill="auto"/>
            <w:noWrap/>
            <w:vAlign w:val="center"/>
            <w:hideMark/>
          </w:tcPr>
          <w:p w14:paraId="202D4B7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2.80</w:t>
            </w:r>
          </w:p>
        </w:tc>
        <w:tc>
          <w:tcPr>
            <w:tcW w:w="791" w:type="dxa"/>
            <w:shd w:val="clear" w:color="auto" w:fill="auto"/>
            <w:noWrap/>
            <w:vAlign w:val="center"/>
            <w:hideMark/>
          </w:tcPr>
          <w:p w14:paraId="04B4E3C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2.97</w:t>
            </w:r>
          </w:p>
        </w:tc>
        <w:tc>
          <w:tcPr>
            <w:tcW w:w="791" w:type="dxa"/>
            <w:tcBorders>
              <w:right w:val="nil"/>
            </w:tcBorders>
            <w:shd w:val="clear" w:color="auto" w:fill="auto"/>
            <w:noWrap/>
            <w:vAlign w:val="center"/>
            <w:hideMark/>
          </w:tcPr>
          <w:p w14:paraId="2A942BE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3.12</w:t>
            </w:r>
          </w:p>
        </w:tc>
      </w:tr>
      <w:tr w:rsidR="00881FBB" w:rsidRPr="0084045A" w14:paraId="2D8539FD" w14:textId="77777777" w:rsidTr="00512905">
        <w:trPr>
          <w:trHeight w:hRule="exact" w:val="284"/>
        </w:trPr>
        <w:tc>
          <w:tcPr>
            <w:tcW w:w="1915" w:type="dxa"/>
            <w:tcBorders>
              <w:left w:val="nil"/>
            </w:tcBorders>
            <w:shd w:val="clear" w:color="auto" w:fill="auto"/>
            <w:noWrap/>
            <w:vAlign w:val="center"/>
            <w:hideMark/>
          </w:tcPr>
          <w:p w14:paraId="14B3062D" w14:textId="67F77B88"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Ceftriaxone</w:t>
            </w:r>
          </w:p>
        </w:tc>
        <w:tc>
          <w:tcPr>
            <w:tcW w:w="791" w:type="dxa"/>
            <w:shd w:val="clear" w:color="auto" w:fill="auto"/>
            <w:noWrap/>
            <w:vAlign w:val="center"/>
            <w:hideMark/>
          </w:tcPr>
          <w:p w14:paraId="3300A7D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7.81</w:t>
            </w:r>
          </w:p>
        </w:tc>
        <w:tc>
          <w:tcPr>
            <w:tcW w:w="791" w:type="dxa"/>
            <w:shd w:val="clear" w:color="auto" w:fill="auto"/>
            <w:noWrap/>
            <w:vAlign w:val="center"/>
            <w:hideMark/>
          </w:tcPr>
          <w:p w14:paraId="3B33C57D"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8.08</w:t>
            </w:r>
          </w:p>
        </w:tc>
        <w:tc>
          <w:tcPr>
            <w:tcW w:w="791" w:type="dxa"/>
            <w:shd w:val="clear" w:color="auto" w:fill="auto"/>
            <w:noWrap/>
            <w:vAlign w:val="center"/>
            <w:hideMark/>
          </w:tcPr>
          <w:p w14:paraId="4C2C12D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8.41</w:t>
            </w:r>
          </w:p>
        </w:tc>
        <w:tc>
          <w:tcPr>
            <w:tcW w:w="791" w:type="dxa"/>
            <w:shd w:val="clear" w:color="auto" w:fill="auto"/>
            <w:noWrap/>
            <w:vAlign w:val="center"/>
            <w:hideMark/>
          </w:tcPr>
          <w:p w14:paraId="51DBB86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8.73</w:t>
            </w:r>
          </w:p>
        </w:tc>
        <w:tc>
          <w:tcPr>
            <w:tcW w:w="791" w:type="dxa"/>
            <w:shd w:val="clear" w:color="auto" w:fill="auto"/>
            <w:noWrap/>
            <w:vAlign w:val="center"/>
            <w:hideMark/>
          </w:tcPr>
          <w:p w14:paraId="753EB37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9.08</w:t>
            </w:r>
          </w:p>
        </w:tc>
        <w:tc>
          <w:tcPr>
            <w:tcW w:w="791" w:type="dxa"/>
            <w:shd w:val="clear" w:color="auto" w:fill="auto"/>
            <w:noWrap/>
            <w:vAlign w:val="center"/>
            <w:hideMark/>
          </w:tcPr>
          <w:p w14:paraId="0176D65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9.33</w:t>
            </w:r>
          </w:p>
        </w:tc>
        <w:tc>
          <w:tcPr>
            <w:tcW w:w="791" w:type="dxa"/>
            <w:shd w:val="clear" w:color="auto" w:fill="auto"/>
            <w:noWrap/>
            <w:vAlign w:val="center"/>
            <w:hideMark/>
          </w:tcPr>
          <w:p w14:paraId="4709647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9.59</w:t>
            </w:r>
          </w:p>
        </w:tc>
        <w:tc>
          <w:tcPr>
            <w:tcW w:w="791" w:type="dxa"/>
            <w:shd w:val="clear" w:color="auto" w:fill="auto"/>
            <w:noWrap/>
            <w:vAlign w:val="center"/>
            <w:hideMark/>
          </w:tcPr>
          <w:p w14:paraId="4E5F8D5C"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10.17</w:t>
            </w:r>
          </w:p>
        </w:tc>
        <w:tc>
          <w:tcPr>
            <w:tcW w:w="791" w:type="dxa"/>
            <w:tcBorders>
              <w:right w:val="nil"/>
            </w:tcBorders>
            <w:shd w:val="clear" w:color="auto" w:fill="auto"/>
            <w:noWrap/>
            <w:vAlign w:val="center"/>
            <w:hideMark/>
          </w:tcPr>
          <w:p w14:paraId="42BED1D9"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10.67</w:t>
            </w:r>
          </w:p>
        </w:tc>
      </w:tr>
      <w:tr w:rsidR="00881FBB" w:rsidRPr="0084045A" w14:paraId="45579601" w14:textId="77777777" w:rsidTr="00512905">
        <w:trPr>
          <w:trHeight w:hRule="exact" w:val="284"/>
        </w:trPr>
        <w:tc>
          <w:tcPr>
            <w:tcW w:w="1915" w:type="dxa"/>
            <w:tcBorders>
              <w:left w:val="nil"/>
            </w:tcBorders>
            <w:shd w:val="clear" w:color="auto" w:fill="auto"/>
            <w:noWrap/>
            <w:vAlign w:val="center"/>
            <w:hideMark/>
          </w:tcPr>
          <w:p w14:paraId="6B0E75AD" w14:textId="77777777"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PCR</w:t>
            </w:r>
          </w:p>
        </w:tc>
        <w:tc>
          <w:tcPr>
            <w:tcW w:w="791" w:type="dxa"/>
            <w:shd w:val="clear" w:color="auto" w:fill="auto"/>
            <w:noWrap/>
            <w:vAlign w:val="center"/>
            <w:hideMark/>
          </w:tcPr>
          <w:p w14:paraId="24C554B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1742.95</w:t>
            </w:r>
          </w:p>
        </w:tc>
        <w:tc>
          <w:tcPr>
            <w:tcW w:w="791" w:type="dxa"/>
            <w:shd w:val="clear" w:color="auto" w:fill="auto"/>
            <w:noWrap/>
            <w:vAlign w:val="center"/>
            <w:hideMark/>
          </w:tcPr>
          <w:p w14:paraId="4150262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1802.34</w:t>
            </w:r>
          </w:p>
        </w:tc>
        <w:tc>
          <w:tcPr>
            <w:tcW w:w="791" w:type="dxa"/>
            <w:shd w:val="clear" w:color="auto" w:fill="auto"/>
            <w:noWrap/>
            <w:vAlign w:val="center"/>
            <w:hideMark/>
          </w:tcPr>
          <w:p w14:paraId="3AD59EE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1876.45</w:t>
            </w:r>
          </w:p>
        </w:tc>
        <w:tc>
          <w:tcPr>
            <w:tcW w:w="791" w:type="dxa"/>
            <w:shd w:val="clear" w:color="auto" w:fill="auto"/>
            <w:noWrap/>
            <w:vAlign w:val="center"/>
            <w:hideMark/>
          </w:tcPr>
          <w:p w14:paraId="303E0F3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1947.87</w:t>
            </w:r>
          </w:p>
        </w:tc>
        <w:tc>
          <w:tcPr>
            <w:tcW w:w="791" w:type="dxa"/>
            <w:shd w:val="clear" w:color="auto" w:fill="auto"/>
            <w:noWrap/>
            <w:vAlign w:val="center"/>
            <w:hideMark/>
          </w:tcPr>
          <w:p w14:paraId="57DA57CB"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2026.15</w:t>
            </w:r>
          </w:p>
        </w:tc>
        <w:tc>
          <w:tcPr>
            <w:tcW w:w="791" w:type="dxa"/>
            <w:shd w:val="clear" w:color="auto" w:fill="auto"/>
            <w:noWrap/>
            <w:vAlign w:val="center"/>
            <w:hideMark/>
          </w:tcPr>
          <w:p w14:paraId="6E66E40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2081.27</w:t>
            </w:r>
          </w:p>
        </w:tc>
        <w:tc>
          <w:tcPr>
            <w:tcW w:w="791" w:type="dxa"/>
            <w:shd w:val="clear" w:color="auto" w:fill="auto"/>
            <w:noWrap/>
            <w:vAlign w:val="center"/>
            <w:hideMark/>
          </w:tcPr>
          <w:p w14:paraId="7C46E636"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2140.00</w:t>
            </w:r>
          </w:p>
        </w:tc>
        <w:tc>
          <w:tcPr>
            <w:tcW w:w="791" w:type="dxa"/>
            <w:shd w:val="clear" w:color="auto" w:fill="auto"/>
            <w:noWrap/>
            <w:vAlign w:val="center"/>
            <w:hideMark/>
          </w:tcPr>
          <w:p w14:paraId="46FAA79E"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2269.29</w:t>
            </w:r>
          </w:p>
        </w:tc>
        <w:tc>
          <w:tcPr>
            <w:tcW w:w="791" w:type="dxa"/>
            <w:tcBorders>
              <w:right w:val="nil"/>
            </w:tcBorders>
            <w:shd w:val="clear" w:color="auto" w:fill="auto"/>
            <w:noWrap/>
            <w:vAlign w:val="center"/>
            <w:hideMark/>
          </w:tcPr>
          <w:p w14:paraId="18FD37E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2380.47</w:t>
            </w:r>
          </w:p>
        </w:tc>
      </w:tr>
      <w:tr w:rsidR="00881FBB" w:rsidRPr="0084045A" w14:paraId="1D909FEC" w14:textId="77777777" w:rsidTr="00512905">
        <w:trPr>
          <w:trHeight w:hRule="exact" w:val="284"/>
        </w:trPr>
        <w:tc>
          <w:tcPr>
            <w:tcW w:w="1915" w:type="dxa"/>
            <w:tcBorders>
              <w:left w:val="nil"/>
              <w:bottom w:val="single" w:sz="4" w:space="0" w:color="auto"/>
            </w:tcBorders>
            <w:shd w:val="clear" w:color="auto" w:fill="auto"/>
            <w:noWrap/>
            <w:vAlign w:val="center"/>
            <w:hideMark/>
          </w:tcPr>
          <w:p w14:paraId="4C227775" w14:textId="77777777" w:rsidR="00881FBB" w:rsidRPr="0084045A" w:rsidRDefault="00881FBB" w:rsidP="00E85224">
            <w:pPr>
              <w:spacing w:after="0" w:line="240" w:lineRule="auto"/>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Bacteriologic culture</w:t>
            </w:r>
          </w:p>
        </w:tc>
        <w:tc>
          <w:tcPr>
            <w:tcW w:w="791" w:type="dxa"/>
            <w:tcBorders>
              <w:bottom w:val="single" w:sz="4" w:space="0" w:color="auto"/>
            </w:tcBorders>
            <w:shd w:val="clear" w:color="auto" w:fill="auto"/>
            <w:noWrap/>
            <w:vAlign w:val="center"/>
            <w:hideMark/>
          </w:tcPr>
          <w:p w14:paraId="614DAE33"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147.42</w:t>
            </w:r>
          </w:p>
        </w:tc>
        <w:tc>
          <w:tcPr>
            <w:tcW w:w="791" w:type="dxa"/>
            <w:tcBorders>
              <w:bottom w:val="single" w:sz="4" w:space="0" w:color="auto"/>
            </w:tcBorders>
            <w:shd w:val="clear" w:color="auto" w:fill="auto"/>
            <w:noWrap/>
            <w:vAlign w:val="center"/>
            <w:hideMark/>
          </w:tcPr>
          <w:p w14:paraId="7C20CD8A"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152.44</w:t>
            </w:r>
          </w:p>
        </w:tc>
        <w:tc>
          <w:tcPr>
            <w:tcW w:w="791" w:type="dxa"/>
            <w:tcBorders>
              <w:bottom w:val="single" w:sz="4" w:space="0" w:color="auto"/>
            </w:tcBorders>
            <w:shd w:val="clear" w:color="auto" w:fill="auto"/>
            <w:noWrap/>
            <w:vAlign w:val="center"/>
            <w:hideMark/>
          </w:tcPr>
          <w:p w14:paraId="117A205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158.71</w:t>
            </w:r>
          </w:p>
        </w:tc>
        <w:tc>
          <w:tcPr>
            <w:tcW w:w="791" w:type="dxa"/>
            <w:tcBorders>
              <w:bottom w:val="single" w:sz="4" w:space="0" w:color="auto"/>
            </w:tcBorders>
            <w:shd w:val="clear" w:color="auto" w:fill="auto"/>
            <w:noWrap/>
            <w:vAlign w:val="center"/>
            <w:hideMark/>
          </w:tcPr>
          <w:p w14:paraId="15388C18"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164.75</w:t>
            </w:r>
          </w:p>
        </w:tc>
        <w:tc>
          <w:tcPr>
            <w:tcW w:w="791" w:type="dxa"/>
            <w:tcBorders>
              <w:bottom w:val="single" w:sz="4" w:space="0" w:color="auto"/>
            </w:tcBorders>
            <w:shd w:val="clear" w:color="auto" w:fill="auto"/>
            <w:noWrap/>
            <w:vAlign w:val="center"/>
            <w:hideMark/>
          </w:tcPr>
          <w:p w14:paraId="3563354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171.37</w:t>
            </w:r>
          </w:p>
        </w:tc>
        <w:tc>
          <w:tcPr>
            <w:tcW w:w="791" w:type="dxa"/>
            <w:tcBorders>
              <w:bottom w:val="single" w:sz="4" w:space="0" w:color="auto"/>
            </w:tcBorders>
            <w:shd w:val="clear" w:color="auto" w:fill="auto"/>
            <w:noWrap/>
            <w:vAlign w:val="center"/>
            <w:hideMark/>
          </w:tcPr>
          <w:p w14:paraId="3A00E134"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176.03</w:t>
            </w:r>
          </w:p>
        </w:tc>
        <w:tc>
          <w:tcPr>
            <w:tcW w:w="791" w:type="dxa"/>
            <w:tcBorders>
              <w:bottom w:val="single" w:sz="4" w:space="0" w:color="auto"/>
            </w:tcBorders>
            <w:shd w:val="clear" w:color="auto" w:fill="auto"/>
            <w:noWrap/>
            <w:vAlign w:val="center"/>
            <w:hideMark/>
          </w:tcPr>
          <w:p w14:paraId="4ECC68FF"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181.00</w:t>
            </w:r>
          </w:p>
        </w:tc>
        <w:tc>
          <w:tcPr>
            <w:tcW w:w="791" w:type="dxa"/>
            <w:tcBorders>
              <w:bottom w:val="single" w:sz="4" w:space="0" w:color="auto"/>
            </w:tcBorders>
            <w:shd w:val="clear" w:color="auto" w:fill="auto"/>
            <w:noWrap/>
            <w:vAlign w:val="center"/>
            <w:hideMark/>
          </w:tcPr>
          <w:p w14:paraId="12E4E810"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191.94</w:t>
            </w:r>
          </w:p>
        </w:tc>
        <w:tc>
          <w:tcPr>
            <w:tcW w:w="791" w:type="dxa"/>
            <w:tcBorders>
              <w:bottom w:val="single" w:sz="4" w:space="0" w:color="auto"/>
              <w:right w:val="nil"/>
            </w:tcBorders>
            <w:shd w:val="clear" w:color="auto" w:fill="auto"/>
            <w:noWrap/>
            <w:vAlign w:val="center"/>
            <w:hideMark/>
          </w:tcPr>
          <w:p w14:paraId="72A77717" w14:textId="77777777" w:rsidR="00881FBB" w:rsidRPr="0084045A" w:rsidRDefault="00881FBB" w:rsidP="00E85224">
            <w:pPr>
              <w:spacing w:after="0" w:line="240" w:lineRule="auto"/>
              <w:jc w:val="right"/>
              <w:rPr>
                <w:rFonts w:ascii="Arial" w:eastAsia="Times New Roman" w:hAnsi="Arial" w:cs="Arial"/>
                <w:noProof/>
                <w:color w:val="000000"/>
                <w:sz w:val="16"/>
                <w:szCs w:val="16"/>
                <w:lang w:val="en-GB" w:eastAsia="es-ES"/>
              </w:rPr>
            </w:pPr>
            <w:r w:rsidRPr="0084045A">
              <w:rPr>
                <w:rFonts w:ascii="Arial" w:eastAsia="Times New Roman" w:hAnsi="Arial" w:cs="Arial"/>
                <w:noProof/>
                <w:color w:val="000000"/>
                <w:sz w:val="16"/>
                <w:szCs w:val="16"/>
                <w:lang w:val="en-GB" w:eastAsia="es-ES"/>
              </w:rPr>
              <w:t>201.34</w:t>
            </w:r>
          </w:p>
        </w:tc>
      </w:tr>
    </w:tbl>
    <w:p w14:paraId="5053F03C" w14:textId="26322DC8" w:rsidR="00881FBB" w:rsidRPr="0084045A" w:rsidRDefault="00A0608B" w:rsidP="00E85224">
      <w:pPr>
        <w:spacing w:after="0" w:line="240" w:lineRule="auto"/>
        <w:jc w:val="both"/>
        <w:rPr>
          <w:rFonts w:ascii="Arial" w:hAnsi="Arial" w:cs="Arial"/>
          <w:noProof/>
          <w:color w:val="000000" w:themeColor="text1"/>
          <w:sz w:val="16"/>
          <w:szCs w:val="16"/>
          <w:lang w:val="en-GB"/>
        </w:rPr>
      </w:pPr>
      <w:r w:rsidRPr="0084045A">
        <w:rPr>
          <w:rFonts w:ascii="Arial" w:hAnsi="Arial" w:cs="Arial"/>
          <w:noProof/>
          <w:color w:val="000000" w:themeColor="text1"/>
          <w:sz w:val="16"/>
          <w:szCs w:val="16"/>
          <w:lang w:val="en-GB"/>
        </w:rPr>
        <w:t>Data adjusted using Mexico’s National Consumer Price Index (INPC)</w:t>
      </w:r>
    </w:p>
    <w:p w14:paraId="3F33FCEC" w14:textId="1C4B03B9" w:rsidR="00881FBB" w:rsidRPr="00096BA7" w:rsidRDefault="00BA4518" w:rsidP="00E85224">
      <w:pPr>
        <w:spacing w:after="0" w:line="240" w:lineRule="auto"/>
        <w:jc w:val="both"/>
        <w:rPr>
          <w:rFonts w:ascii="Arial" w:hAnsi="Arial" w:cs="Arial"/>
          <w:noProof/>
          <w:color w:val="000000" w:themeColor="text1"/>
        </w:rPr>
      </w:pPr>
      <w:r w:rsidRPr="00096BA7">
        <w:rPr>
          <w:rFonts w:ascii="Arial" w:hAnsi="Arial" w:cs="Arial"/>
          <w:noProof/>
          <w:color w:val="000000" w:themeColor="text1"/>
          <w:sz w:val="16"/>
          <w:szCs w:val="16"/>
        </w:rPr>
        <w:t xml:space="preserve">Abbreviations: </w:t>
      </w:r>
      <w:r w:rsidR="001516F6" w:rsidRPr="00096BA7">
        <w:rPr>
          <w:rFonts w:ascii="Arial" w:hAnsi="Arial" w:cs="Arial"/>
          <w:noProof/>
          <w:color w:val="000000" w:themeColor="text1"/>
          <w:sz w:val="16"/>
          <w:szCs w:val="16"/>
        </w:rPr>
        <w:t>IMSS</w:t>
      </w:r>
      <w:r w:rsidRPr="00096BA7">
        <w:rPr>
          <w:rFonts w:ascii="Arial" w:hAnsi="Arial" w:cs="Arial"/>
          <w:noProof/>
          <w:color w:val="000000" w:themeColor="text1"/>
          <w:sz w:val="16"/>
          <w:szCs w:val="16"/>
        </w:rPr>
        <w:t>, Instituto Mexicano del Seguro Social (Mexican Social Security Institute); ISSSTE, Instituto de Seguridad y Servicios Sociales para los Trabajadores del Estado (Institute for Social Security and Services for State Workers); ER, emergency room; PCR, polymerase chain reaction</w:t>
      </w:r>
    </w:p>
    <w:p w14:paraId="41F13B4E" w14:textId="77777777" w:rsidR="00621F64" w:rsidRPr="00096BA7" w:rsidRDefault="00621F64" w:rsidP="00E85224">
      <w:pPr>
        <w:spacing w:after="0" w:line="240" w:lineRule="auto"/>
        <w:jc w:val="both"/>
        <w:rPr>
          <w:rFonts w:ascii="Arial" w:hAnsi="Arial" w:cs="Arial"/>
          <w:noProof/>
          <w:color w:val="000000" w:themeColor="text1"/>
        </w:rPr>
      </w:pPr>
    </w:p>
    <w:p w14:paraId="487ABC61" w14:textId="77777777" w:rsidR="00881FBB" w:rsidRPr="00096BA7" w:rsidRDefault="00881FBB" w:rsidP="00E85224">
      <w:pPr>
        <w:spacing w:after="0" w:line="240" w:lineRule="auto"/>
        <w:jc w:val="both"/>
        <w:rPr>
          <w:rFonts w:ascii="Arial" w:hAnsi="Arial" w:cs="Arial"/>
          <w:noProof/>
          <w:color w:val="000000" w:themeColor="text1"/>
        </w:rPr>
      </w:pPr>
    </w:p>
    <w:p w14:paraId="5176C8F9" w14:textId="77777777" w:rsidR="00F06F10" w:rsidRPr="00096BA7" w:rsidRDefault="00F06F10" w:rsidP="00512905">
      <w:pPr>
        <w:pStyle w:val="Ttulo2"/>
        <w:rPr>
          <w:rFonts w:cs="Arial"/>
          <w:noProof/>
          <w:color w:val="000000" w:themeColor="text1"/>
        </w:rPr>
        <w:sectPr w:rsidR="00F06F10" w:rsidRPr="00096BA7" w:rsidSect="00645F53">
          <w:headerReference w:type="even" r:id="rId12"/>
          <w:headerReference w:type="default" r:id="rId13"/>
          <w:footerReference w:type="default" r:id="rId14"/>
          <w:headerReference w:type="first" r:id="rId15"/>
          <w:pgSz w:w="12240" w:h="15840"/>
          <w:pgMar w:top="1417" w:right="1701" w:bottom="1417" w:left="1701" w:header="708" w:footer="708" w:gutter="0"/>
          <w:cols w:space="708"/>
          <w:docGrid w:linePitch="360"/>
        </w:sectPr>
      </w:pPr>
    </w:p>
    <w:p w14:paraId="2799BC7E" w14:textId="5F68C1F2" w:rsidR="00881FBB" w:rsidRPr="0084045A" w:rsidRDefault="00881FBB" w:rsidP="00512905">
      <w:pPr>
        <w:pStyle w:val="Ttulo2"/>
        <w:rPr>
          <w:noProof/>
          <w:lang w:val="en-GB"/>
        </w:rPr>
      </w:pPr>
      <w:r w:rsidRPr="0084045A">
        <w:rPr>
          <w:noProof/>
          <w:lang w:val="en-GB"/>
        </w:rPr>
        <w:lastRenderedPageBreak/>
        <w:t xml:space="preserve">Table </w:t>
      </w:r>
      <w:r w:rsidR="00505A0C" w:rsidRPr="0084045A">
        <w:rPr>
          <w:noProof/>
          <w:lang w:val="en-GB"/>
        </w:rPr>
        <w:t>S</w:t>
      </w:r>
      <w:r w:rsidR="00EF2803" w:rsidRPr="0084045A">
        <w:rPr>
          <w:noProof/>
          <w:lang w:val="en-GB"/>
        </w:rPr>
        <w:t>3</w:t>
      </w:r>
      <w:r w:rsidR="00505A0C" w:rsidRPr="0084045A">
        <w:rPr>
          <w:noProof/>
          <w:lang w:val="en-GB"/>
        </w:rPr>
        <w:t>.</w:t>
      </w:r>
      <w:r w:rsidR="00EE72A9" w:rsidRPr="0084045A">
        <w:rPr>
          <w:noProof/>
          <w:lang w:val="en-GB"/>
        </w:rPr>
        <w:t>3</w:t>
      </w:r>
      <w:r w:rsidRPr="0084045A">
        <w:rPr>
          <w:noProof/>
          <w:lang w:val="en-GB"/>
        </w:rPr>
        <w:t xml:space="preserve">. Affiliated population by </w:t>
      </w:r>
      <w:r w:rsidR="00505A0C" w:rsidRPr="0084045A">
        <w:rPr>
          <w:noProof/>
          <w:lang w:val="en-GB"/>
        </w:rPr>
        <w:t>public health provider</w:t>
      </w:r>
      <w:r w:rsidRPr="0084045A">
        <w:rPr>
          <w:noProof/>
          <w:lang w:val="en-GB"/>
        </w:rPr>
        <w:t xml:space="preserve"> and season</w:t>
      </w:r>
    </w:p>
    <w:p w14:paraId="4FE0ECCA" w14:textId="77777777" w:rsidR="00881FBB" w:rsidRPr="0084045A" w:rsidRDefault="00881FBB" w:rsidP="00E85224">
      <w:pPr>
        <w:spacing w:after="0" w:line="240" w:lineRule="auto"/>
        <w:jc w:val="both"/>
        <w:rPr>
          <w:rFonts w:ascii="Arial" w:hAnsi="Arial" w:cs="Arial"/>
          <w:noProof/>
          <w:color w:val="000000" w:themeColor="text1"/>
          <w:lang w:val="en-GB"/>
        </w:rPr>
      </w:pPr>
    </w:p>
    <w:tbl>
      <w:tblPr>
        <w:tblW w:w="704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445"/>
        <w:gridCol w:w="1865"/>
        <w:gridCol w:w="1865"/>
        <w:gridCol w:w="1865"/>
      </w:tblGrid>
      <w:tr w:rsidR="00881FBB" w:rsidRPr="0084045A" w14:paraId="606E3524" w14:textId="77777777" w:rsidTr="00512905">
        <w:trPr>
          <w:trHeight w:val="421"/>
        </w:trPr>
        <w:tc>
          <w:tcPr>
            <w:tcW w:w="1445" w:type="dxa"/>
            <w:tcBorders>
              <w:bottom w:val="single" w:sz="4" w:space="0" w:color="auto"/>
            </w:tcBorders>
            <w:shd w:val="clear" w:color="auto" w:fill="auto"/>
            <w:noWrap/>
            <w:vAlign w:val="center"/>
            <w:hideMark/>
          </w:tcPr>
          <w:p w14:paraId="02E8D202" w14:textId="77777777" w:rsidR="00881FBB" w:rsidRPr="0084045A" w:rsidRDefault="00881FBB">
            <w:pPr>
              <w:spacing w:after="0" w:line="240" w:lineRule="auto"/>
              <w:jc w:val="center"/>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Season</w:t>
            </w:r>
          </w:p>
        </w:tc>
        <w:tc>
          <w:tcPr>
            <w:tcW w:w="1865" w:type="dxa"/>
            <w:tcBorders>
              <w:bottom w:val="single" w:sz="4" w:space="0" w:color="auto"/>
            </w:tcBorders>
            <w:shd w:val="clear" w:color="auto" w:fill="auto"/>
            <w:noWrap/>
            <w:vAlign w:val="center"/>
            <w:hideMark/>
          </w:tcPr>
          <w:p w14:paraId="38CD5B49" w14:textId="103651B8" w:rsidR="00881FBB" w:rsidRPr="0084045A" w:rsidRDefault="00881FBB" w:rsidP="00512905">
            <w:pPr>
              <w:spacing w:after="0" w:line="240" w:lineRule="auto"/>
              <w:jc w:val="center"/>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IMSS</w:t>
            </w:r>
            <w:r w:rsidR="00F06F10" w:rsidRPr="0084045A">
              <w:rPr>
                <w:rFonts w:ascii="Arial" w:eastAsia="Times New Roman" w:hAnsi="Arial" w:cs="Arial"/>
                <w:b/>
                <w:bCs/>
                <w:noProof/>
                <w:color w:val="000000"/>
                <w:vertAlign w:val="superscript"/>
                <w:lang w:val="en-GB" w:eastAsia="es-ES"/>
              </w:rPr>
              <w:t>a</w:t>
            </w:r>
          </w:p>
        </w:tc>
        <w:tc>
          <w:tcPr>
            <w:tcW w:w="1865" w:type="dxa"/>
            <w:tcBorders>
              <w:bottom w:val="single" w:sz="4" w:space="0" w:color="auto"/>
            </w:tcBorders>
            <w:shd w:val="clear" w:color="auto" w:fill="auto"/>
            <w:noWrap/>
            <w:vAlign w:val="center"/>
            <w:hideMark/>
          </w:tcPr>
          <w:p w14:paraId="3933E114" w14:textId="0EE9C442" w:rsidR="00881FBB" w:rsidRPr="0084045A" w:rsidRDefault="00881FBB" w:rsidP="00512905">
            <w:pPr>
              <w:spacing w:after="0" w:line="240" w:lineRule="auto"/>
              <w:jc w:val="center"/>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ISSSTE</w:t>
            </w:r>
            <w:r w:rsidR="00F06F10" w:rsidRPr="0084045A">
              <w:rPr>
                <w:rFonts w:ascii="Arial" w:eastAsia="Times New Roman" w:hAnsi="Arial" w:cs="Arial"/>
                <w:b/>
                <w:bCs/>
                <w:noProof/>
                <w:color w:val="000000"/>
                <w:vertAlign w:val="superscript"/>
                <w:lang w:val="en-GB" w:eastAsia="es-ES"/>
              </w:rPr>
              <w:t>b</w:t>
            </w:r>
          </w:p>
        </w:tc>
        <w:tc>
          <w:tcPr>
            <w:tcW w:w="1865" w:type="dxa"/>
            <w:tcBorders>
              <w:bottom w:val="single" w:sz="4" w:space="0" w:color="auto"/>
            </w:tcBorders>
            <w:shd w:val="clear" w:color="auto" w:fill="auto"/>
            <w:noWrap/>
            <w:vAlign w:val="center"/>
            <w:hideMark/>
          </w:tcPr>
          <w:p w14:paraId="164E99C7" w14:textId="391AC53C" w:rsidR="00881FBB" w:rsidRPr="0084045A" w:rsidRDefault="00505A0C" w:rsidP="00512905">
            <w:pPr>
              <w:spacing w:after="0" w:line="240" w:lineRule="auto"/>
              <w:jc w:val="center"/>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MoH</w:t>
            </w:r>
            <w:r w:rsidR="00F06F10" w:rsidRPr="0084045A">
              <w:rPr>
                <w:rFonts w:ascii="Arial" w:eastAsia="Times New Roman" w:hAnsi="Arial" w:cs="Arial"/>
                <w:b/>
                <w:bCs/>
                <w:noProof/>
                <w:color w:val="000000"/>
                <w:vertAlign w:val="superscript"/>
                <w:lang w:val="en-GB" w:eastAsia="es-ES"/>
              </w:rPr>
              <w:t>c</w:t>
            </w:r>
          </w:p>
        </w:tc>
      </w:tr>
      <w:tr w:rsidR="00881FBB" w:rsidRPr="0084045A" w14:paraId="30BBD258" w14:textId="77777777" w:rsidTr="00AD1583">
        <w:trPr>
          <w:trHeight w:val="421"/>
        </w:trPr>
        <w:tc>
          <w:tcPr>
            <w:tcW w:w="1445" w:type="dxa"/>
            <w:tcBorders>
              <w:bottom w:val="nil"/>
              <w:right w:val="nil"/>
            </w:tcBorders>
            <w:shd w:val="clear" w:color="auto" w:fill="auto"/>
            <w:noWrap/>
            <w:vAlign w:val="center"/>
            <w:hideMark/>
          </w:tcPr>
          <w:p w14:paraId="7EF99BB6" w14:textId="4BBEE1F1"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2009</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2010</w:t>
            </w:r>
          </w:p>
        </w:tc>
        <w:tc>
          <w:tcPr>
            <w:tcW w:w="1865" w:type="dxa"/>
            <w:tcBorders>
              <w:left w:val="nil"/>
              <w:bottom w:val="nil"/>
              <w:right w:val="nil"/>
            </w:tcBorders>
            <w:shd w:val="clear" w:color="auto" w:fill="auto"/>
            <w:noWrap/>
            <w:vAlign w:val="center"/>
            <w:hideMark/>
          </w:tcPr>
          <w:p w14:paraId="48D79C10"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50,722,198</w:t>
            </w:r>
          </w:p>
        </w:tc>
        <w:tc>
          <w:tcPr>
            <w:tcW w:w="1865" w:type="dxa"/>
            <w:tcBorders>
              <w:left w:val="nil"/>
              <w:bottom w:val="nil"/>
              <w:right w:val="nil"/>
            </w:tcBorders>
            <w:shd w:val="clear" w:color="auto" w:fill="auto"/>
            <w:noWrap/>
            <w:vAlign w:val="center"/>
            <w:hideMark/>
          </w:tcPr>
          <w:p w14:paraId="128AF0E6"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11,791,419</w:t>
            </w:r>
          </w:p>
        </w:tc>
        <w:tc>
          <w:tcPr>
            <w:tcW w:w="1865" w:type="dxa"/>
            <w:tcBorders>
              <w:left w:val="nil"/>
              <w:bottom w:val="nil"/>
            </w:tcBorders>
            <w:shd w:val="clear" w:color="auto" w:fill="auto"/>
            <w:noWrap/>
            <w:vAlign w:val="center"/>
            <w:hideMark/>
          </w:tcPr>
          <w:p w14:paraId="77486E49"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37,325,834</w:t>
            </w:r>
          </w:p>
        </w:tc>
      </w:tr>
      <w:tr w:rsidR="00881FBB" w:rsidRPr="0084045A" w14:paraId="5D782B17" w14:textId="77777777" w:rsidTr="00AD1583">
        <w:trPr>
          <w:trHeight w:val="421"/>
        </w:trPr>
        <w:tc>
          <w:tcPr>
            <w:tcW w:w="1445" w:type="dxa"/>
            <w:tcBorders>
              <w:top w:val="nil"/>
              <w:bottom w:val="nil"/>
              <w:right w:val="nil"/>
            </w:tcBorders>
            <w:shd w:val="clear" w:color="auto" w:fill="auto"/>
            <w:noWrap/>
            <w:vAlign w:val="center"/>
            <w:hideMark/>
          </w:tcPr>
          <w:p w14:paraId="30813C22" w14:textId="74EEB3AD"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2010</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2011</w:t>
            </w:r>
          </w:p>
        </w:tc>
        <w:tc>
          <w:tcPr>
            <w:tcW w:w="1865" w:type="dxa"/>
            <w:tcBorders>
              <w:top w:val="nil"/>
              <w:left w:val="nil"/>
              <w:bottom w:val="nil"/>
              <w:right w:val="nil"/>
            </w:tcBorders>
            <w:shd w:val="clear" w:color="auto" w:fill="auto"/>
            <w:noWrap/>
            <w:vAlign w:val="center"/>
            <w:hideMark/>
          </w:tcPr>
          <w:p w14:paraId="68ECA6BC"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53,608,241</w:t>
            </w:r>
          </w:p>
        </w:tc>
        <w:tc>
          <w:tcPr>
            <w:tcW w:w="1865" w:type="dxa"/>
            <w:tcBorders>
              <w:top w:val="nil"/>
              <w:left w:val="nil"/>
              <w:bottom w:val="nil"/>
              <w:right w:val="nil"/>
            </w:tcBorders>
            <w:shd w:val="clear" w:color="auto" w:fill="auto"/>
            <w:noWrap/>
            <w:vAlign w:val="center"/>
            <w:hideMark/>
          </w:tcPr>
          <w:p w14:paraId="59C577F3"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12,100,042</w:t>
            </w:r>
          </w:p>
        </w:tc>
        <w:tc>
          <w:tcPr>
            <w:tcW w:w="1865" w:type="dxa"/>
            <w:tcBorders>
              <w:top w:val="nil"/>
              <w:left w:val="nil"/>
              <w:bottom w:val="nil"/>
            </w:tcBorders>
            <w:shd w:val="clear" w:color="auto" w:fill="auto"/>
            <w:noWrap/>
            <w:vAlign w:val="center"/>
            <w:hideMark/>
          </w:tcPr>
          <w:p w14:paraId="07979693"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47,671,017</w:t>
            </w:r>
          </w:p>
        </w:tc>
      </w:tr>
      <w:tr w:rsidR="00881FBB" w:rsidRPr="0084045A" w14:paraId="6FDBC285" w14:textId="77777777" w:rsidTr="00AD1583">
        <w:trPr>
          <w:trHeight w:val="421"/>
        </w:trPr>
        <w:tc>
          <w:tcPr>
            <w:tcW w:w="1445" w:type="dxa"/>
            <w:tcBorders>
              <w:top w:val="nil"/>
              <w:bottom w:val="nil"/>
              <w:right w:val="nil"/>
            </w:tcBorders>
            <w:shd w:val="clear" w:color="auto" w:fill="auto"/>
            <w:noWrap/>
            <w:vAlign w:val="center"/>
            <w:hideMark/>
          </w:tcPr>
          <w:p w14:paraId="6619F934" w14:textId="046FE345"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2011</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2012</w:t>
            </w:r>
          </w:p>
        </w:tc>
        <w:tc>
          <w:tcPr>
            <w:tcW w:w="1865" w:type="dxa"/>
            <w:tcBorders>
              <w:top w:val="nil"/>
              <w:left w:val="nil"/>
              <w:bottom w:val="nil"/>
              <w:right w:val="nil"/>
            </w:tcBorders>
            <w:shd w:val="clear" w:color="auto" w:fill="auto"/>
            <w:noWrap/>
            <w:vAlign w:val="center"/>
            <w:hideMark/>
          </w:tcPr>
          <w:p w14:paraId="0D7A36A8"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56,191,147</w:t>
            </w:r>
          </w:p>
        </w:tc>
        <w:tc>
          <w:tcPr>
            <w:tcW w:w="1865" w:type="dxa"/>
            <w:tcBorders>
              <w:top w:val="nil"/>
              <w:left w:val="nil"/>
              <w:bottom w:val="nil"/>
              <w:right w:val="nil"/>
            </w:tcBorders>
            <w:shd w:val="clear" w:color="auto" w:fill="auto"/>
            <w:noWrap/>
            <w:vAlign w:val="center"/>
            <w:hideMark/>
          </w:tcPr>
          <w:p w14:paraId="248F7AB0"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12,328,170</w:t>
            </w:r>
          </w:p>
        </w:tc>
        <w:tc>
          <w:tcPr>
            <w:tcW w:w="1865" w:type="dxa"/>
            <w:tcBorders>
              <w:top w:val="nil"/>
              <w:left w:val="nil"/>
              <w:bottom w:val="nil"/>
            </w:tcBorders>
            <w:shd w:val="clear" w:color="auto" w:fill="auto"/>
            <w:noWrap/>
            <w:vAlign w:val="center"/>
            <w:hideMark/>
          </w:tcPr>
          <w:p w14:paraId="2F62797F"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52,365,663</w:t>
            </w:r>
          </w:p>
        </w:tc>
      </w:tr>
      <w:tr w:rsidR="00881FBB" w:rsidRPr="0084045A" w14:paraId="43EC8932" w14:textId="77777777" w:rsidTr="00AD1583">
        <w:trPr>
          <w:trHeight w:val="421"/>
        </w:trPr>
        <w:tc>
          <w:tcPr>
            <w:tcW w:w="1445" w:type="dxa"/>
            <w:tcBorders>
              <w:top w:val="nil"/>
              <w:bottom w:val="nil"/>
              <w:right w:val="nil"/>
            </w:tcBorders>
            <w:shd w:val="clear" w:color="auto" w:fill="auto"/>
            <w:noWrap/>
            <w:vAlign w:val="center"/>
            <w:hideMark/>
          </w:tcPr>
          <w:p w14:paraId="5CC249CC" w14:textId="536E8570"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2012</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2013</w:t>
            </w:r>
          </w:p>
        </w:tc>
        <w:tc>
          <w:tcPr>
            <w:tcW w:w="1865" w:type="dxa"/>
            <w:tcBorders>
              <w:top w:val="nil"/>
              <w:left w:val="nil"/>
              <w:bottom w:val="nil"/>
              <w:right w:val="nil"/>
            </w:tcBorders>
            <w:shd w:val="clear" w:color="auto" w:fill="auto"/>
            <w:noWrap/>
            <w:vAlign w:val="center"/>
            <w:hideMark/>
          </w:tcPr>
          <w:p w14:paraId="2495FD17"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58,493,930</w:t>
            </w:r>
          </w:p>
        </w:tc>
        <w:tc>
          <w:tcPr>
            <w:tcW w:w="1865" w:type="dxa"/>
            <w:tcBorders>
              <w:top w:val="nil"/>
              <w:left w:val="nil"/>
              <w:bottom w:val="nil"/>
              <w:right w:val="nil"/>
            </w:tcBorders>
            <w:shd w:val="clear" w:color="auto" w:fill="auto"/>
            <w:noWrap/>
            <w:vAlign w:val="center"/>
            <w:hideMark/>
          </w:tcPr>
          <w:p w14:paraId="291B1700"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12,540,089</w:t>
            </w:r>
          </w:p>
        </w:tc>
        <w:tc>
          <w:tcPr>
            <w:tcW w:w="1865" w:type="dxa"/>
            <w:tcBorders>
              <w:top w:val="nil"/>
              <w:left w:val="nil"/>
              <w:bottom w:val="nil"/>
            </w:tcBorders>
            <w:shd w:val="clear" w:color="auto" w:fill="auto"/>
            <w:noWrap/>
            <w:vAlign w:val="center"/>
            <w:hideMark/>
          </w:tcPr>
          <w:p w14:paraId="0F4E24F5"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54,273,005</w:t>
            </w:r>
          </w:p>
        </w:tc>
      </w:tr>
      <w:tr w:rsidR="00881FBB" w:rsidRPr="0084045A" w14:paraId="0FE8C080" w14:textId="77777777" w:rsidTr="00AD1583">
        <w:trPr>
          <w:trHeight w:val="421"/>
        </w:trPr>
        <w:tc>
          <w:tcPr>
            <w:tcW w:w="1445" w:type="dxa"/>
            <w:tcBorders>
              <w:top w:val="nil"/>
              <w:bottom w:val="nil"/>
              <w:right w:val="nil"/>
            </w:tcBorders>
            <w:shd w:val="clear" w:color="auto" w:fill="auto"/>
            <w:noWrap/>
            <w:vAlign w:val="center"/>
            <w:hideMark/>
          </w:tcPr>
          <w:p w14:paraId="645813DC" w14:textId="5201FC71"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2013</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2014</w:t>
            </w:r>
          </w:p>
        </w:tc>
        <w:tc>
          <w:tcPr>
            <w:tcW w:w="1865" w:type="dxa"/>
            <w:tcBorders>
              <w:top w:val="nil"/>
              <w:left w:val="nil"/>
              <w:bottom w:val="nil"/>
              <w:right w:val="nil"/>
            </w:tcBorders>
            <w:shd w:val="clear" w:color="auto" w:fill="auto"/>
            <w:noWrap/>
            <w:vAlign w:val="center"/>
            <w:hideMark/>
          </w:tcPr>
          <w:p w14:paraId="21FED0D1"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59,499,554</w:t>
            </w:r>
          </w:p>
        </w:tc>
        <w:tc>
          <w:tcPr>
            <w:tcW w:w="1865" w:type="dxa"/>
            <w:tcBorders>
              <w:top w:val="nil"/>
              <w:left w:val="nil"/>
              <w:bottom w:val="nil"/>
              <w:right w:val="nil"/>
            </w:tcBorders>
            <w:shd w:val="clear" w:color="auto" w:fill="auto"/>
            <w:noWrap/>
            <w:vAlign w:val="center"/>
            <w:hideMark/>
          </w:tcPr>
          <w:p w14:paraId="479D98FF"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12,717,193</w:t>
            </w:r>
          </w:p>
        </w:tc>
        <w:tc>
          <w:tcPr>
            <w:tcW w:w="1865" w:type="dxa"/>
            <w:tcBorders>
              <w:top w:val="nil"/>
              <w:left w:val="nil"/>
              <w:bottom w:val="nil"/>
            </w:tcBorders>
            <w:shd w:val="clear" w:color="auto" w:fill="auto"/>
            <w:noWrap/>
            <w:vAlign w:val="center"/>
            <w:hideMark/>
          </w:tcPr>
          <w:p w14:paraId="04035BE3"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56,469,000</w:t>
            </w:r>
          </w:p>
        </w:tc>
      </w:tr>
      <w:tr w:rsidR="00881FBB" w:rsidRPr="0084045A" w14:paraId="0EAF0E0F" w14:textId="77777777" w:rsidTr="00AD1583">
        <w:trPr>
          <w:trHeight w:val="421"/>
        </w:trPr>
        <w:tc>
          <w:tcPr>
            <w:tcW w:w="1445" w:type="dxa"/>
            <w:tcBorders>
              <w:top w:val="nil"/>
              <w:bottom w:val="nil"/>
              <w:right w:val="nil"/>
            </w:tcBorders>
            <w:shd w:val="clear" w:color="auto" w:fill="auto"/>
            <w:noWrap/>
            <w:vAlign w:val="center"/>
            <w:hideMark/>
          </w:tcPr>
          <w:p w14:paraId="6F2DA858" w14:textId="313E6454"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2014</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2015</w:t>
            </w:r>
          </w:p>
        </w:tc>
        <w:tc>
          <w:tcPr>
            <w:tcW w:w="1865" w:type="dxa"/>
            <w:tcBorders>
              <w:top w:val="nil"/>
              <w:left w:val="nil"/>
              <w:bottom w:val="nil"/>
              <w:right w:val="nil"/>
            </w:tcBorders>
            <w:shd w:val="clear" w:color="auto" w:fill="auto"/>
            <w:noWrap/>
            <w:vAlign w:val="center"/>
            <w:hideMark/>
          </w:tcPr>
          <w:p w14:paraId="45A01A80"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60,676,058</w:t>
            </w:r>
          </w:p>
        </w:tc>
        <w:tc>
          <w:tcPr>
            <w:tcW w:w="1865" w:type="dxa"/>
            <w:tcBorders>
              <w:top w:val="nil"/>
              <w:left w:val="nil"/>
              <w:bottom w:val="nil"/>
              <w:right w:val="nil"/>
            </w:tcBorders>
            <w:shd w:val="clear" w:color="auto" w:fill="auto"/>
            <w:noWrap/>
            <w:vAlign w:val="center"/>
            <w:hideMark/>
          </w:tcPr>
          <w:p w14:paraId="2A2574F2"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12,888,774</w:t>
            </w:r>
          </w:p>
        </w:tc>
        <w:tc>
          <w:tcPr>
            <w:tcW w:w="1865" w:type="dxa"/>
            <w:tcBorders>
              <w:top w:val="nil"/>
              <w:left w:val="nil"/>
              <w:bottom w:val="nil"/>
            </w:tcBorders>
            <w:shd w:val="clear" w:color="auto" w:fill="auto"/>
            <w:noWrap/>
            <w:vAlign w:val="center"/>
            <w:hideMark/>
          </w:tcPr>
          <w:p w14:paraId="7A043696"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57,202,811</w:t>
            </w:r>
          </w:p>
        </w:tc>
      </w:tr>
      <w:tr w:rsidR="00881FBB" w:rsidRPr="0084045A" w14:paraId="647C4472" w14:textId="77777777" w:rsidTr="00AD1583">
        <w:trPr>
          <w:trHeight w:val="421"/>
        </w:trPr>
        <w:tc>
          <w:tcPr>
            <w:tcW w:w="1445" w:type="dxa"/>
            <w:tcBorders>
              <w:top w:val="nil"/>
              <w:bottom w:val="nil"/>
              <w:right w:val="nil"/>
            </w:tcBorders>
            <w:shd w:val="clear" w:color="auto" w:fill="auto"/>
            <w:noWrap/>
            <w:vAlign w:val="center"/>
            <w:hideMark/>
          </w:tcPr>
          <w:p w14:paraId="6CBB08C6" w14:textId="419BA5DC"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2015</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2016</w:t>
            </w:r>
          </w:p>
        </w:tc>
        <w:tc>
          <w:tcPr>
            <w:tcW w:w="1865" w:type="dxa"/>
            <w:tcBorders>
              <w:top w:val="nil"/>
              <w:left w:val="nil"/>
              <w:bottom w:val="nil"/>
              <w:right w:val="nil"/>
            </w:tcBorders>
            <w:shd w:val="clear" w:color="auto" w:fill="auto"/>
            <w:noWrap/>
            <w:vAlign w:val="center"/>
            <w:hideMark/>
          </w:tcPr>
          <w:p w14:paraId="5E4C7E07"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62,672,649</w:t>
            </w:r>
          </w:p>
        </w:tc>
        <w:tc>
          <w:tcPr>
            <w:tcW w:w="1865" w:type="dxa"/>
            <w:tcBorders>
              <w:top w:val="nil"/>
              <w:left w:val="nil"/>
              <w:bottom w:val="nil"/>
              <w:right w:val="nil"/>
            </w:tcBorders>
            <w:shd w:val="clear" w:color="auto" w:fill="auto"/>
            <w:noWrap/>
            <w:vAlign w:val="center"/>
            <w:hideMark/>
          </w:tcPr>
          <w:p w14:paraId="378BB42D"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13,043,445</w:t>
            </w:r>
          </w:p>
        </w:tc>
        <w:tc>
          <w:tcPr>
            <w:tcW w:w="1865" w:type="dxa"/>
            <w:tcBorders>
              <w:top w:val="nil"/>
              <w:left w:val="nil"/>
              <w:bottom w:val="nil"/>
            </w:tcBorders>
            <w:shd w:val="clear" w:color="auto" w:fill="auto"/>
            <w:noWrap/>
            <w:vAlign w:val="center"/>
            <w:hideMark/>
          </w:tcPr>
          <w:p w14:paraId="058BEFD4"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56,014,787</w:t>
            </w:r>
          </w:p>
        </w:tc>
      </w:tr>
      <w:tr w:rsidR="00881FBB" w:rsidRPr="0084045A" w14:paraId="63F5CF72" w14:textId="77777777" w:rsidTr="00AD1583">
        <w:trPr>
          <w:trHeight w:val="421"/>
        </w:trPr>
        <w:tc>
          <w:tcPr>
            <w:tcW w:w="1445" w:type="dxa"/>
            <w:tcBorders>
              <w:top w:val="nil"/>
              <w:bottom w:val="nil"/>
              <w:right w:val="nil"/>
            </w:tcBorders>
            <w:shd w:val="clear" w:color="auto" w:fill="auto"/>
            <w:noWrap/>
            <w:vAlign w:val="center"/>
            <w:hideMark/>
          </w:tcPr>
          <w:p w14:paraId="0E5ABE9B" w14:textId="0B36BD5F"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2016</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2017</w:t>
            </w:r>
          </w:p>
        </w:tc>
        <w:tc>
          <w:tcPr>
            <w:tcW w:w="1865" w:type="dxa"/>
            <w:tcBorders>
              <w:top w:val="nil"/>
              <w:left w:val="nil"/>
              <w:bottom w:val="nil"/>
              <w:right w:val="nil"/>
            </w:tcBorders>
            <w:shd w:val="clear" w:color="auto" w:fill="auto"/>
            <w:noWrap/>
            <w:vAlign w:val="center"/>
            <w:hideMark/>
          </w:tcPr>
          <w:p w14:paraId="4A4EF715"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64,783,558</w:t>
            </w:r>
          </w:p>
        </w:tc>
        <w:tc>
          <w:tcPr>
            <w:tcW w:w="1865" w:type="dxa"/>
            <w:tcBorders>
              <w:top w:val="nil"/>
              <w:left w:val="nil"/>
              <w:bottom w:val="nil"/>
              <w:right w:val="nil"/>
            </w:tcBorders>
            <w:shd w:val="clear" w:color="auto" w:fill="auto"/>
            <w:noWrap/>
            <w:vAlign w:val="center"/>
            <w:hideMark/>
          </w:tcPr>
          <w:p w14:paraId="5269B200"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13,184,870</w:t>
            </w:r>
          </w:p>
        </w:tc>
        <w:tc>
          <w:tcPr>
            <w:tcW w:w="1865" w:type="dxa"/>
            <w:tcBorders>
              <w:top w:val="nil"/>
              <w:left w:val="nil"/>
              <w:bottom w:val="nil"/>
            </w:tcBorders>
            <w:shd w:val="clear" w:color="auto" w:fill="auto"/>
            <w:noWrap/>
            <w:vAlign w:val="center"/>
            <w:hideMark/>
          </w:tcPr>
          <w:p w14:paraId="3BDE8DE1"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54,214,570</w:t>
            </w:r>
          </w:p>
        </w:tc>
      </w:tr>
      <w:tr w:rsidR="00881FBB" w:rsidRPr="0084045A" w14:paraId="0F3C2CF1" w14:textId="77777777" w:rsidTr="00AD1583">
        <w:trPr>
          <w:trHeight w:val="421"/>
        </w:trPr>
        <w:tc>
          <w:tcPr>
            <w:tcW w:w="1445" w:type="dxa"/>
            <w:tcBorders>
              <w:top w:val="nil"/>
              <w:right w:val="nil"/>
            </w:tcBorders>
            <w:shd w:val="clear" w:color="auto" w:fill="auto"/>
            <w:noWrap/>
            <w:vAlign w:val="center"/>
            <w:hideMark/>
          </w:tcPr>
          <w:p w14:paraId="68243907" w14:textId="4E0B8DD3"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2017</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2018</w:t>
            </w:r>
          </w:p>
        </w:tc>
        <w:tc>
          <w:tcPr>
            <w:tcW w:w="1865" w:type="dxa"/>
            <w:tcBorders>
              <w:top w:val="nil"/>
              <w:left w:val="nil"/>
              <w:right w:val="nil"/>
            </w:tcBorders>
            <w:shd w:val="clear" w:color="auto" w:fill="auto"/>
            <w:noWrap/>
            <w:vAlign w:val="center"/>
            <w:hideMark/>
          </w:tcPr>
          <w:p w14:paraId="50ACC1F8"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67,122,622</w:t>
            </w:r>
          </w:p>
        </w:tc>
        <w:tc>
          <w:tcPr>
            <w:tcW w:w="1865" w:type="dxa"/>
            <w:tcBorders>
              <w:top w:val="nil"/>
              <w:left w:val="nil"/>
              <w:right w:val="nil"/>
            </w:tcBorders>
            <w:shd w:val="clear" w:color="auto" w:fill="auto"/>
            <w:noWrap/>
            <w:vAlign w:val="center"/>
            <w:hideMark/>
          </w:tcPr>
          <w:p w14:paraId="0E9A2DAD"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13,301,986</w:t>
            </w:r>
          </w:p>
        </w:tc>
        <w:tc>
          <w:tcPr>
            <w:tcW w:w="1865" w:type="dxa"/>
            <w:tcBorders>
              <w:top w:val="nil"/>
              <w:left w:val="nil"/>
            </w:tcBorders>
            <w:shd w:val="clear" w:color="auto" w:fill="auto"/>
            <w:noWrap/>
            <w:vAlign w:val="center"/>
            <w:hideMark/>
          </w:tcPr>
          <w:p w14:paraId="4BD6EC83"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53,502,114</w:t>
            </w:r>
          </w:p>
        </w:tc>
      </w:tr>
    </w:tbl>
    <w:p w14:paraId="66A8D59D" w14:textId="1839FF9B" w:rsidR="00F06F10" w:rsidRPr="0084045A" w:rsidRDefault="00F06F10" w:rsidP="00AD1583">
      <w:pPr>
        <w:spacing w:after="0" w:line="276" w:lineRule="auto"/>
        <w:rPr>
          <w:rFonts w:ascii="Arial" w:hAnsi="Arial" w:cs="Arial"/>
          <w:noProof/>
          <w:color w:val="000000" w:themeColor="text1"/>
          <w:sz w:val="18"/>
          <w:szCs w:val="18"/>
          <w:lang w:val="en-GB"/>
        </w:rPr>
      </w:pPr>
      <w:r w:rsidRPr="0084045A">
        <w:rPr>
          <w:rFonts w:ascii="Arial" w:hAnsi="Arial" w:cs="Arial"/>
          <w:noProof/>
          <w:color w:val="000000" w:themeColor="text1"/>
          <w:sz w:val="18"/>
          <w:szCs w:val="18"/>
          <w:vertAlign w:val="superscript"/>
          <w:lang w:val="en-GB"/>
        </w:rPr>
        <w:t>a</w:t>
      </w:r>
      <w:r w:rsidRPr="0084045A">
        <w:rPr>
          <w:rFonts w:ascii="Arial" w:hAnsi="Arial" w:cs="Arial"/>
          <w:noProof/>
          <w:color w:val="000000" w:themeColor="text1"/>
          <w:sz w:val="18"/>
          <w:szCs w:val="18"/>
          <w:lang w:val="en-GB"/>
        </w:rPr>
        <w:t xml:space="preserve">IMSS: IMSS. Memoria Estadística 2018. [2018 Statistical Report] Available via </w:t>
      </w:r>
      <w:hyperlink r:id="rId16" w:history="1">
        <w:r w:rsidRPr="0084045A">
          <w:rPr>
            <w:rStyle w:val="Hipervnculo"/>
            <w:rFonts w:ascii="Arial" w:hAnsi="Arial" w:cs="Arial"/>
            <w:noProof/>
            <w:sz w:val="18"/>
            <w:szCs w:val="18"/>
            <w:lang w:val="en-GB"/>
          </w:rPr>
          <w:t>http://www.imss.gob.mx/conoce-al-imss/memoria-estadistica-2018</w:t>
        </w:r>
      </w:hyperlink>
    </w:p>
    <w:p w14:paraId="7617E3D0" w14:textId="0C80E6E4" w:rsidR="00F06F10" w:rsidRPr="0084045A" w:rsidRDefault="00F06F10" w:rsidP="00AD1583">
      <w:pPr>
        <w:spacing w:after="0" w:line="276" w:lineRule="auto"/>
        <w:rPr>
          <w:rFonts w:ascii="Arial" w:hAnsi="Arial" w:cs="Arial"/>
          <w:noProof/>
          <w:color w:val="000000" w:themeColor="text1"/>
          <w:sz w:val="18"/>
          <w:szCs w:val="18"/>
          <w:lang w:val="en-GB"/>
        </w:rPr>
      </w:pPr>
      <w:r w:rsidRPr="0084045A">
        <w:rPr>
          <w:rFonts w:ascii="Arial" w:hAnsi="Arial" w:cs="Arial"/>
          <w:noProof/>
          <w:color w:val="000000" w:themeColor="text1"/>
          <w:sz w:val="18"/>
          <w:szCs w:val="18"/>
          <w:vertAlign w:val="superscript"/>
          <w:lang w:val="en-GB"/>
        </w:rPr>
        <w:t>b</w:t>
      </w:r>
      <w:r w:rsidRPr="0084045A">
        <w:rPr>
          <w:rFonts w:ascii="Arial" w:hAnsi="Arial" w:cs="Arial"/>
          <w:noProof/>
          <w:color w:val="000000" w:themeColor="text1"/>
          <w:sz w:val="18"/>
          <w:szCs w:val="18"/>
          <w:lang w:val="en-GB"/>
        </w:rPr>
        <w:t xml:space="preserve">ISSSTE: ISSSTE. Anuario Estadística 2018 [2018 Annual Statistical Report]. Available via </w:t>
      </w:r>
      <w:hyperlink r:id="rId17" w:anchor="cap1" w:history="1">
        <w:r w:rsidRPr="0084045A">
          <w:rPr>
            <w:rStyle w:val="Hipervnculo"/>
            <w:rFonts w:ascii="Arial" w:hAnsi="Arial" w:cs="Arial"/>
            <w:noProof/>
            <w:sz w:val="18"/>
            <w:szCs w:val="18"/>
            <w:lang w:val="en-GB"/>
          </w:rPr>
          <w:t>http://www.issste.gob.mx/datosabiertos/anuarios/anuarios2018.html#cap1</w:t>
        </w:r>
      </w:hyperlink>
    </w:p>
    <w:p w14:paraId="6A8448ED" w14:textId="2946DF31" w:rsidR="00F06F10" w:rsidRPr="00096BA7" w:rsidRDefault="00F06F10" w:rsidP="00AD1583">
      <w:pPr>
        <w:spacing w:after="0" w:line="276" w:lineRule="auto"/>
        <w:rPr>
          <w:rFonts w:ascii="Arial" w:hAnsi="Arial" w:cs="Arial"/>
          <w:noProof/>
          <w:color w:val="000000" w:themeColor="text1"/>
          <w:sz w:val="18"/>
          <w:szCs w:val="18"/>
          <w:lang w:val="fr-FR"/>
        </w:rPr>
      </w:pPr>
      <w:r w:rsidRPr="00096BA7">
        <w:rPr>
          <w:rFonts w:ascii="Arial" w:hAnsi="Arial" w:cs="Arial"/>
          <w:noProof/>
          <w:color w:val="000000" w:themeColor="text1"/>
          <w:sz w:val="18"/>
          <w:szCs w:val="18"/>
          <w:vertAlign w:val="superscript"/>
        </w:rPr>
        <w:t>c</w:t>
      </w:r>
      <w:r w:rsidRPr="00096BA7">
        <w:rPr>
          <w:rFonts w:ascii="Arial" w:hAnsi="Arial" w:cs="Arial"/>
          <w:noProof/>
          <w:color w:val="000000" w:themeColor="text1"/>
          <w:sz w:val="18"/>
          <w:szCs w:val="18"/>
        </w:rPr>
        <w:t xml:space="preserve">Seguro Popular. Seguro Popular. Beneficiarios de Protección Social en Salud de Seguro Popular. </w:t>
      </w:r>
      <w:r w:rsidRPr="0084045A">
        <w:rPr>
          <w:rFonts w:ascii="Arial" w:hAnsi="Arial" w:cs="Arial"/>
          <w:noProof/>
          <w:color w:val="000000" w:themeColor="text1"/>
          <w:sz w:val="18"/>
          <w:szCs w:val="18"/>
          <w:lang w:val="en-GB"/>
        </w:rPr>
        <w:t xml:space="preserve">[Popular insurance. Beneficiaries of Social Protection in Popular Health Insurance.] </w:t>
      </w:r>
      <w:r w:rsidRPr="00096BA7">
        <w:rPr>
          <w:rFonts w:ascii="Arial" w:hAnsi="Arial" w:cs="Arial"/>
          <w:noProof/>
          <w:color w:val="000000" w:themeColor="text1"/>
          <w:sz w:val="18"/>
          <w:szCs w:val="18"/>
          <w:lang w:val="fr-FR"/>
        </w:rPr>
        <w:t xml:space="preserve">Available via </w:t>
      </w:r>
      <w:hyperlink r:id="rId18" w:history="1">
        <w:r w:rsidRPr="00096BA7">
          <w:rPr>
            <w:rStyle w:val="Hipervnculo"/>
            <w:rFonts w:ascii="Arial" w:hAnsi="Arial" w:cs="Arial"/>
            <w:noProof/>
            <w:sz w:val="18"/>
            <w:szCs w:val="18"/>
            <w:lang w:val="fr-FR"/>
          </w:rPr>
          <w:t>https://datos.gob.mx/busca/dataset/beneficiarios-de-proteccion-social-en-salud-de-seguro-popular</w:t>
        </w:r>
      </w:hyperlink>
    </w:p>
    <w:p w14:paraId="3F30C5E8" w14:textId="67EC2CEC" w:rsidR="00A0608B" w:rsidRPr="00096BA7" w:rsidRDefault="00B331C4" w:rsidP="00512905">
      <w:pPr>
        <w:spacing w:after="0" w:line="276" w:lineRule="auto"/>
        <w:jc w:val="both"/>
        <w:rPr>
          <w:rFonts w:ascii="Arial" w:hAnsi="Arial" w:cs="Arial"/>
          <w:noProof/>
          <w:color w:val="000000" w:themeColor="text1"/>
          <w:sz w:val="18"/>
          <w:szCs w:val="18"/>
        </w:rPr>
      </w:pPr>
      <w:r w:rsidRPr="00096BA7">
        <w:rPr>
          <w:rFonts w:ascii="Arial" w:hAnsi="Arial" w:cs="Arial"/>
          <w:noProof/>
          <w:color w:val="000000" w:themeColor="text1"/>
          <w:sz w:val="18"/>
          <w:szCs w:val="18"/>
        </w:rPr>
        <w:t xml:space="preserve">Abbreviations: </w:t>
      </w:r>
      <w:r w:rsidR="001516F6" w:rsidRPr="00096BA7">
        <w:rPr>
          <w:rFonts w:ascii="Arial" w:hAnsi="Arial" w:cs="Arial"/>
          <w:noProof/>
          <w:color w:val="000000" w:themeColor="text1"/>
          <w:sz w:val="18"/>
          <w:szCs w:val="18"/>
        </w:rPr>
        <w:t>IMSS</w:t>
      </w:r>
      <w:r w:rsidRPr="00096BA7">
        <w:rPr>
          <w:rFonts w:ascii="Arial" w:hAnsi="Arial" w:cs="Arial"/>
          <w:noProof/>
          <w:color w:val="000000" w:themeColor="text1"/>
          <w:sz w:val="18"/>
          <w:szCs w:val="18"/>
        </w:rPr>
        <w:t xml:space="preserve">, Instituto Mexicano del Seguro Social (Mexican Social Security Institute); ISSSTE, Instituto de Seguridad y Servicios Sociales para los Trabajadores del Estado (Institute for Social Security and Services for State Workers); </w:t>
      </w:r>
      <w:r w:rsidR="00A0608B" w:rsidRPr="00096BA7">
        <w:rPr>
          <w:rFonts w:ascii="Arial" w:hAnsi="Arial" w:cs="Arial"/>
          <w:noProof/>
          <w:color w:val="000000" w:themeColor="text1"/>
          <w:sz w:val="18"/>
          <w:szCs w:val="18"/>
        </w:rPr>
        <w:t>MoH, Ministry of Health</w:t>
      </w:r>
    </w:p>
    <w:p w14:paraId="1294DABE" w14:textId="77777777" w:rsidR="00881FBB" w:rsidRPr="00096BA7" w:rsidRDefault="00881FBB" w:rsidP="00E85224">
      <w:pPr>
        <w:spacing w:after="0" w:line="240" w:lineRule="auto"/>
        <w:jc w:val="both"/>
        <w:rPr>
          <w:rFonts w:ascii="Arial" w:hAnsi="Arial" w:cs="Arial"/>
          <w:noProof/>
          <w:color w:val="000000" w:themeColor="text1"/>
        </w:rPr>
      </w:pPr>
    </w:p>
    <w:p w14:paraId="73985F8C" w14:textId="77777777" w:rsidR="00881FBB" w:rsidRPr="00096BA7" w:rsidRDefault="00881FBB" w:rsidP="00E85224">
      <w:pPr>
        <w:spacing w:after="0" w:line="240" w:lineRule="auto"/>
        <w:jc w:val="both"/>
        <w:rPr>
          <w:rFonts w:ascii="Arial" w:hAnsi="Arial" w:cs="Arial"/>
          <w:noProof/>
          <w:color w:val="000000" w:themeColor="text1"/>
        </w:rPr>
      </w:pPr>
    </w:p>
    <w:p w14:paraId="0F9CEAEF" w14:textId="77777777" w:rsidR="005A74BE" w:rsidRPr="00096BA7" w:rsidRDefault="005A74BE" w:rsidP="00E85224">
      <w:pPr>
        <w:spacing w:after="0" w:line="240" w:lineRule="auto"/>
        <w:jc w:val="both"/>
        <w:rPr>
          <w:rFonts w:ascii="Arial" w:hAnsi="Arial" w:cs="Arial"/>
          <w:noProof/>
          <w:color w:val="000000" w:themeColor="text1"/>
        </w:rPr>
      </w:pPr>
    </w:p>
    <w:p w14:paraId="0BC50D06" w14:textId="77777777" w:rsidR="004A1075" w:rsidRPr="00096BA7" w:rsidRDefault="004A1075">
      <w:pPr>
        <w:rPr>
          <w:rFonts w:ascii="Arial" w:hAnsi="Arial" w:cs="Arial"/>
          <w:b/>
          <w:noProof/>
          <w:color w:val="000000" w:themeColor="text1"/>
        </w:rPr>
      </w:pPr>
      <w:r w:rsidRPr="00096BA7">
        <w:rPr>
          <w:rFonts w:ascii="Arial" w:hAnsi="Arial" w:cs="Arial"/>
          <w:b/>
          <w:noProof/>
          <w:color w:val="000000" w:themeColor="text1"/>
        </w:rPr>
        <w:br w:type="page"/>
      </w:r>
    </w:p>
    <w:p w14:paraId="4DD740F1" w14:textId="7CCC29FA" w:rsidR="005A74BE" w:rsidRDefault="005A74BE" w:rsidP="00512905">
      <w:pPr>
        <w:pStyle w:val="Ttulo2"/>
        <w:rPr>
          <w:noProof/>
          <w:lang w:val="en-GB"/>
        </w:rPr>
      </w:pPr>
      <w:r w:rsidRPr="0084045A">
        <w:rPr>
          <w:noProof/>
          <w:lang w:val="en-GB"/>
        </w:rPr>
        <w:lastRenderedPageBreak/>
        <w:t>Table S</w:t>
      </w:r>
      <w:r w:rsidR="00EF2803" w:rsidRPr="0084045A">
        <w:rPr>
          <w:noProof/>
          <w:lang w:val="en-GB"/>
        </w:rPr>
        <w:t>3</w:t>
      </w:r>
      <w:r w:rsidRPr="0084045A">
        <w:rPr>
          <w:noProof/>
          <w:lang w:val="en-GB"/>
        </w:rPr>
        <w:t>.</w:t>
      </w:r>
      <w:r w:rsidR="00EE72A9" w:rsidRPr="0084045A">
        <w:rPr>
          <w:noProof/>
          <w:lang w:val="en-GB"/>
        </w:rPr>
        <w:t>4</w:t>
      </w:r>
      <w:r w:rsidRPr="0084045A">
        <w:rPr>
          <w:noProof/>
          <w:lang w:val="en-GB"/>
        </w:rPr>
        <w:t>. Percentage of population by public health provider</w:t>
      </w:r>
      <w:r w:rsidR="00A0608B" w:rsidRPr="0084045A">
        <w:rPr>
          <w:noProof/>
          <w:lang w:val="en-GB"/>
        </w:rPr>
        <w:t xml:space="preserve"> and</w:t>
      </w:r>
      <w:r w:rsidRPr="0084045A">
        <w:rPr>
          <w:noProof/>
          <w:lang w:val="en-GB"/>
        </w:rPr>
        <w:t xml:space="preserve"> per season</w:t>
      </w:r>
    </w:p>
    <w:p w14:paraId="3F736504" w14:textId="52E57954" w:rsidR="00E3671E" w:rsidRPr="00E3671E" w:rsidRDefault="00E3671E" w:rsidP="00E3671E">
      <w:pPr>
        <w:spacing w:after="0" w:line="276" w:lineRule="auto"/>
        <w:rPr>
          <w:rFonts w:ascii="Arial" w:hAnsi="Arial" w:cs="Arial"/>
          <w:noProof/>
          <w:color w:val="000000" w:themeColor="text1"/>
          <w:sz w:val="18"/>
          <w:szCs w:val="18"/>
          <w:lang w:val="en-GB"/>
        </w:rPr>
      </w:pPr>
      <w:r w:rsidRPr="00E3671E">
        <w:rPr>
          <w:rFonts w:ascii="Arial" w:hAnsi="Arial" w:cs="Arial"/>
          <w:noProof/>
          <w:color w:val="000000" w:themeColor="text1"/>
          <w:sz w:val="18"/>
          <w:szCs w:val="18"/>
          <w:lang w:val="en-GB"/>
        </w:rPr>
        <w:t>(based on affiliated population by public health provider)</w:t>
      </w:r>
    </w:p>
    <w:p w14:paraId="33A776F1" w14:textId="77777777" w:rsidR="00881FBB" w:rsidRPr="0084045A" w:rsidRDefault="00881FBB" w:rsidP="00E85224">
      <w:pPr>
        <w:spacing w:after="0" w:line="240" w:lineRule="auto"/>
        <w:jc w:val="both"/>
        <w:rPr>
          <w:rFonts w:ascii="Arial" w:hAnsi="Arial" w:cs="Arial"/>
          <w:noProof/>
          <w:color w:val="000000" w:themeColor="text1"/>
          <w:lang w:val="en-GB"/>
        </w:rPr>
      </w:pPr>
    </w:p>
    <w:tbl>
      <w:tblPr>
        <w:tblW w:w="6528" w:type="dxa"/>
        <w:tblCellMar>
          <w:left w:w="70" w:type="dxa"/>
          <w:right w:w="70" w:type="dxa"/>
        </w:tblCellMar>
        <w:tblLook w:val="04A0" w:firstRow="1" w:lastRow="0" w:firstColumn="1" w:lastColumn="0" w:noHBand="0" w:noVBand="1"/>
      </w:tblPr>
      <w:tblGrid>
        <w:gridCol w:w="1632"/>
        <w:gridCol w:w="1632"/>
        <w:gridCol w:w="1632"/>
        <w:gridCol w:w="1632"/>
      </w:tblGrid>
      <w:tr w:rsidR="00881FBB" w:rsidRPr="0084045A" w14:paraId="6031A3F7" w14:textId="77777777" w:rsidTr="00512905">
        <w:trPr>
          <w:trHeight w:val="414"/>
        </w:trPr>
        <w:tc>
          <w:tcPr>
            <w:tcW w:w="1632" w:type="dxa"/>
            <w:tcBorders>
              <w:top w:val="single" w:sz="4" w:space="0" w:color="auto"/>
              <w:left w:val="nil"/>
              <w:bottom w:val="single" w:sz="4" w:space="0" w:color="auto"/>
              <w:right w:val="nil"/>
            </w:tcBorders>
            <w:shd w:val="clear" w:color="auto" w:fill="auto"/>
            <w:noWrap/>
            <w:vAlign w:val="center"/>
            <w:hideMark/>
          </w:tcPr>
          <w:p w14:paraId="3A8ABC5D" w14:textId="77777777" w:rsidR="00881FBB" w:rsidRPr="0084045A" w:rsidRDefault="00881FBB">
            <w:pPr>
              <w:spacing w:after="0" w:line="240" w:lineRule="auto"/>
              <w:jc w:val="center"/>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Season</w:t>
            </w:r>
          </w:p>
        </w:tc>
        <w:tc>
          <w:tcPr>
            <w:tcW w:w="1632" w:type="dxa"/>
            <w:tcBorders>
              <w:top w:val="single" w:sz="4" w:space="0" w:color="auto"/>
              <w:left w:val="nil"/>
              <w:bottom w:val="single" w:sz="4" w:space="0" w:color="auto"/>
              <w:right w:val="nil"/>
            </w:tcBorders>
            <w:shd w:val="clear" w:color="auto" w:fill="auto"/>
            <w:noWrap/>
            <w:vAlign w:val="center"/>
            <w:hideMark/>
          </w:tcPr>
          <w:p w14:paraId="77691A31" w14:textId="77777777" w:rsidR="00881FBB" w:rsidRPr="0084045A" w:rsidRDefault="00881FBB">
            <w:pPr>
              <w:spacing w:after="0" w:line="240" w:lineRule="auto"/>
              <w:jc w:val="center"/>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IMSS</w:t>
            </w:r>
          </w:p>
        </w:tc>
        <w:tc>
          <w:tcPr>
            <w:tcW w:w="1632" w:type="dxa"/>
            <w:tcBorders>
              <w:top w:val="single" w:sz="4" w:space="0" w:color="auto"/>
              <w:left w:val="nil"/>
              <w:bottom w:val="single" w:sz="4" w:space="0" w:color="auto"/>
              <w:right w:val="nil"/>
            </w:tcBorders>
            <w:shd w:val="clear" w:color="auto" w:fill="auto"/>
            <w:noWrap/>
            <w:vAlign w:val="center"/>
            <w:hideMark/>
          </w:tcPr>
          <w:p w14:paraId="161EC4E9" w14:textId="77777777" w:rsidR="00881FBB" w:rsidRPr="0084045A" w:rsidRDefault="00881FBB">
            <w:pPr>
              <w:spacing w:after="0" w:line="240" w:lineRule="auto"/>
              <w:jc w:val="center"/>
              <w:rPr>
                <w:rFonts w:ascii="Arial" w:eastAsia="Times New Roman" w:hAnsi="Arial" w:cs="Arial"/>
                <w:b/>
                <w:bCs/>
                <w:noProof/>
                <w:color w:val="000000"/>
                <w:lang w:val="en-GB" w:eastAsia="es-ES"/>
              </w:rPr>
            </w:pPr>
            <w:r w:rsidRPr="0084045A">
              <w:rPr>
                <w:rFonts w:ascii="Arial" w:eastAsia="Times New Roman" w:hAnsi="Arial" w:cs="Arial"/>
                <w:b/>
                <w:bCs/>
                <w:noProof/>
                <w:color w:val="000000"/>
                <w:lang w:val="en-GB" w:eastAsia="es-ES"/>
              </w:rPr>
              <w:t>ISSSTE</w:t>
            </w:r>
          </w:p>
        </w:tc>
        <w:tc>
          <w:tcPr>
            <w:tcW w:w="1632" w:type="dxa"/>
            <w:tcBorders>
              <w:top w:val="single" w:sz="4" w:space="0" w:color="auto"/>
              <w:left w:val="nil"/>
              <w:bottom w:val="single" w:sz="4" w:space="0" w:color="auto"/>
              <w:right w:val="nil"/>
            </w:tcBorders>
            <w:shd w:val="clear" w:color="auto" w:fill="auto"/>
            <w:noWrap/>
            <w:vAlign w:val="center"/>
            <w:hideMark/>
          </w:tcPr>
          <w:p w14:paraId="3574E2E8" w14:textId="75509680" w:rsidR="00881FBB" w:rsidRPr="0084045A" w:rsidRDefault="002F66A4">
            <w:pPr>
              <w:spacing w:after="0" w:line="240" w:lineRule="auto"/>
              <w:jc w:val="center"/>
              <w:rPr>
                <w:rFonts w:ascii="Arial" w:eastAsia="Times New Roman" w:hAnsi="Arial" w:cs="Arial"/>
                <w:b/>
                <w:bCs/>
                <w:noProof/>
                <w:color w:val="000000"/>
                <w:lang w:val="en-GB" w:eastAsia="es-ES"/>
              </w:rPr>
            </w:pPr>
            <w:r>
              <w:rPr>
                <w:rFonts w:ascii="Arial" w:eastAsia="Times New Roman" w:hAnsi="Arial" w:cs="Arial"/>
                <w:b/>
                <w:bCs/>
                <w:noProof/>
                <w:color w:val="000000"/>
                <w:lang w:val="en-GB" w:eastAsia="es-ES"/>
              </w:rPr>
              <w:t>MoH</w:t>
            </w:r>
          </w:p>
        </w:tc>
      </w:tr>
      <w:tr w:rsidR="00881FBB" w:rsidRPr="0084045A" w14:paraId="5F37DFDF" w14:textId="77777777" w:rsidTr="00512905">
        <w:trPr>
          <w:trHeight w:val="414"/>
        </w:trPr>
        <w:tc>
          <w:tcPr>
            <w:tcW w:w="1632" w:type="dxa"/>
            <w:tcBorders>
              <w:top w:val="single" w:sz="4" w:space="0" w:color="auto"/>
              <w:left w:val="nil"/>
            </w:tcBorders>
            <w:shd w:val="clear" w:color="auto" w:fill="auto"/>
            <w:noWrap/>
            <w:vAlign w:val="center"/>
            <w:hideMark/>
          </w:tcPr>
          <w:p w14:paraId="6B6C11B8" w14:textId="2B9FB204"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2009</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2010</w:t>
            </w:r>
          </w:p>
        </w:tc>
        <w:tc>
          <w:tcPr>
            <w:tcW w:w="1632" w:type="dxa"/>
            <w:tcBorders>
              <w:top w:val="single" w:sz="4" w:space="0" w:color="auto"/>
            </w:tcBorders>
            <w:shd w:val="clear" w:color="auto" w:fill="auto"/>
            <w:noWrap/>
            <w:vAlign w:val="center"/>
            <w:hideMark/>
          </w:tcPr>
          <w:p w14:paraId="2BF0BBA0"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50.80%</w:t>
            </w:r>
          </w:p>
        </w:tc>
        <w:tc>
          <w:tcPr>
            <w:tcW w:w="1632" w:type="dxa"/>
            <w:tcBorders>
              <w:top w:val="single" w:sz="4" w:space="0" w:color="auto"/>
            </w:tcBorders>
            <w:shd w:val="clear" w:color="auto" w:fill="auto"/>
            <w:noWrap/>
            <w:vAlign w:val="center"/>
            <w:hideMark/>
          </w:tcPr>
          <w:p w14:paraId="4D5AC5A9"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11.81%</w:t>
            </w:r>
          </w:p>
        </w:tc>
        <w:tc>
          <w:tcPr>
            <w:tcW w:w="1632" w:type="dxa"/>
            <w:tcBorders>
              <w:top w:val="single" w:sz="4" w:space="0" w:color="auto"/>
              <w:right w:val="nil"/>
            </w:tcBorders>
            <w:shd w:val="clear" w:color="auto" w:fill="auto"/>
            <w:noWrap/>
            <w:vAlign w:val="center"/>
            <w:hideMark/>
          </w:tcPr>
          <w:p w14:paraId="2E5DCABF"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37.39%</w:t>
            </w:r>
          </w:p>
        </w:tc>
      </w:tr>
      <w:tr w:rsidR="00881FBB" w:rsidRPr="0084045A" w14:paraId="3B871FCA" w14:textId="77777777" w:rsidTr="00512905">
        <w:trPr>
          <w:trHeight w:val="414"/>
        </w:trPr>
        <w:tc>
          <w:tcPr>
            <w:tcW w:w="1632" w:type="dxa"/>
            <w:tcBorders>
              <w:left w:val="nil"/>
            </w:tcBorders>
            <w:shd w:val="clear" w:color="auto" w:fill="auto"/>
            <w:noWrap/>
            <w:vAlign w:val="center"/>
            <w:hideMark/>
          </w:tcPr>
          <w:p w14:paraId="7D9449B8" w14:textId="287D077D"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2010</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2011</w:t>
            </w:r>
          </w:p>
        </w:tc>
        <w:tc>
          <w:tcPr>
            <w:tcW w:w="1632" w:type="dxa"/>
            <w:shd w:val="clear" w:color="auto" w:fill="auto"/>
            <w:noWrap/>
            <w:vAlign w:val="center"/>
            <w:hideMark/>
          </w:tcPr>
          <w:p w14:paraId="3CDD24A2"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47.28%</w:t>
            </w:r>
          </w:p>
        </w:tc>
        <w:tc>
          <w:tcPr>
            <w:tcW w:w="1632" w:type="dxa"/>
            <w:shd w:val="clear" w:color="auto" w:fill="auto"/>
            <w:noWrap/>
            <w:vAlign w:val="center"/>
            <w:hideMark/>
          </w:tcPr>
          <w:p w14:paraId="0AD34062"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10.67%</w:t>
            </w:r>
          </w:p>
        </w:tc>
        <w:tc>
          <w:tcPr>
            <w:tcW w:w="1632" w:type="dxa"/>
            <w:tcBorders>
              <w:right w:val="nil"/>
            </w:tcBorders>
            <w:shd w:val="clear" w:color="auto" w:fill="auto"/>
            <w:noWrap/>
            <w:vAlign w:val="center"/>
            <w:hideMark/>
          </w:tcPr>
          <w:p w14:paraId="6559A7CC"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42.05%</w:t>
            </w:r>
          </w:p>
        </w:tc>
      </w:tr>
      <w:tr w:rsidR="00881FBB" w:rsidRPr="0084045A" w14:paraId="59938A64" w14:textId="77777777" w:rsidTr="00512905">
        <w:trPr>
          <w:trHeight w:val="414"/>
        </w:trPr>
        <w:tc>
          <w:tcPr>
            <w:tcW w:w="1632" w:type="dxa"/>
            <w:tcBorders>
              <w:left w:val="nil"/>
            </w:tcBorders>
            <w:shd w:val="clear" w:color="auto" w:fill="auto"/>
            <w:noWrap/>
            <w:vAlign w:val="center"/>
            <w:hideMark/>
          </w:tcPr>
          <w:p w14:paraId="49DB6AB0" w14:textId="5F951D8D"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2011</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2012</w:t>
            </w:r>
          </w:p>
        </w:tc>
        <w:tc>
          <w:tcPr>
            <w:tcW w:w="1632" w:type="dxa"/>
            <w:shd w:val="clear" w:color="auto" w:fill="auto"/>
            <w:noWrap/>
            <w:vAlign w:val="center"/>
            <w:hideMark/>
          </w:tcPr>
          <w:p w14:paraId="0198C7C5"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46.48%</w:t>
            </w:r>
          </w:p>
        </w:tc>
        <w:tc>
          <w:tcPr>
            <w:tcW w:w="1632" w:type="dxa"/>
            <w:shd w:val="clear" w:color="auto" w:fill="auto"/>
            <w:noWrap/>
            <w:vAlign w:val="center"/>
            <w:hideMark/>
          </w:tcPr>
          <w:p w14:paraId="5D347E45"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10.20%</w:t>
            </w:r>
          </w:p>
        </w:tc>
        <w:tc>
          <w:tcPr>
            <w:tcW w:w="1632" w:type="dxa"/>
            <w:tcBorders>
              <w:right w:val="nil"/>
            </w:tcBorders>
            <w:shd w:val="clear" w:color="auto" w:fill="auto"/>
            <w:noWrap/>
            <w:vAlign w:val="center"/>
            <w:hideMark/>
          </w:tcPr>
          <w:p w14:paraId="41DD15A1"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43.32%</w:t>
            </w:r>
          </w:p>
        </w:tc>
      </w:tr>
      <w:tr w:rsidR="00881FBB" w:rsidRPr="0084045A" w14:paraId="2DE560FE" w14:textId="77777777" w:rsidTr="00512905">
        <w:trPr>
          <w:trHeight w:val="414"/>
        </w:trPr>
        <w:tc>
          <w:tcPr>
            <w:tcW w:w="1632" w:type="dxa"/>
            <w:tcBorders>
              <w:left w:val="nil"/>
            </w:tcBorders>
            <w:shd w:val="clear" w:color="auto" w:fill="auto"/>
            <w:noWrap/>
            <w:vAlign w:val="center"/>
            <w:hideMark/>
          </w:tcPr>
          <w:p w14:paraId="0C31146B" w14:textId="769B8D93"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2012</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2013</w:t>
            </w:r>
          </w:p>
        </w:tc>
        <w:tc>
          <w:tcPr>
            <w:tcW w:w="1632" w:type="dxa"/>
            <w:shd w:val="clear" w:color="auto" w:fill="auto"/>
            <w:noWrap/>
            <w:vAlign w:val="center"/>
            <w:hideMark/>
          </w:tcPr>
          <w:p w14:paraId="51E90A89"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46.68%</w:t>
            </w:r>
          </w:p>
        </w:tc>
        <w:tc>
          <w:tcPr>
            <w:tcW w:w="1632" w:type="dxa"/>
            <w:shd w:val="clear" w:color="auto" w:fill="auto"/>
            <w:noWrap/>
            <w:vAlign w:val="center"/>
            <w:hideMark/>
          </w:tcPr>
          <w:p w14:paraId="7446166A"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10.01%</w:t>
            </w:r>
          </w:p>
        </w:tc>
        <w:tc>
          <w:tcPr>
            <w:tcW w:w="1632" w:type="dxa"/>
            <w:tcBorders>
              <w:right w:val="nil"/>
            </w:tcBorders>
            <w:shd w:val="clear" w:color="auto" w:fill="auto"/>
            <w:noWrap/>
            <w:vAlign w:val="center"/>
            <w:hideMark/>
          </w:tcPr>
          <w:p w14:paraId="3FD6C8E2"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43.31%</w:t>
            </w:r>
          </w:p>
        </w:tc>
      </w:tr>
      <w:tr w:rsidR="00881FBB" w:rsidRPr="0084045A" w14:paraId="29906BE2" w14:textId="77777777" w:rsidTr="00512905">
        <w:trPr>
          <w:trHeight w:val="414"/>
        </w:trPr>
        <w:tc>
          <w:tcPr>
            <w:tcW w:w="1632" w:type="dxa"/>
            <w:tcBorders>
              <w:left w:val="nil"/>
            </w:tcBorders>
            <w:shd w:val="clear" w:color="auto" w:fill="auto"/>
            <w:noWrap/>
            <w:vAlign w:val="center"/>
            <w:hideMark/>
          </w:tcPr>
          <w:p w14:paraId="53C6B069" w14:textId="48933B0F"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2013</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2014</w:t>
            </w:r>
          </w:p>
        </w:tc>
        <w:tc>
          <w:tcPr>
            <w:tcW w:w="1632" w:type="dxa"/>
            <w:shd w:val="clear" w:color="auto" w:fill="auto"/>
            <w:noWrap/>
            <w:vAlign w:val="center"/>
            <w:hideMark/>
          </w:tcPr>
          <w:p w14:paraId="086A9892"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46.24%</w:t>
            </w:r>
          </w:p>
        </w:tc>
        <w:tc>
          <w:tcPr>
            <w:tcW w:w="1632" w:type="dxa"/>
            <w:shd w:val="clear" w:color="auto" w:fill="auto"/>
            <w:noWrap/>
            <w:vAlign w:val="center"/>
            <w:hideMark/>
          </w:tcPr>
          <w:p w14:paraId="7C6BC624"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9.88%</w:t>
            </w:r>
          </w:p>
        </w:tc>
        <w:tc>
          <w:tcPr>
            <w:tcW w:w="1632" w:type="dxa"/>
            <w:tcBorders>
              <w:right w:val="nil"/>
            </w:tcBorders>
            <w:shd w:val="clear" w:color="auto" w:fill="auto"/>
            <w:noWrap/>
            <w:vAlign w:val="center"/>
            <w:hideMark/>
          </w:tcPr>
          <w:p w14:paraId="4D9D609E"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43.88%</w:t>
            </w:r>
          </w:p>
        </w:tc>
      </w:tr>
      <w:tr w:rsidR="00881FBB" w:rsidRPr="0084045A" w14:paraId="15169425" w14:textId="77777777" w:rsidTr="00512905">
        <w:trPr>
          <w:trHeight w:val="414"/>
        </w:trPr>
        <w:tc>
          <w:tcPr>
            <w:tcW w:w="1632" w:type="dxa"/>
            <w:tcBorders>
              <w:left w:val="nil"/>
            </w:tcBorders>
            <w:shd w:val="clear" w:color="auto" w:fill="auto"/>
            <w:noWrap/>
            <w:vAlign w:val="center"/>
            <w:hideMark/>
          </w:tcPr>
          <w:p w14:paraId="248798D1" w14:textId="534D95A0"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2014</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2015</w:t>
            </w:r>
          </w:p>
        </w:tc>
        <w:tc>
          <w:tcPr>
            <w:tcW w:w="1632" w:type="dxa"/>
            <w:shd w:val="clear" w:color="auto" w:fill="auto"/>
            <w:noWrap/>
            <w:vAlign w:val="center"/>
            <w:hideMark/>
          </w:tcPr>
          <w:p w14:paraId="00FE49FE"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46.40%</w:t>
            </w:r>
          </w:p>
        </w:tc>
        <w:tc>
          <w:tcPr>
            <w:tcW w:w="1632" w:type="dxa"/>
            <w:shd w:val="clear" w:color="auto" w:fill="auto"/>
            <w:noWrap/>
            <w:vAlign w:val="center"/>
            <w:hideMark/>
          </w:tcPr>
          <w:p w14:paraId="3669545D"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9.86%</w:t>
            </w:r>
          </w:p>
        </w:tc>
        <w:tc>
          <w:tcPr>
            <w:tcW w:w="1632" w:type="dxa"/>
            <w:tcBorders>
              <w:right w:val="nil"/>
            </w:tcBorders>
            <w:shd w:val="clear" w:color="auto" w:fill="auto"/>
            <w:noWrap/>
            <w:vAlign w:val="center"/>
            <w:hideMark/>
          </w:tcPr>
          <w:p w14:paraId="01D64B62"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43.74%</w:t>
            </w:r>
          </w:p>
        </w:tc>
      </w:tr>
      <w:tr w:rsidR="00881FBB" w:rsidRPr="0084045A" w14:paraId="1A26432D" w14:textId="77777777" w:rsidTr="00512905">
        <w:trPr>
          <w:trHeight w:val="414"/>
        </w:trPr>
        <w:tc>
          <w:tcPr>
            <w:tcW w:w="1632" w:type="dxa"/>
            <w:tcBorders>
              <w:left w:val="nil"/>
            </w:tcBorders>
            <w:shd w:val="clear" w:color="auto" w:fill="auto"/>
            <w:noWrap/>
            <w:vAlign w:val="center"/>
            <w:hideMark/>
          </w:tcPr>
          <w:p w14:paraId="1E3E02FF" w14:textId="6271F988"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2015</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2016</w:t>
            </w:r>
          </w:p>
        </w:tc>
        <w:tc>
          <w:tcPr>
            <w:tcW w:w="1632" w:type="dxa"/>
            <w:shd w:val="clear" w:color="auto" w:fill="auto"/>
            <w:noWrap/>
            <w:vAlign w:val="center"/>
            <w:hideMark/>
          </w:tcPr>
          <w:p w14:paraId="4C05B9EB"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47.58%</w:t>
            </w:r>
          </w:p>
        </w:tc>
        <w:tc>
          <w:tcPr>
            <w:tcW w:w="1632" w:type="dxa"/>
            <w:shd w:val="clear" w:color="auto" w:fill="auto"/>
            <w:noWrap/>
            <w:vAlign w:val="center"/>
            <w:hideMark/>
          </w:tcPr>
          <w:p w14:paraId="12BA3894"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9.90%</w:t>
            </w:r>
          </w:p>
        </w:tc>
        <w:tc>
          <w:tcPr>
            <w:tcW w:w="1632" w:type="dxa"/>
            <w:tcBorders>
              <w:right w:val="nil"/>
            </w:tcBorders>
            <w:shd w:val="clear" w:color="auto" w:fill="auto"/>
            <w:noWrap/>
            <w:vAlign w:val="center"/>
            <w:hideMark/>
          </w:tcPr>
          <w:p w14:paraId="0D192ED4"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42.52%</w:t>
            </w:r>
          </w:p>
        </w:tc>
      </w:tr>
      <w:tr w:rsidR="00881FBB" w:rsidRPr="0084045A" w14:paraId="42BDA9E8" w14:textId="77777777" w:rsidTr="00512905">
        <w:trPr>
          <w:trHeight w:val="414"/>
        </w:trPr>
        <w:tc>
          <w:tcPr>
            <w:tcW w:w="1632" w:type="dxa"/>
            <w:tcBorders>
              <w:left w:val="nil"/>
            </w:tcBorders>
            <w:shd w:val="clear" w:color="auto" w:fill="auto"/>
            <w:noWrap/>
            <w:vAlign w:val="center"/>
            <w:hideMark/>
          </w:tcPr>
          <w:p w14:paraId="48EBC5C0" w14:textId="497ED183"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2016</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2017</w:t>
            </w:r>
          </w:p>
        </w:tc>
        <w:tc>
          <w:tcPr>
            <w:tcW w:w="1632" w:type="dxa"/>
            <w:shd w:val="clear" w:color="auto" w:fill="auto"/>
            <w:noWrap/>
            <w:vAlign w:val="center"/>
            <w:hideMark/>
          </w:tcPr>
          <w:p w14:paraId="180E3DA1"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49.01%</w:t>
            </w:r>
          </w:p>
        </w:tc>
        <w:tc>
          <w:tcPr>
            <w:tcW w:w="1632" w:type="dxa"/>
            <w:shd w:val="clear" w:color="auto" w:fill="auto"/>
            <w:noWrap/>
            <w:vAlign w:val="center"/>
            <w:hideMark/>
          </w:tcPr>
          <w:p w14:paraId="755F0C06"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9.97%</w:t>
            </w:r>
          </w:p>
        </w:tc>
        <w:tc>
          <w:tcPr>
            <w:tcW w:w="1632" w:type="dxa"/>
            <w:tcBorders>
              <w:right w:val="nil"/>
            </w:tcBorders>
            <w:shd w:val="clear" w:color="auto" w:fill="auto"/>
            <w:noWrap/>
            <w:vAlign w:val="center"/>
            <w:hideMark/>
          </w:tcPr>
          <w:p w14:paraId="5A5D2768"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41.01%</w:t>
            </w:r>
          </w:p>
        </w:tc>
      </w:tr>
      <w:tr w:rsidR="00881FBB" w:rsidRPr="0084045A" w14:paraId="0EB96B4F" w14:textId="77777777" w:rsidTr="00512905">
        <w:trPr>
          <w:trHeight w:val="414"/>
        </w:trPr>
        <w:tc>
          <w:tcPr>
            <w:tcW w:w="1632" w:type="dxa"/>
            <w:tcBorders>
              <w:left w:val="nil"/>
              <w:bottom w:val="single" w:sz="4" w:space="0" w:color="auto"/>
            </w:tcBorders>
            <w:shd w:val="clear" w:color="auto" w:fill="auto"/>
            <w:noWrap/>
            <w:vAlign w:val="center"/>
            <w:hideMark/>
          </w:tcPr>
          <w:p w14:paraId="012BFD0E" w14:textId="21387924" w:rsidR="00881FBB" w:rsidRPr="0084045A" w:rsidRDefault="00881FBB">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2017</w:t>
            </w:r>
            <w:r w:rsidR="00B331C4" w:rsidRPr="0084045A">
              <w:rPr>
                <w:rFonts w:ascii="Arial" w:eastAsia="Times New Roman" w:hAnsi="Arial" w:cs="Arial"/>
                <w:noProof/>
                <w:color w:val="000000"/>
                <w:lang w:val="en-GB" w:eastAsia="es-ES"/>
              </w:rPr>
              <w:t>–</w:t>
            </w:r>
            <w:r w:rsidRPr="0084045A">
              <w:rPr>
                <w:rFonts w:ascii="Arial" w:eastAsia="Times New Roman" w:hAnsi="Arial" w:cs="Arial"/>
                <w:noProof/>
                <w:color w:val="000000"/>
                <w:lang w:val="en-GB" w:eastAsia="es-ES"/>
              </w:rPr>
              <w:t>2018</w:t>
            </w:r>
          </w:p>
        </w:tc>
        <w:tc>
          <w:tcPr>
            <w:tcW w:w="1632" w:type="dxa"/>
            <w:tcBorders>
              <w:bottom w:val="single" w:sz="4" w:space="0" w:color="auto"/>
            </w:tcBorders>
            <w:shd w:val="clear" w:color="auto" w:fill="auto"/>
            <w:noWrap/>
            <w:vAlign w:val="center"/>
            <w:hideMark/>
          </w:tcPr>
          <w:p w14:paraId="0F97B86A"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50.12%</w:t>
            </w:r>
          </w:p>
        </w:tc>
        <w:tc>
          <w:tcPr>
            <w:tcW w:w="1632" w:type="dxa"/>
            <w:tcBorders>
              <w:bottom w:val="single" w:sz="4" w:space="0" w:color="auto"/>
            </w:tcBorders>
            <w:shd w:val="clear" w:color="auto" w:fill="auto"/>
            <w:noWrap/>
            <w:vAlign w:val="center"/>
            <w:hideMark/>
          </w:tcPr>
          <w:p w14:paraId="4A8A6212"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9.93%</w:t>
            </w:r>
          </w:p>
        </w:tc>
        <w:tc>
          <w:tcPr>
            <w:tcW w:w="1632" w:type="dxa"/>
            <w:tcBorders>
              <w:bottom w:val="single" w:sz="4" w:space="0" w:color="auto"/>
              <w:right w:val="nil"/>
            </w:tcBorders>
            <w:shd w:val="clear" w:color="auto" w:fill="auto"/>
            <w:noWrap/>
            <w:vAlign w:val="center"/>
            <w:hideMark/>
          </w:tcPr>
          <w:p w14:paraId="39E12E49" w14:textId="77777777" w:rsidR="00881FBB" w:rsidRPr="0084045A" w:rsidRDefault="00881FBB" w:rsidP="00512905">
            <w:pPr>
              <w:spacing w:after="0" w:line="240" w:lineRule="auto"/>
              <w:jc w:val="center"/>
              <w:rPr>
                <w:rFonts w:ascii="Arial" w:eastAsia="Times New Roman" w:hAnsi="Arial" w:cs="Arial"/>
                <w:noProof/>
                <w:color w:val="000000"/>
                <w:lang w:val="en-GB" w:eastAsia="es-ES"/>
              </w:rPr>
            </w:pPr>
            <w:r w:rsidRPr="0084045A">
              <w:rPr>
                <w:rFonts w:ascii="Arial" w:eastAsia="Times New Roman" w:hAnsi="Arial" w:cs="Arial"/>
                <w:noProof/>
                <w:color w:val="000000"/>
                <w:lang w:val="en-GB" w:eastAsia="es-ES"/>
              </w:rPr>
              <w:t>39.95%</w:t>
            </w:r>
          </w:p>
        </w:tc>
      </w:tr>
    </w:tbl>
    <w:p w14:paraId="0CF99EE5" w14:textId="511C9E2A" w:rsidR="00A0608B" w:rsidRPr="00096BA7" w:rsidRDefault="00B331C4" w:rsidP="00512905">
      <w:pPr>
        <w:spacing w:after="0" w:line="276" w:lineRule="auto"/>
        <w:jc w:val="both"/>
        <w:rPr>
          <w:rFonts w:ascii="Arial" w:hAnsi="Arial" w:cs="Arial"/>
          <w:noProof/>
          <w:color w:val="000000" w:themeColor="text1"/>
          <w:sz w:val="18"/>
          <w:szCs w:val="18"/>
        </w:rPr>
      </w:pPr>
      <w:r w:rsidRPr="00096BA7">
        <w:rPr>
          <w:rFonts w:ascii="Arial" w:hAnsi="Arial" w:cs="Arial"/>
          <w:noProof/>
          <w:color w:val="000000" w:themeColor="text1"/>
          <w:sz w:val="18"/>
          <w:szCs w:val="18"/>
        </w:rPr>
        <w:t xml:space="preserve">Abbreviations: </w:t>
      </w:r>
      <w:r w:rsidR="001516F6" w:rsidRPr="00096BA7">
        <w:rPr>
          <w:rFonts w:ascii="Arial" w:hAnsi="Arial" w:cs="Arial"/>
          <w:noProof/>
          <w:color w:val="000000" w:themeColor="text1"/>
          <w:sz w:val="18"/>
          <w:szCs w:val="18"/>
        </w:rPr>
        <w:t>IMSS</w:t>
      </w:r>
      <w:r w:rsidRPr="00096BA7">
        <w:rPr>
          <w:rFonts w:ascii="Arial" w:hAnsi="Arial" w:cs="Arial"/>
          <w:noProof/>
          <w:color w:val="000000" w:themeColor="text1"/>
          <w:sz w:val="18"/>
          <w:szCs w:val="18"/>
        </w:rPr>
        <w:t xml:space="preserve">, Instituto Mexicano del Seguro Social (Mexican Social Security Institute); ISSSTE, Instituto de Seguridad y Servicios Sociales para los Trabajadores del Estado (Institute for Social Security and Services for State Workers); </w:t>
      </w:r>
      <w:r w:rsidR="00A0608B" w:rsidRPr="00096BA7">
        <w:rPr>
          <w:rFonts w:ascii="Arial" w:hAnsi="Arial" w:cs="Arial"/>
          <w:noProof/>
          <w:color w:val="000000" w:themeColor="text1"/>
          <w:sz w:val="18"/>
          <w:szCs w:val="18"/>
        </w:rPr>
        <w:t>MoH, Ministry of Health</w:t>
      </w:r>
    </w:p>
    <w:p w14:paraId="7A565F6E" w14:textId="77777777" w:rsidR="00881FBB" w:rsidRPr="00096BA7" w:rsidRDefault="00881FBB" w:rsidP="00512905">
      <w:pPr>
        <w:spacing w:after="0" w:line="276" w:lineRule="auto"/>
        <w:jc w:val="both"/>
        <w:rPr>
          <w:rFonts w:ascii="Arial" w:hAnsi="Arial" w:cs="Arial"/>
          <w:noProof/>
          <w:color w:val="000000" w:themeColor="text1"/>
          <w:sz w:val="20"/>
          <w:szCs w:val="20"/>
        </w:rPr>
      </w:pPr>
    </w:p>
    <w:p w14:paraId="5E9805D5" w14:textId="77777777" w:rsidR="00881FBB" w:rsidRPr="00096BA7" w:rsidRDefault="00881FBB" w:rsidP="00E85224">
      <w:pPr>
        <w:spacing w:after="0" w:line="240" w:lineRule="auto"/>
        <w:jc w:val="both"/>
        <w:rPr>
          <w:rFonts w:ascii="Arial" w:hAnsi="Arial" w:cs="Arial"/>
          <w:noProof/>
          <w:color w:val="000000" w:themeColor="text1"/>
        </w:rPr>
      </w:pPr>
    </w:p>
    <w:p w14:paraId="11ED9776" w14:textId="77777777" w:rsidR="005A74BE" w:rsidRPr="00096BA7" w:rsidRDefault="005A74BE" w:rsidP="00E85224">
      <w:pPr>
        <w:spacing w:after="0" w:line="240" w:lineRule="auto"/>
        <w:jc w:val="both"/>
        <w:rPr>
          <w:rFonts w:ascii="Arial" w:hAnsi="Arial" w:cs="Arial"/>
          <w:noProof/>
          <w:color w:val="000000" w:themeColor="text1"/>
        </w:rPr>
      </w:pPr>
    </w:p>
    <w:p w14:paraId="411B7067" w14:textId="77777777" w:rsidR="005A74BE" w:rsidRPr="00096BA7" w:rsidRDefault="005A74BE">
      <w:pPr>
        <w:rPr>
          <w:rFonts w:ascii="Arial" w:hAnsi="Arial" w:cs="Arial"/>
          <w:b/>
          <w:noProof/>
          <w:color w:val="000000" w:themeColor="text1"/>
        </w:rPr>
      </w:pPr>
      <w:r w:rsidRPr="00096BA7">
        <w:rPr>
          <w:rFonts w:ascii="Arial" w:hAnsi="Arial" w:cs="Arial"/>
          <w:b/>
          <w:noProof/>
          <w:color w:val="000000" w:themeColor="text1"/>
        </w:rPr>
        <w:br w:type="page"/>
      </w:r>
    </w:p>
    <w:p w14:paraId="3ED1D99D" w14:textId="0F096059" w:rsidR="00E3671E" w:rsidRDefault="00881FBB" w:rsidP="00512905">
      <w:pPr>
        <w:pStyle w:val="Ttulo2"/>
        <w:rPr>
          <w:noProof/>
          <w:lang w:val="en-GB"/>
        </w:rPr>
      </w:pPr>
      <w:r w:rsidRPr="0084045A">
        <w:rPr>
          <w:noProof/>
          <w:lang w:val="en-GB"/>
        </w:rPr>
        <w:lastRenderedPageBreak/>
        <w:t xml:space="preserve">Table </w:t>
      </w:r>
      <w:r w:rsidR="005A74BE" w:rsidRPr="0084045A">
        <w:rPr>
          <w:noProof/>
          <w:lang w:val="en-GB"/>
        </w:rPr>
        <w:t>S</w:t>
      </w:r>
      <w:r w:rsidR="00EF2803" w:rsidRPr="0084045A">
        <w:rPr>
          <w:noProof/>
          <w:lang w:val="en-GB"/>
        </w:rPr>
        <w:t>3</w:t>
      </w:r>
      <w:r w:rsidR="005A74BE" w:rsidRPr="0084045A">
        <w:rPr>
          <w:noProof/>
          <w:lang w:val="en-GB"/>
        </w:rPr>
        <w:t>.</w:t>
      </w:r>
      <w:r w:rsidR="00EE72A9" w:rsidRPr="0084045A">
        <w:rPr>
          <w:noProof/>
          <w:lang w:val="en-GB"/>
        </w:rPr>
        <w:t>5</w:t>
      </w:r>
      <w:r w:rsidRPr="0084045A">
        <w:rPr>
          <w:noProof/>
          <w:lang w:val="en-GB"/>
        </w:rPr>
        <w:t xml:space="preserve">. </w:t>
      </w:r>
      <w:r w:rsidR="00E3671E">
        <w:rPr>
          <w:noProof/>
          <w:lang w:val="en-GB"/>
        </w:rPr>
        <w:t>Average unit cost per season (weighted cost per public health provider)</w:t>
      </w:r>
    </w:p>
    <w:p w14:paraId="6DC7D839" w14:textId="77777777" w:rsidR="00881FBB" w:rsidRPr="0084045A" w:rsidRDefault="00881FBB">
      <w:pPr>
        <w:rPr>
          <w:rFonts w:ascii="Arial" w:hAnsi="Arial" w:cs="Arial"/>
          <w:noProof/>
          <w:sz w:val="24"/>
          <w:szCs w:val="24"/>
          <w:lang w:val="en-GB"/>
        </w:rPr>
      </w:pPr>
    </w:p>
    <w:tbl>
      <w:tblPr>
        <w:tblW w:w="9252" w:type="dxa"/>
        <w:jc w:val="center"/>
        <w:tblCellMar>
          <w:left w:w="70" w:type="dxa"/>
          <w:right w:w="70" w:type="dxa"/>
        </w:tblCellMar>
        <w:tblLook w:val="04A0" w:firstRow="1" w:lastRow="0" w:firstColumn="1" w:lastColumn="0" w:noHBand="0" w:noVBand="1"/>
      </w:tblPr>
      <w:tblGrid>
        <w:gridCol w:w="2074"/>
        <w:gridCol w:w="797"/>
        <w:gridCol w:w="797"/>
        <w:gridCol w:w="797"/>
        <w:gridCol w:w="797"/>
        <w:gridCol w:w="797"/>
        <w:gridCol w:w="797"/>
        <w:gridCol w:w="797"/>
        <w:gridCol w:w="797"/>
        <w:gridCol w:w="802"/>
      </w:tblGrid>
      <w:tr w:rsidR="005A74BE" w:rsidRPr="0084045A" w14:paraId="049D2607" w14:textId="77777777" w:rsidTr="00512905">
        <w:trPr>
          <w:trHeight w:val="320"/>
          <w:jc w:val="center"/>
        </w:trPr>
        <w:tc>
          <w:tcPr>
            <w:tcW w:w="2074" w:type="dxa"/>
            <w:vMerge w:val="restart"/>
            <w:tcBorders>
              <w:top w:val="single" w:sz="4" w:space="0" w:color="auto"/>
              <w:left w:val="nil"/>
              <w:right w:val="nil"/>
            </w:tcBorders>
            <w:shd w:val="clear" w:color="auto" w:fill="auto"/>
            <w:noWrap/>
            <w:vAlign w:val="center"/>
          </w:tcPr>
          <w:p w14:paraId="023F65EB" w14:textId="77777777"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Unit cost</w:t>
            </w:r>
          </w:p>
        </w:tc>
        <w:tc>
          <w:tcPr>
            <w:tcW w:w="7178" w:type="dxa"/>
            <w:gridSpan w:val="9"/>
            <w:tcBorders>
              <w:top w:val="single" w:sz="4" w:space="0" w:color="auto"/>
              <w:left w:val="nil"/>
              <w:bottom w:val="single" w:sz="4" w:space="0" w:color="auto"/>
              <w:right w:val="nil"/>
            </w:tcBorders>
            <w:shd w:val="clear" w:color="auto" w:fill="auto"/>
            <w:noWrap/>
            <w:vAlign w:val="center"/>
          </w:tcPr>
          <w:p w14:paraId="55359B8C" w14:textId="77777777" w:rsidR="005A74BE" w:rsidRPr="0084045A" w:rsidRDefault="005A74BE" w:rsidP="00666F4C">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Season</w:t>
            </w:r>
          </w:p>
        </w:tc>
      </w:tr>
      <w:tr w:rsidR="005A74BE" w:rsidRPr="0084045A" w14:paraId="7193F5E6" w14:textId="77777777" w:rsidTr="00512905">
        <w:trPr>
          <w:trHeight w:val="1521"/>
          <w:jc w:val="center"/>
        </w:trPr>
        <w:tc>
          <w:tcPr>
            <w:tcW w:w="2074" w:type="dxa"/>
            <w:vMerge/>
            <w:tcBorders>
              <w:left w:val="nil"/>
              <w:bottom w:val="single" w:sz="4" w:space="0" w:color="auto"/>
              <w:right w:val="nil"/>
            </w:tcBorders>
            <w:shd w:val="clear" w:color="auto" w:fill="auto"/>
            <w:noWrap/>
            <w:vAlign w:val="center"/>
            <w:hideMark/>
          </w:tcPr>
          <w:p w14:paraId="1BC88EB2" w14:textId="77777777"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p>
        </w:tc>
        <w:tc>
          <w:tcPr>
            <w:tcW w:w="797" w:type="dxa"/>
            <w:tcBorders>
              <w:top w:val="nil"/>
              <w:left w:val="nil"/>
              <w:bottom w:val="single" w:sz="4" w:space="0" w:color="auto"/>
              <w:right w:val="nil"/>
            </w:tcBorders>
            <w:shd w:val="clear" w:color="auto" w:fill="auto"/>
            <w:noWrap/>
            <w:textDirection w:val="btLr"/>
            <w:vAlign w:val="center"/>
            <w:hideMark/>
          </w:tcPr>
          <w:p w14:paraId="78170652" w14:textId="051DB2FB" w:rsidR="005A74BE" w:rsidRPr="0084045A" w:rsidRDefault="005A74BE" w:rsidP="00666F4C">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2009</w:t>
            </w:r>
            <w:r w:rsidR="00B331C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2010</w:t>
            </w:r>
          </w:p>
        </w:tc>
        <w:tc>
          <w:tcPr>
            <w:tcW w:w="797" w:type="dxa"/>
            <w:tcBorders>
              <w:top w:val="nil"/>
              <w:left w:val="nil"/>
              <w:bottom w:val="single" w:sz="4" w:space="0" w:color="auto"/>
              <w:right w:val="nil"/>
            </w:tcBorders>
            <w:shd w:val="clear" w:color="auto" w:fill="auto"/>
            <w:noWrap/>
            <w:textDirection w:val="btLr"/>
            <w:vAlign w:val="center"/>
            <w:hideMark/>
          </w:tcPr>
          <w:p w14:paraId="265A78D1" w14:textId="5F67FD6E" w:rsidR="005A74BE" w:rsidRPr="0084045A" w:rsidRDefault="005A74BE" w:rsidP="00666F4C">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2010</w:t>
            </w:r>
            <w:r w:rsidR="00B331C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2011</w:t>
            </w:r>
          </w:p>
        </w:tc>
        <w:tc>
          <w:tcPr>
            <w:tcW w:w="797" w:type="dxa"/>
            <w:tcBorders>
              <w:top w:val="nil"/>
              <w:left w:val="nil"/>
              <w:bottom w:val="single" w:sz="4" w:space="0" w:color="auto"/>
              <w:right w:val="nil"/>
            </w:tcBorders>
            <w:shd w:val="clear" w:color="auto" w:fill="auto"/>
            <w:noWrap/>
            <w:textDirection w:val="btLr"/>
            <w:vAlign w:val="center"/>
            <w:hideMark/>
          </w:tcPr>
          <w:p w14:paraId="77D9BBAB" w14:textId="33725248" w:rsidR="005A74BE" w:rsidRPr="0084045A" w:rsidRDefault="005A74BE" w:rsidP="00666F4C">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2011</w:t>
            </w:r>
            <w:r w:rsidR="00B331C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2012</w:t>
            </w:r>
          </w:p>
        </w:tc>
        <w:tc>
          <w:tcPr>
            <w:tcW w:w="797" w:type="dxa"/>
            <w:tcBorders>
              <w:top w:val="nil"/>
              <w:left w:val="nil"/>
              <w:bottom w:val="single" w:sz="4" w:space="0" w:color="auto"/>
              <w:right w:val="nil"/>
            </w:tcBorders>
            <w:shd w:val="clear" w:color="auto" w:fill="auto"/>
            <w:noWrap/>
            <w:textDirection w:val="btLr"/>
            <w:vAlign w:val="center"/>
            <w:hideMark/>
          </w:tcPr>
          <w:p w14:paraId="770195D7" w14:textId="43CB6E85" w:rsidR="005A74BE" w:rsidRPr="0084045A" w:rsidRDefault="005A74BE" w:rsidP="00666F4C">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2012</w:t>
            </w:r>
            <w:r w:rsidR="00B331C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2013</w:t>
            </w:r>
          </w:p>
        </w:tc>
        <w:tc>
          <w:tcPr>
            <w:tcW w:w="797" w:type="dxa"/>
            <w:tcBorders>
              <w:top w:val="nil"/>
              <w:left w:val="nil"/>
              <w:bottom w:val="single" w:sz="4" w:space="0" w:color="auto"/>
              <w:right w:val="nil"/>
            </w:tcBorders>
            <w:shd w:val="clear" w:color="auto" w:fill="auto"/>
            <w:noWrap/>
            <w:textDirection w:val="btLr"/>
            <w:vAlign w:val="center"/>
            <w:hideMark/>
          </w:tcPr>
          <w:p w14:paraId="12DE49BA" w14:textId="6E5BC067" w:rsidR="005A74BE" w:rsidRPr="0084045A" w:rsidRDefault="005A74BE" w:rsidP="00666F4C">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2013</w:t>
            </w:r>
            <w:r w:rsidR="00B331C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2014</w:t>
            </w:r>
          </w:p>
        </w:tc>
        <w:tc>
          <w:tcPr>
            <w:tcW w:w="797" w:type="dxa"/>
            <w:tcBorders>
              <w:top w:val="nil"/>
              <w:left w:val="nil"/>
              <w:bottom w:val="single" w:sz="4" w:space="0" w:color="auto"/>
              <w:right w:val="nil"/>
            </w:tcBorders>
            <w:shd w:val="clear" w:color="auto" w:fill="auto"/>
            <w:noWrap/>
            <w:textDirection w:val="btLr"/>
            <w:vAlign w:val="center"/>
            <w:hideMark/>
          </w:tcPr>
          <w:p w14:paraId="74BF1858" w14:textId="50F11253" w:rsidR="005A74BE" w:rsidRPr="0084045A" w:rsidRDefault="005A74BE" w:rsidP="00666F4C">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2014</w:t>
            </w:r>
            <w:r w:rsidR="00B331C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2015</w:t>
            </w:r>
          </w:p>
        </w:tc>
        <w:tc>
          <w:tcPr>
            <w:tcW w:w="797" w:type="dxa"/>
            <w:tcBorders>
              <w:top w:val="nil"/>
              <w:left w:val="nil"/>
              <w:bottom w:val="single" w:sz="4" w:space="0" w:color="auto"/>
              <w:right w:val="nil"/>
            </w:tcBorders>
            <w:shd w:val="clear" w:color="auto" w:fill="auto"/>
            <w:noWrap/>
            <w:textDirection w:val="btLr"/>
            <w:vAlign w:val="center"/>
            <w:hideMark/>
          </w:tcPr>
          <w:p w14:paraId="6215D583" w14:textId="4B58CB00" w:rsidR="005A74BE" w:rsidRPr="0084045A" w:rsidRDefault="005A74BE" w:rsidP="00666F4C">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2015</w:t>
            </w:r>
            <w:r w:rsidR="00B331C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2016</w:t>
            </w:r>
          </w:p>
        </w:tc>
        <w:tc>
          <w:tcPr>
            <w:tcW w:w="797" w:type="dxa"/>
            <w:tcBorders>
              <w:top w:val="nil"/>
              <w:left w:val="nil"/>
              <w:bottom w:val="single" w:sz="4" w:space="0" w:color="auto"/>
              <w:right w:val="nil"/>
            </w:tcBorders>
            <w:shd w:val="clear" w:color="auto" w:fill="auto"/>
            <w:noWrap/>
            <w:textDirection w:val="btLr"/>
            <w:vAlign w:val="center"/>
            <w:hideMark/>
          </w:tcPr>
          <w:p w14:paraId="7AACF201" w14:textId="28709877" w:rsidR="005A74BE" w:rsidRPr="0084045A" w:rsidRDefault="005A74BE" w:rsidP="00666F4C">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2016</w:t>
            </w:r>
            <w:r w:rsidR="00B331C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2017</w:t>
            </w:r>
          </w:p>
        </w:tc>
        <w:tc>
          <w:tcPr>
            <w:tcW w:w="802" w:type="dxa"/>
            <w:tcBorders>
              <w:top w:val="nil"/>
              <w:left w:val="nil"/>
              <w:bottom w:val="single" w:sz="4" w:space="0" w:color="auto"/>
              <w:right w:val="nil"/>
            </w:tcBorders>
            <w:shd w:val="clear" w:color="auto" w:fill="auto"/>
            <w:noWrap/>
            <w:textDirection w:val="btLr"/>
            <w:vAlign w:val="center"/>
            <w:hideMark/>
          </w:tcPr>
          <w:p w14:paraId="57CD1463" w14:textId="0295E26E" w:rsidR="005A74BE" w:rsidRPr="0084045A" w:rsidRDefault="005A74BE" w:rsidP="00666F4C">
            <w:pPr>
              <w:spacing w:after="0" w:line="240" w:lineRule="auto"/>
              <w:jc w:val="center"/>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2017</w:t>
            </w:r>
            <w:r w:rsidR="00B331C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2018</w:t>
            </w:r>
          </w:p>
        </w:tc>
      </w:tr>
      <w:tr w:rsidR="005A74BE" w:rsidRPr="0084045A" w14:paraId="1D2E61DA" w14:textId="77777777" w:rsidTr="00512905">
        <w:trPr>
          <w:trHeight w:val="346"/>
          <w:jc w:val="center"/>
        </w:trPr>
        <w:tc>
          <w:tcPr>
            <w:tcW w:w="2074" w:type="dxa"/>
            <w:tcBorders>
              <w:top w:val="single" w:sz="4" w:space="0" w:color="auto"/>
              <w:left w:val="nil"/>
            </w:tcBorders>
            <w:shd w:val="clear" w:color="000000" w:fill="FFFFFF"/>
            <w:noWrap/>
            <w:vAlign w:val="center"/>
            <w:hideMark/>
          </w:tcPr>
          <w:p w14:paraId="544D73E3" w14:textId="4B1C373B" w:rsidR="005A74BE" w:rsidRPr="0084045A" w:rsidRDefault="005773E5"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 xml:space="preserve">Outpatient </w:t>
            </w:r>
            <w:r w:rsidR="005A74BE" w:rsidRPr="0084045A">
              <w:rPr>
                <w:rFonts w:ascii="Arial" w:eastAsia="Times New Roman" w:hAnsi="Arial" w:cs="Arial"/>
                <w:noProof/>
                <w:color w:val="000000"/>
                <w:sz w:val="18"/>
                <w:szCs w:val="18"/>
                <w:lang w:val="en-GB" w:eastAsia="es-ES"/>
              </w:rPr>
              <w:t>consultation</w:t>
            </w:r>
          </w:p>
        </w:tc>
        <w:tc>
          <w:tcPr>
            <w:tcW w:w="797" w:type="dxa"/>
            <w:tcBorders>
              <w:top w:val="single" w:sz="4" w:space="0" w:color="auto"/>
            </w:tcBorders>
            <w:shd w:val="clear" w:color="000000" w:fill="FFFFFF"/>
            <w:noWrap/>
            <w:vAlign w:val="center"/>
            <w:hideMark/>
          </w:tcPr>
          <w:p w14:paraId="3A63A4B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331.74</w:t>
            </w:r>
          </w:p>
        </w:tc>
        <w:tc>
          <w:tcPr>
            <w:tcW w:w="797" w:type="dxa"/>
            <w:tcBorders>
              <w:top w:val="single" w:sz="4" w:space="0" w:color="auto"/>
            </w:tcBorders>
            <w:shd w:val="clear" w:color="000000" w:fill="FFFFFF"/>
            <w:noWrap/>
            <w:vAlign w:val="center"/>
            <w:hideMark/>
          </w:tcPr>
          <w:p w14:paraId="1BB2740C"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323.79</w:t>
            </w:r>
          </w:p>
        </w:tc>
        <w:tc>
          <w:tcPr>
            <w:tcW w:w="797" w:type="dxa"/>
            <w:tcBorders>
              <w:top w:val="single" w:sz="4" w:space="0" w:color="auto"/>
            </w:tcBorders>
            <w:shd w:val="clear" w:color="000000" w:fill="FFFFFF"/>
            <w:noWrap/>
            <w:vAlign w:val="center"/>
            <w:hideMark/>
          </w:tcPr>
          <w:p w14:paraId="281A9DFE"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332.10</w:t>
            </w:r>
          </w:p>
        </w:tc>
        <w:tc>
          <w:tcPr>
            <w:tcW w:w="797" w:type="dxa"/>
            <w:tcBorders>
              <w:top w:val="single" w:sz="4" w:space="0" w:color="auto"/>
            </w:tcBorders>
            <w:shd w:val="clear" w:color="000000" w:fill="FFFFFF"/>
            <w:noWrap/>
            <w:vAlign w:val="center"/>
            <w:hideMark/>
          </w:tcPr>
          <w:p w14:paraId="202BE481"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345.34</w:t>
            </w:r>
          </w:p>
        </w:tc>
        <w:tc>
          <w:tcPr>
            <w:tcW w:w="797" w:type="dxa"/>
            <w:tcBorders>
              <w:top w:val="single" w:sz="4" w:space="0" w:color="auto"/>
            </w:tcBorders>
            <w:shd w:val="clear" w:color="000000" w:fill="FFFFFF"/>
            <w:noWrap/>
            <w:vAlign w:val="center"/>
            <w:hideMark/>
          </w:tcPr>
          <w:p w14:paraId="4EE9EA6D"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356.53</w:t>
            </w:r>
          </w:p>
        </w:tc>
        <w:tc>
          <w:tcPr>
            <w:tcW w:w="797" w:type="dxa"/>
            <w:tcBorders>
              <w:top w:val="single" w:sz="4" w:space="0" w:color="auto"/>
            </w:tcBorders>
            <w:shd w:val="clear" w:color="000000" w:fill="FFFFFF"/>
            <w:noWrap/>
            <w:vAlign w:val="center"/>
            <w:hideMark/>
          </w:tcPr>
          <w:p w14:paraId="7ED32EF6"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367.07</w:t>
            </w:r>
          </w:p>
        </w:tc>
        <w:tc>
          <w:tcPr>
            <w:tcW w:w="797" w:type="dxa"/>
            <w:tcBorders>
              <w:top w:val="single" w:sz="4" w:space="0" w:color="auto"/>
            </w:tcBorders>
            <w:shd w:val="clear" w:color="000000" w:fill="FFFFFF"/>
            <w:noWrap/>
            <w:vAlign w:val="center"/>
            <w:hideMark/>
          </w:tcPr>
          <w:p w14:paraId="06BD8BA2"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384.25</w:t>
            </w:r>
          </w:p>
        </w:tc>
        <w:tc>
          <w:tcPr>
            <w:tcW w:w="797" w:type="dxa"/>
            <w:tcBorders>
              <w:top w:val="single" w:sz="4" w:space="0" w:color="auto"/>
            </w:tcBorders>
            <w:shd w:val="clear" w:color="000000" w:fill="FFFFFF"/>
            <w:noWrap/>
            <w:vAlign w:val="center"/>
            <w:hideMark/>
          </w:tcPr>
          <w:p w14:paraId="30A2677F"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416.33</w:t>
            </w:r>
          </w:p>
        </w:tc>
        <w:tc>
          <w:tcPr>
            <w:tcW w:w="802" w:type="dxa"/>
            <w:tcBorders>
              <w:top w:val="single" w:sz="4" w:space="0" w:color="auto"/>
              <w:right w:val="nil"/>
            </w:tcBorders>
            <w:shd w:val="clear" w:color="000000" w:fill="FFFFFF"/>
            <w:noWrap/>
            <w:vAlign w:val="center"/>
            <w:hideMark/>
          </w:tcPr>
          <w:p w14:paraId="61693BF7"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443.64</w:t>
            </w:r>
          </w:p>
        </w:tc>
      </w:tr>
      <w:tr w:rsidR="005A74BE" w:rsidRPr="0084045A" w14:paraId="3075C043" w14:textId="77777777" w:rsidTr="00512905">
        <w:trPr>
          <w:trHeight w:val="346"/>
          <w:jc w:val="center"/>
        </w:trPr>
        <w:tc>
          <w:tcPr>
            <w:tcW w:w="2074" w:type="dxa"/>
            <w:tcBorders>
              <w:left w:val="nil"/>
            </w:tcBorders>
            <w:shd w:val="clear" w:color="000000" w:fill="FFFFFF"/>
            <w:noWrap/>
            <w:vAlign w:val="center"/>
            <w:hideMark/>
          </w:tcPr>
          <w:p w14:paraId="176CA9FC" w14:textId="7EFB7961" w:rsidR="005A74BE" w:rsidRPr="0084045A" w:rsidRDefault="00B331C4"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S</w:t>
            </w:r>
            <w:r w:rsidR="005A74BE" w:rsidRPr="0084045A">
              <w:rPr>
                <w:rFonts w:ascii="Arial" w:eastAsia="Times New Roman" w:hAnsi="Arial" w:cs="Arial"/>
                <w:noProof/>
                <w:color w:val="000000"/>
                <w:sz w:val="18"/>
                <w:szCs w:val="18"/>
                <w:lang w:val="en-GB" w:eastAsia="es-ES"/>
              </w:rPr>
              <w:t>peciali</w:t>
            </w:r>
            <w:r w:rsidR="005773E5" w:rsidRPr="0084045A">
              <w:rPr>
                <w:rFonts w:ascii="Arial" w:eastAsia="Times New Roman" w:hAnsi="Arial" w:cs="Arial"/>
                <w:noProof/>
                <w:color w:val="000000"/>
                <w:sz w:val="18"/>
                <w:szCs w:val="18"/>
                <w:lang w:val="en-GB" w:eastAsia="es-ES"/>
              </w:rPr>
              <w:t>st</w:t>
            </w:r>
            <w:r w:rsidR="005A74BE" w:rsidRPr="0084045A">
              <w:rPr>
                <w:rFonts w:ascii="Arial" w:eastAsia="Times New Roman" w:hAnsi="Arial" w:cs="Arial"/>
                <w:noProof/>
                <w:color w:val="000000"/>
                <w:sz w:val="18"/>
                <w:szCs w:val="18"/>
                <w:lang w:val="en-GB" w:eastAsia="es-ES"/>
              </w:rPr>
              <w:t xml:space="preserve"> consultation</w:t>
            </w:r>
          </w:p>
        </w:tc>
        <w:tc>
          <w:tcPr>
            <w:tcW w:w="797" w:type="dxa"/>
            <w:shd w:val="clear" w:color="000000" w:fill="FFFFFF"/>
            <w:noWrap/>
            <w:vAlign w:val="center"/>
            <w:hideMark/>
          </w:tcPr>
          <w:p w14:paraId="3EC1EE7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528.72</w:t>
            </w:r>
          </w:p>
        </w:tc>
        <w:tc>
          <w:tcPr>
            <w:tcW w:w="797" w:type="dxa"/>
            <w:shd w:val="clear" w:color="000000" w:fill="FFFFFF"/>
            <w:noWrap/>
            <w:vAlign w:val="center"/>
            <w:hideMark/>
          </w:tcPr>
          <w:p w14:paraId="30E5C40A"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512.30</w:t>
            </w:r>
          </w:p>
        </w:tc>
        <w:tc>
          <w:tcPr>
            <w:tcW w:w="797" w:type="dxa"/>
            <w:shd w:val="clear" w:color="000000" w:fill="FFFFFF"/>
            <w:noWrap/>
            <w:vAlign w:val="center"/>
            <w:hideMark/>
          </w:tcPr>
          <w:p w14:paraId="799E7CAF"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524.01</w:t>
            </w:r>
          </w:p>
        </w:tc>
        <w:tc>
          <w:tcPr>
            <w:tcW w:w="797" w:type="dxa"/>
            <w:shd w:val="clear" w:color="000000" w:fill="FFFFFF"/>
            <w:noWrap/>
            <w:vAlign w:val="center"/>
            <w:hideMark/>
          </w:tcPr>
          <w:p w14:paraId="50224999"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544.56</w:t>
            </w:r>
          </w:p>
        </w:tc>
        <w:tc>
          <w:tcPr>
            <w:tcW w:w="797" w:type="dxa"/>
            <w:shd w:val="clear" w:color="000000" w:fill="FFFFFF"/>
            <w:noWrap/>
            <w:vAlign w:val="center"/>
            <w:hideMark/>
          </w:tcPr>
          <w:p w14:paraId="4E6E4E8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561.67</w:t>
            </w:r>
          </w:p>
        </w:tc>
        <w:tc>
          <w:tcPr>
            <w:tcW w:w="797" w:type="dxa"/>
            <w:shd w:val="clear" w:color="000000" w:fill="FFFFFF"/>
            <w:noWrap/>
            <w:vAlign w:val="center"/>
            <w:hideMark/>
          </w:tcPr>
          <w:p w14:paraId="78C71948"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578.31</w:t>
            </w:r>
          </w:p>
        </w:tc>
        <w:tc>
          <w:tcPr>
            <w:tcW w:w="797" w:type="dxa"/>
            <w:shd w:val="clear" w:color="000000" w:fill="FFFFFF"/>
            <w:noWrap/>
            <w:vAlign w:val="center"/>
            <w:hideMark/>
          </w:tcPr>
          <w:p w14:paraId="0921DE9D"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606.14</w:t>
            </w:r>
          </w:p>
        </w:tc>
        <w:tc>
          <w:tcPr>
            <w:tcW w:w="797" w:type="dxa"/>
            <w:shd w:val="clear" w:color="000000" w:fill="FFFFFF"/>
            <w:noWrap/>
            <w:vAlign w:val="center"/>
            <w:hideMark/>
          </w:tcPr>
          <w:p w14:paraId="7365DF76"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657.76</w:t>
            </w:r>
          </w:p>
        </w:tc>
        <w:tc>
          <w:tcPr>
            <w:tcW w:w="802" w:type="dxa"/>
            <w:tcBorders>
              <w:right w:val="nil"/>
            </w:tcBorders>
            <w:shd w:val="clear" w:color="000000" w:fill="FFFFFF"/>
            <w:noWrap/>
            <w:vAlign w:val="center"/>
            <w:hideMark/>
          </w:tcPr>
          <w:p w14:paraId="263A9513"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701.45</w:t>
            </w:r>
          </w:p>
        </w:tc>
      </w:tr>
      <w:tr w:rsidR="005A74BE" w:rsidRPr="0084045A" w14:paraId="7F121151" w14:textId="77777777" w:rsidTr="00512905">
        <w:trPr>
          <w:trHeight w:val="346"/>
          <w:jc w:val="center"/>
        </w:trPr>
        <w:tc>
          <w:tcPr>
            <w:tcW w:w="2074" w:type="dxa"/>
            <w:tcBorders>
              <w:left w:val="nil"/>
            </w:tcBorders>
            <w:shd w:val="clear" w:color="000000" w:fill="FFFFFF"/>
            <w:noWrap/>
            <w:vAlign w:val="center"/>
            <w:hideMark/>
          </w:tcPr>
          <w:p w14:paraId="305D9352" w14:textId="420CDDAD" w:rsidR="005A74BE" w:rsidRPr="0084045A" w:rsidRDefault="00B331C4"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ER care</w:t>
            </w:r>
          </w:p>
        </w:tc>
        <w:tc>
          <w:tcPr>
            <w:tcW w:w="797" w:type="dxa"/>
            <w:shd w:val="clear" w:color="000000" w:fill="FFFFFF"/>
            <w:noWrap/>
            <w:vAlign w:val="center"/>
            <w:hideMark/>
          </w:tcPr>
          <w:p w14:paraId="10E9877C"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362.78</w:t>
            </w:r>
          </w:p>
        </w:tc>
        <w:tc>
          <w:tcPr>
            <w:tcW w:w="797" w:type="dxa"/>
            <w:shd w:val="clear" w:color="000000" w:fill="FFFFFF"/>
            <w:noWrap/>
            <w:vAlign w:val="center"/>
            <w:hideMark/>
          </w:tcPr>
          <w:p w14:paraId="69FF5997"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363.93</w:t>
            </w:r>
          </w:p>
        </w:tc>
        <w:tc>
          <w:tcPr>
            <w:tcW w:w="797" w:type="dxa"/>
            <w:shd w:val="clear" w:color="000000" w:fill="FFFFFF"/>
            <w:noWrap/>
            <w:vAlign w:val="center"/>
            <w:hideMark/>
          </w:tcPr>
          <w:p w14:paraId="041CE2E1"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375.38</w:t>
            </w:r>
          </w:p>
        </w:tc>
        <w:tc>
          <w:tcPr>
            <w:tcW w:w="797" w:type="dxa"/>
            <w:shd w:val="clear" w:color="000000" w:fill="FFFFFF"/>
            <w:noWrap/>
            <w:vAlign w:val="center"/>
            <w:hideMark/>
          </w:tcPr>
          <w:p w14:paraId="6338903A"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389.29</w:t>
            </w:r>
          </w:p>
        </w:tc>
        <w:tc>
          <w:tcPr>
            <w:tcW w:w="797" w:type="dxa"/>
            <w:shd w:val="clear" w:color="000000" w:fill="FFFFFF"/>
            <w:noWrap/>
            <w:vAlign w:val="center"/>
            <w:hideMark/>
          </w:tcPr>
          <w:p w14:paraId="0C01EDA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403.43</w:t>
            </w:r>
          </w:p>
        </w:tc>
        <w:tc>
          <w:tcPr>
            <w:tcW w:w="797" w:type="dxa"/>
            <w:shd w:val="clear" w:color="000000" w:fill="FFFFFF"/>
            <w:noWrap/>
            <w:vAlign w:val="center"/>
            <w:hideMark/>
          </w:tcPr>
          <w:p w14:paraId="41068DFC"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414.65</w:t>
            </w:r>
          </w:p>
        </w:tc>
        <w:tc>
          <w:tcPr>
            <w:tcW w:w="797" w:type="dxa"/>
            <w:shd w:val="clear" w:color="000000" w:fill="FFFFFF"/>
            <w:noWrap/>
            <w:vAlign w:val="center"/>
            <w:hideMark/>
          </w:tcPr>
          <w:p w14:paraId="3381DB7B"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429.28</w:t>
            </w:r>
          </w:p>
        </w:tc>
        <w:tc>
          <w:tcPr>
            <w:tcW w:w="797" w:type="dxa"/>
            <w:shd w:val="clear" w:color="000000" w:fill="FFFFFF"/>
            <w:noWrap/>
            <w:vAlign w:val="center"/>
            <w:hideMark/>
          </w:tcPr>
          <w:p w14:paraId="17CDDCD8"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459.08</w:t>
            </w:r>
          </w:p>
        </w:tc>
        <w:tc>
          <w:tcPr>
            <w:tcW w:w="802" w:type="dxa"/>
            <w:tcBorders>
              <w:right w:val="nil"/>
            </w:tcBorders>
            <w:shd w:val="clear" w:color="000000" w:fill="FFFFFF"/>
            <w:noWrap/>
            <w:vAlign w:val="center"/>
            <w:hideMark/>
          </w:tcPr>
          <w:p w14:paraId="4F9E182B"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484.20</w:t>
            </w:r>
          </w:p>
        </w:tc>
      </w:tr>
      <w:tr w:rsidR="005A74BE" w:rsidRPr="0084045A" w14:paraId="2297D80A" w14:textId="77777777" w:rsidTr="00512905">
        <w:trPr>
          <w:trHeight w:val="346"/>
          <w:jc w:val="center"/>
        </w:trPr>
        <w:tc>
          <w:tcPr>
            <w:tcW w:w="2074" w:type="dxa"/>
            <w:tcBorders>
              <w:left w:val="nil"/>
            </w:tcBorders>
            <w:shd w:val="clear" w:color="auto" w:fill="auto"/>
            <w:noWrap/>
            <w:vAlign w:val="center"/>
            <w:hideMark/>
          </w:tcPr>
          <w:p w14:paraId="732F5F9C" w14:textId="77777777"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Hospitalization bed-day</w:t>
            </w:r>
          </w:p>
        </w:tc>
        <w:tc>
          <w:tcPr>
            <w:tcW w:w="797" w:type="dxa"/>
            <w:shd w:val="clear" w:color="000000" w:fill="FFFFFF"/>
            <w:noWrap/>
            <w:vAlign w:val="center"/>
            <w:hideMark/>
          </w:tcPr>
          <w:p w14:paraId="7B73E85E"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3147.49</w:t>
            </w:r>
          </w:p>
        </w:tc>
        <w:tc>
          <w:tcPr>
            <w:tcW w:w="797" w:type="dxa"/>
            <w:shd w:val="clear" w:color="000000" w:fill="FFFFFF"/>
            <w:noWrap/>
            <w:vAlign w:val="center"/>
            <w:hideMark/>
          </w:tcPr>
          <w:p w14:paraId="28A6525D"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3040.89</w:t>
            </w:r>
          </w:p>
        </w:tc>
        <w:tc>
          <w:tcPr>
            <w:tcW w:w="797" w:type="dxa"/>
            <w:shd w:val="clear" w:color="000000" w:fill="FFFFFF"/>
            <w:noWrap/>
            <w:vAlign w:val="center"/>
            <w:hideMark/>
          </w:tcPr>
          <w:p w14:paraId="0FB28923"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3112.41</w:t>
            </w:r>
          </w:p>
        </w:tc>
        <w:tc>
          <w:tcPr>
            <w:tcW w:w="797" w:type="dxa"/>
            <w:shd w:val="clear" w:color="000000" w:fill="FFFFFF"/>
            <w:noWrap/>
            <w:vAlign w:val="center"/>
            <w:hideMark/>
          </w:tcPr>
          <w:p w14:paraId="4F43C4E7"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3240.17</w:t>
            </w:r>
          </w:p>
        </w:tc>
        <w:tc>
          <w:tcPr>
            <w:tcW w:w="797" w:type="dxa"/>
            <w:shd w:val="clear" w:color="000000" w:fill="FFFFFF"/>
            <w:noWrap/>
            <w:vAlign w:val="center"/>
            <w:hideMark/>
          </w:tcPr>
          <w:p w14:paraId="75E5ACCE"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3340.33</w:t>
            </w:r>
          </w:p>
        </w:tc>
        <w:tc>
          <w:tcPr>
            <w:tcW w:w="797" w:type="dxa"/>
            <w:shd w:val="clear" w:color="000000" w:fill="FFFFFF"/>
            <w:noWrap/>
            <w:vAlign w:val="center"/>
            <w:hideMark/>
          </w:tcPr>
          <w:p w14:paraId="07234157"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3441.46</w:t>
            </w:r>
          </w:p>
        </w:tc>
        <w:tc>
          <w:tcPr>
            <w:tcW w:w="797" w:type="dxa"/>
            <w:shd w:val="clear" w:color="000000" w:fill="FFFFFF"/>
            <w:noWrap/>
            <w:vAlign w:val="center"/>
            <w:hideMark/>
          </w:tcPr>
          <w:p w14:paraId="6E8E6CA9"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3618.09</w:t>
            </w:r>
          </w:p>
        </w:tc>
        <w:tc>
          <w:tcPr>
            <w:tcW w:w="797" w:type="dxa"/>
            <w:shd w:val="clear" w:color="000000" w:fill="FFFFFF"/>
            <w:noWrap/>
            <w:vAlign w:val="center"/>
            <w:hideMark/>
          </w:tcPr>
          <w:p w14:paraId="68EB893A"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3939.79</w:t>
            </w:r>
          </w:p>
        </w:tc>
        <w:tc>
          <w:tcPr>
            <w:tcW w:w="802" w:type="dxa"/>
            <w:tcBorders>
              <w:right w:val="nil"/>
            </w:tcBorders>
            <w:shd w:val="clear" w:color="000000" w:fill="FFFFFF"/>
            <w:noWrap/>
            <w:vAlign w:val="center"/>
            <w:hideMark/>
          </w:tcPr>
          <w:p w14:paraId="2EFC5D66"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4214.67</w:t>
            </w:r>
          </w:p>
        </w:tc>
      </w:tr>
      <w:tr w:rsidR="005A74BE" w:rsidRPr="0084045A" w14:paraId="1907FCD8" w14:textId="77777777" w:rsidTr="00512905">
        <w:trPr>
          <w:trHeight w:val="346"/>
          <w:jc w:val="center"/>
        </w:trPr>
        <w:tc>
          <w:tcPr>
            <w:tcW w:w="2074" w:type="dxa"/>
            <w:tcBorders>
              <w:left w:val="nil"/>
            </w:tcBorders>
            <w:shd w:val="clear" w:color="000000" w:fill="FFFFFF"/>
            <w:noWrap/>
            <w:vAlign w:val="center"/>
            <w:hideMark/>
          </w:tcPr>
          <w:p w14:paraId="3647C423" w14:textId="51EC8BC5"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Amantadine</w:t>
            </w:r>
          </w:p>
        </w:tc>
        <w:tc>
          <w:tcPr>
            <w:tcW w:w="797" w:type="dxa"/>
            <w:shd w:val="clear" w:color="000000" w:fill="FFFFFF"/>
            <w:noWrap/>
            <w:vAlign w:val="center"/>
            <w:hideMark/>
          </w:tcPr>
          <w:p w14:paraId="7A3C37A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32.95</w:t>
            </w:r>
          </w:p>
        </w:tc>
        <w:tc>
          <w:tcPr>
            <w:tcW w:w="797" w:type="dxa"/>
            <w:shd w:val="clear" w:color="000000" w:fill="FFFFFF"/>
            <w:noWrap/>
            <w:vAlign w:val="center"/>
            <w:hideMark/>
          </w:tcPr>
          <w:p w14:paraId="732FB956"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34.07</w:t>
            </w:r>
          </w:p>
        </w:tc>
        <w:tc>
          <w:tcPr>
            <w:tcW w:w="797" w:type="dxa"/>
            <w:shd w:val="clear" w:color="000000" w:fill="FFFFFF"/>
            <w:noWrap/>
            <w:vAlign w:val="center"/>
            <w:hideMark/>
          </w:tcPr>
          <w:p w14:paraId="08E616F3"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35.47</w:t>
            </w:r>
          </w:p>
        </w:tc>
        <w:tc>
          <w:tcPr>
            <w:tcW w:w="797" w:type="dxa"/>
            <w:shd w:val="clear" w:color="000000" w:fill="FFFFFF"/>
            <w:noWrap/>
            <w:vAlign w:val="center"/>
            <w:hideMark/>
          </w:tcPr>
          <w:p w14:paraId="7E0B21BE"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36.82</w:t>
            </w:r>
          </w:p>
        </w:tc>
        <w:tc>
          <w:tcPr>
            <w:tcW w:w="797" w:type="dxa"/>
            <w:shd w:val="clear" w:color="000000" w:fill="FFFFFF"/>
            <w:noWrap/>
            <w:vAlign w:val="center"/>
            <w:hideMark/>
          </w:tcPr>
          <w:p w14:paraId="0C1A8271"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38.30</w:t>
            </w:r>
          </w:p>
        </w:tc>
        <w:tc>
          <w:tcPr>
            <w:tcW w:w="797" w:type="dxa"/>
            <w:shd w:val="clear" w:color="000000" w:fill="FFFFFF"/>
            <w:noWrap/>
            <w:vAlign w:val="center"/>
            <w:hideMark/>
          </w:tcPr>
          <w:p w14:paraId="700AEBCF"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39.34</w:t>
            </w:r>
          </w:p>
        </w:tc>
        <w:tc>
          <w:tcPr>
            <w:tcW w:w="797" w:type="dxa"/>
            <w:shd w:val="clear" w:color="000000" w:fill="FFFFFF"/>
            <w:noWrap/>
            <w:vAlign w:val="center"/>
            <w:hideMark/>
          </w:tcPr>
          <w:p w14:paraId="6E055E54"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40.45</w:t>
            </w:r>
          </w:p>
        </w:tc>
        <w:tc>
          <w:tcPr>
            <w:tcW w:w="797" w:type="dxa"/>
            <w:shd w:val="clear" w:color="000000" w:fill="FFFFFF"/>
            <w:noWrap/>
            <w:vAlign w:val="center"/>
            <w:hideMark/>
          </w:tcPr>
          <w:p w14:paraId="5F00BFB7"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42.90</w:t>
            </w:r>
          </w:p>
        </w:tc>
        <w:tc>
          <w:tcPr>
            <w:tcW w:w="802" w:type="dxa"/>
            <w:tcBorders>
              <w:right w:val="nil"/>
            </w:tcBorders>
            <w:shd w:val="clear" w:color="000000" w:fill="FFFFFF"/>
            <w:noWrap/>
            <w:vAlign w:val="center"/>
            <w:hideMark/>
          </w:tcPr>
          <w:p w14:paraId="3AC7AB6B"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45.00</w:t>
            </w:r>
          </w:p>
        </w:tc>
      </w:tr>
      <w:tr w:rsidR="005A74BE" w:rsidRPr="0084045A" w14:paraId="55F24F08" w14:textId="77777777" w:rsidTr="00512905">
        <w:trPr>
          <w:trHeight w:val="346"/>
          <w:jc w:val="center"/>
        </w:trPr>
        <w:tc>
          <w:tcPr>
            <w:tcW w:w="2074" w:type="dxa"/>
            <w:tcBorders>
              <w:left w:val="nil"/>
            </w:tcBorders>
            <w:shd w:val="clear" w:color="000000" w:fill="FFFFFF"/>
            <w:noWrap/>
            <w:vAlign w:val="center"/>
            <w:hideMark/>
          </w:tcPr>
          <w:p w14:paraId="627B9D32" w14:textId="7ABAEE96"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Oseltamivir</w:t>
            </w:r>
          </w:p>
        </w:tc>
        <w:tc>
          <w:tcPr>
            <w:tcW w:w="797" w:type="dxa"/>
            <w:shd w:val="clear" w:color="000000" w:fill="FFFFFF"/>
            <w:noWrap/>
            <w:vAlign w:val="center"/>
            <w:hideMark/>
          </w:tcPr>
          <w:p w14:paraId="3B4A5FE1"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81.18</w:t>
            </w:r>
          </w:p>
        </w:tc>
        <w:tc>
          <w:tcPr>
            <w:tcW w:w="797" w:type="dxa"/>
            <w:shd w:val="clear" w:color="000000" w:fill="FFFFFF"/>
            <w:noWrap/>
            <w:vAlign w:val="center"/>
            <w:hideMark/>
          </w:tcPr>
          <w:p w14:paraId="2F4D16FA"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83.94</w:t>
            </w:r>
          </w:p>
        </w:tc>
        <w:tc>
          <w:tcPr>
            <w:tcW w:w="797" w:type="dxa"/>
            <w:shd w:val="clear" w:color="000000" w:fill="FFFFFF"/>
            <w:noWrap/>
            <w:vAlign w:val="center"/>
            <w:hideMark/>
          </w:tcPr>
          <w:p w14:paraId="3B773F4D"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87.40</w:t>
            </w:r>
          </w:p>
        </w:tc>
        <w:tc>
          <w:tcPr>
            <w:tcW w:w="797" w:type="dxa"/>
            <w:shd w:val="clear" w:color="000000" w:fill="FFFFFF"/>
            <w:noWrap/>
            <w:vAlign w:val="center"/>
            <w:hideMark/>
          </w:tcPr>
          <w:p w14:paraId="68C43593"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90.72</w:t>
            </w:r>
          </w:p>
        </w:tc>
        <w:tc>
          <w:tcPr>
            <w:tcW w:w="797" w:type="dxa"/>
            <w:shd w:val="clear" w:color="000000" w:fill="FFFFFF"/>
            <w:noWrap/>
            <w:vAlign w:val="center"/>
            <w:hideMark/>
          </w:tcPr>
          <w:p w14:paraId="4A4848FB"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94.37</w:t>
            </w:r>
          </w:p>
        </w:tc>
        <w:tc>
          <w:tcPr>
            <w:tcW w:w="797" w:type="dxa"/>
            <w:shd w:val="clear" w:color="000000" w:fill="FFFFFF"/>
            <w:noWrap/>
            <w:vAlign w:val="center"/>
            <w:hideMark/>
          </w:tcPr>
          <w:p w14:paraId="5224935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96.94</w:t>
            </w:r>
          </w:p>
        </w:tc>
        <w:tc>
          <w:tcPr>
            <w:tcW w:w="797" w:type="dxa"/>
            <w:shd w:val="clear" w:color="000000" w:fill="FFFFFF"/>
            <w:noWrap/>
            <w:vAlign w:val="center"/>
            <w:hideMark/>
          </w:tcPr>
          <w:p w14:paraId="60350F06"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99.67</w:t>
            </w:r>
          </w:p>
        </w:tc>
        <w:tc>
          <w:tcPr>
            <w:tcW w:w="797" w:type="dxa"/>
            <w:shd w:val="clear" w:color="000000" w:fill="FFFFFF"/>
            <w:noWrap/>
            <w:vAlign w:val="center"/>
            <w:hideMark/>
          </w:tcPr>
          <w:p w14:paraId="6E8E4FA4"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105.69</w:t>
            </w:r>
          </w:p>
        </w:tc>
        <w:tc>
          <w:tcPr>
            <w:tcW w:w="802" w:type="dxa"/>
            <w:tcBorders>
              <w:right w:val="nil"/>
            </w:tcBorders>
            <w:shd w:val="clear" w:color="000000" w:fill="FFFFFF"/>
            <w:noWrap/>
            <w:vAlign w:val="center"/>
            <w:hideMark/>
          </w:tcPr>
          <w:p w14:paraId="6492271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110.87</w:t>
            </w:r>
          </w:p>
        </w:tc>
      </w:tr>
      <w:tr w:rsidR="005A74BE" w:rsidRPr="0084045A" w14:paraId="1FC76186" w14:textId="77777777" w:rsidTr="00512905">
        <w:trPr>
          <w:trHeight w:val="346"/>
          <w:jc w:val="center"/>
        </w:trPr>
        <w:tc>
          <w:tcPr>
            <w:tcW w:w="2074" w:type="dxa"/>
            <w:tcBorders>
              <w:left w:val="nil"/>
            </w:tcBorders>
            <w:shd w:val="clear" w:color="000000" w:fill="FFFFFF"/>
            <w:noWrap/>
            <w:vAlign w:val="center"/>
            <w:hideMark/>
          </w:tcPr>
          <w:p w14:paraId="4BCED027" w14:textId="705FF184"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Paracetamol</w:t>
            </w:r>
          </w:p>
        </w:tc>
        <w:tc>
          <w:tcPr>
            <w:tcW w:w="797" w:type="dxa"/>
            <w:shd w:val="clear" w:color="000000" w:fill="FFFFFF"/>
            <w:noWrap/>
            <w:vAlign w:val="center"/>
            <w:hideMark/>
          </w:tcPr>
          <w:p w14:paraId="581457BC"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2.82</w:t>
            </w:r>
          </w:p>
        </w:tc>
        <w:tc>
          <w:tcPr>
            <w:tcW w:w="797" w:type="dxa"/>
            <w:shd w:val="clear" w:color="000000" w:fill="FFFFFF"/>
            <w:noWrap/>
            <w:vAlign w:val="center"/>
            <w:hideMark/>
          </w:tcPr>
          <w:p w14:paraId="1F76B2E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2.86</w:t>
            </w:r>
          </w:p>
        </w:tc>
        <w:tc>
          <w:tcPr>
            <w:tcW w:w="797" w:type="dxa"/>
            <w:shd w:val="clear" w:color="000000" w:fill="FFFFFF"/>
            <w:noWrap/>
            <w:vAlign w:val="center"/>
            <w:hideMark/>
          </w:tcPr>
          <w:p w14:paraId="27B9CEBD"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2.96</w:t>
            </w:r>
          </w:p>
        </w:tc>
        <w:tc>
          <w:tcPr>
            <w:tcW w:w="797" w:type="dxa"/>
            <w:shd w:val="clear" w:color="000000" w:fill="FFFFFF"/>
            <w:noWrap/>
            <w:vAlign w:val="center"/>
            <w:hideMark/>
          </w:tcPr>
          <w:p w14:paraId="1E3CF072"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3.06</w:t>
            </w:r>
          </w:p>
        </w:tc>
        <w:tc>
          <w:tcPr>
            <w:tcW w:w="797" w:type="dxa"/>
            <w:shd w:val="clear" w:color="000000" w:fill="FFFFFF"/>
            <w:noWrap/>
            <w:vAlign w:val="center"/>
            <w:hideMark/>
          </w:tcPr>
          <w:p w14:paraId="22E0F957"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3.18</w:t>
            </w:r>
          </w:p>
        </w:tc>
        <w:tc>
          <w:tcPr>
            <w:tcW w:w="797" w:type="dxa"/>
            <w:shd w:val="clear" w:color="000000" w:fill="FFFFFF"/>
            <w:noWrap/>
            <w:vAlign w:val="center"/>
            <w:hideMark/>
          </w:tcPr>
          <w:p w14:paraId="2BCA53BA"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3.26</w:t>
            </w:r>
          </w:p>
        </w:tc>
        <w:tc>
          <w:tcPr>
            <w:tcW w:w="797" w:type="dxa"/>
            <w:shd w:val="clear" w:color="000000" w:fill="FFFFFF"/>
            <w:noWrap/>
            <w:vAlign w:val="center"/>
            <w:hideMark/>
          </w:tcPr>
          <w:p w14:paraId="0BFAC73D"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3.35</w:t>
            </w:r>
          </w:p>
        </w:tc>
        <w:tc>
          <w:tcPr>
            <w:tcW w:w="797" w:type="dxa"/>
            <w:shd w:val="clear" w:color="000000" w:fill="FFFFFF"/>
            <w:noWrap/>
            <w:vAlign w:val="center"/>
            <w:hideMark/>
          </w:tcPr>
          <w:p w14:paraId="2EBA194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3.56</w:t>
            </w:r>
          </w:p>
        </w:tc>
        <w:tc>
          <w:tcPr>
            <w:tcW w:w="802" w:type="dxa"/>
            <w:tcBorders>
              <w:right w:val="nil"/>
            </w:tcBorders>
            <w:shd w:val="clear" w:color="000000" w:fill="FFFFFF"/>
            <w:noWrap/>
            <w:vAlign w:val="center"/>
            <w:hideMark/>
          </w:tcPr>
          <w:p w14:paraId="3468490E"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3.73</w:t>
            </w:r>
          </w:p>
        </w:tc>
      </w:tr>
      <w:tr w:rsidR="005A74BE" w:rsidRPr="0084045A" w14:paraId="47B835BE" w14:textId="77777777" w:rsidTr="00512905">
        <w:trPr>
          <w:trHeight w:val="346"/>
          <w:jc w:val="center"/>
        </w:trPr>
        <w:tc>
          <w:tcPr>
            <w:tcW w:w="2074" w:type="dxa"/>
            <w:tcBorders>
              <w:left w:val="nil"/>
            </w:tcBorders>
            <w:shd w:val="clear" w:color="000000" w:fill="FFFFFF"/>
            <w:noWrap/>
            <w:vAlign w:val="center"/>
            <w:hideMark/>
          </w:tcPr>
          <w:p w14:paraId="3EF51770" w14:textId="2BC14D11"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Ceftriaxone</w:t>
            </w:r>
          </w:p>
        </w:tc>
        <w:tc>
          <w:tcPr>
            <w:tcW w:w="797" w:type="dxa"/>
            <w:shd w:val="clear" w:color="000000" w:fill="FFFFFF"/>
            <w:noWrap/>
            <w:vAlign w:val="center"/>
            <w:hideMark/>
          </w:tcPr>
          <w:p w14:paraId="5B9101A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8.37</w:t>
            </w:r>
          </w:p>
        </w:tc>
        <w:tc>
          <w:tcPr>
            <w:tcW w:w="797" w:type="dxa"/>
            <w:shd w:val="clear" w:color="000000" w:fill="FFFFFF"/>
            <w:noWrap/>
            <w:vAlign w:val="center"/>
            <w:hideMark/>
          </w:tcPr>
          <w:p w14:paraId="64F90E9A"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8.61</w:t>
            </w:r>
          </w:p>
        </w:tc>
        <w:tc>
          <w:tcPr>
            <w:tcW w:w="797" w:type="dxa"/>
            <w:shd w:val="clear" w:color="000000" w:fill="FFFFFF"/>
            <w:noWrap/>
            <w:vAlign w:val="center"/>
            <w:hideMark/>
          </w:tcPr>
          <w:p w14:paraId="41B206DB"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8.95</w:t>
            </w:r>
          </w:p>
        </w:tc>
        <w:tc>
          <w:tcPr>
            <w:tcW w:w="797" w:type="dxa"/>
            <w:shd w:val="clear" w:color="000000" w:fill="FFFFFF"/>
            <w:noWrap/>
            <w:vAlign w:val="center"/>
            <w:hideMark/>
          </w:tcPr>
          <w:p w14:paraId="65BDE263"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9.30</w:t>
            </w:r>
          </w:p>
        </w:tc>
        <w:tc>
          <w:tcPr>
            <w:tcW w:w="797" w:type="dxa"/>
            <w:shd w:val="clear" w:color="000000" w:fill="FFFFFF"/>
            <w:noWrap/>
            <w:vAlign w:val="center"/>
            <w:hideMark/>
          </w:tcPr>
          <w:p w14:paraId="40A2E03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9.66</w:t>
            </w:r>
          </w:p>
        </w:tc>
        <w:tc>
          <w:tcPr>
            <w:tcW w:w="797" w:type="dxa"/>
            <w:shd w:val="clear" w:color="000000" w:fill="FFFFFF"/>
            <w:noWrap/>
            <w:vAlign w:val="center"/>
            <w:hideMark/>
          </w:tcPr>
          <w:p w14:paraId="43802ED7"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9.93</w:t>
            </w:r>
          </w:p>
        </w:tc>
        <w:tc>
          <w:tcPr>
            <w:tcW w:w="797" w:type="dxa"/>
            <w:shd w:val="clear" w:color="000000" w:fill="FFFFFF"/>
            <w:noWrap/>
            <w:vAlign w:val="center"/>
            <w:hideMark/>
          </w:tcPr>
          <w:p w14:paraId="2791C2ED"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10.22</w:t>
            </w:r>
          </w:p>
        </w:tc>
        <w:tc>
          <w:tcPr>
            <w:tcW w:w="797" w:type="dxa"/>
            <w:shd w:val="clear" w:color="000000" w:fill="FFFFFF"/>
            <w:noWrap/>
            <w:vAlign w:val="center"/>
            <w:hideMark/>
          </w:tcPr>
          <w:p w14:paraId="1DEFC941"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10.86</w:t>
            </w:r>
          </w:p>
        </w:tc>
        <w:tc>
          <w:tcPr>
            <w:tcW w:w="802" w:type="dxa"/>
            <w:tcBorders>
              <w:right w:val="nil"/>
            </w:tcBorders>
            <w:shd w:val="clear" w:color="000000" w:fill="FFFFFF"/>
            <w:noWrap/>
            <w:vAlign w:val="center"/>
            <w:hideMark/>
          </w:tcPr>
          <w:p w14:paraId="13087D36"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11.40</w:t>
            </w:r>
          </w:p>
        </w:tc>
      </w:tr>
      <w:tr w:rsidR="005A74BE" w:rsidRPr="0084045A" w14:paraId="6F403650" w14:textId="77777777" w:rsidTr="00512905">
        <w:trPr>
          <w:trHeight w:val="346"/>
          <w:jc w:val="center"/>
        </w:trPr>
        <w:tc>
          <w:tcPr>
            <w:tcW w:w="2074" w:type="dxa"/>
            <w:tcBorders>
              <w:left w:val="nil"/>
            </w:tcBorders>
            <w:shd w:val="clear" w:color="000000" w:fill="FFFFFF"/>
            <w:noWrap/>
            <w:vAlign w:val="center"/>
            <w:hideMark/>
          </w:tcPr>
          <w:p w14:paraId="00F28B8D" w14:textId="77777777"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PCR</w:t>
            </w:r>
          </w:p>
        </w:tc>
        <w:tc>
          <w:tcPr>
            <w:tcW w:w="797" w:type="dxa"/>
            <w:shd w:val="clear" w:color="000000" w:fill="FFFFFF"/>
            <w:noWrap/>
            <w:vAlign w:val="center"/>
            <w:hideMark/>
          </w:tcPr>
          <w:p w14:paraId="73E0454F"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1576.29</w:t>
            </w:r>
          </w:p>
        </w:tc>
        <w:tc>
          <w:tcPr>
            <w:tcW w:w="797" w:type="dxa"/>
            <w:shd w:val="clear" w:color="000000" w:fill="FFFFFF"/>
            <w:noWrap/>
            <w:vAlign w:val="center"/>
            <w:hideMark/>
          </w:tcPr>
          <w:p w14:paraId="7DCFE487"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1641.95</w:t>
            </w:r>
          </w:p>
        </w:tc>
        <w:tc>
          <w:tcPr>
            <w:tcW w:w="797" w:type="dxa"/>
            <w:shd w:val="clear" w:color="000000" w:fill="FFFFFF"/>
            <w:noWrap/>
            <w:vAlign w:val="center"/>
            <w:hideMark/>
          </w:tcPr>
          <w:p w14:paraId="2B7F0BF3"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1712.28</w:t>
            </w:r>
          </w:p>
        </w:tc>
        <w:tc>
          <w:tcPr>
            <w:tcW w:w="797" w:type="dxa"/>
            <w:shd w:val="clear" w:color="000000" w:fill="FFFFFF"/>
            <w:noWrap/>
            <w:vAlign w:val="center"/>
            <w:hideMark/>
          </w:tcPr>
          <w:p w14:paraId="43FA3B53"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1776.73</w:t>
            </w:r>
          </w:p>
        </w:tc>
        <w:tc>
          <w:tcPr>
            <w:tcW w:w="797" w:type="dxa"/>
            <w:shd w:val="clear" w:color="000000" w:fill="FFFFFF"/>
            <w:noWrap/>
            <w:vAlign w:val="center"/>
            <w:hideMark/>
          </w:tcPr>
          <w:p w14:paraId="71C2B504"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1849.83</w:t>
            </w:r>
          </w:p>
        </w:tc>
        <w:tc>
          <w:tcPr>
            <w:tcW w:w="797" w:type="dxa"/>
            <w:shd w:val="clear" w:color="000000" w:fill="FFFFFF"/>
            <w:noWrap/>
            <w:vAlign w:val="center"/>
            <w:hideMark/>
          </w:tcPr>
          <w:p w14:paraId="55A760CC"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1899.51</w:t>
            </w:r>
          </w:p>
        </w:tc>
        <w:tc>
          <w:tcPr>
            <w:tcW w:w="797" w:type="dxa"/>
            <w:shd w:val="clear" w:color="000000" w:fill="FFFFFF"/>
            <w:noWrap/>
            <w:vAlign w:val="center"/>
            <w:hideMark/>
          </w:tcPr>
          <w:p w14:paraId="1139662D"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1948.37</w:t>
            </w:r>
          </w:p>
        </w:tc>
        <w:tc>
          <w:tcPr>
            <w:tcW w:w="797" w:type="dxa"/>
            <w:shd w:val="clear" w:color="000000" w:fill="FFFFFF"/>
            <w:noWrap/>
            <w:vAlign w:val="center"/>
            <w:hideMark/>
          </w:tcPr>
          <w:p w14:paraId="62118DAF"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2059.96</w:t>
            </w:r>
          </w:p>
        </w:tc>
        <w:tc>
          <w:tcPr>
            <w:tcW w:w="802" w:type="dxa"/>
            <w:tcBorders>
              <w:right w:val="nil"/>
            </w:tcBorders>
            <w:shd w:val="clear" w:color="000000" w:fill="FFFFFF"/>
            <w:noWrap/>
            <w:vAlign w:val="center"/>
            <w:hideMark/>
          </w:tcPr>
          <w:p w14:paraId="56755B66"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2155.92</w:t>
            </w:r>
          </w:p>
        </w:tc>
      </w:tr>
      <w:tr w:rsidR="005A74BE" w:rsidRPr="0084045A" w14:paraId="3CC46C89" w14:textId="77777777" w:rsidTr="00512905">
        <w:trPr>
          <w:trHeight w:val="346"/>
          <w:jc w:val="center"/>
        </w:trPr>
        <w:tc>
          <w:tcPr>
            <w:tcW w:w="2074" w:type="dxa"/>
            <w:tcBorders>
              <w:left w:val="nil"/>
              <w:bottom w:val="single" w:sz="4" w:space="0" w:color="auto"/>
            </w:tcBorders>
            <w:shd w:val="clear" w:color="000000" w:fill="FFFFFF"/>
            <w:noWrap/>
            <w:vAlign w:val="center"/>
            <w:hideMark/>
          </w:tcPr>
          <w:p w14:paraId="0D70883D" w14:textId="77777777"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Bacteriologic culture</w:t>
            </w:r>
          </w:p>
        </w:tc>
        <w:tc>
          <w:tcPr>
            <w:tcW w:w="797" w:type="dxa"/>
            <w:tcBorders>
              <w:bottom w:val="single" w:sz="4" w:space="0" w:color="auto"/>
            </w:tcBorders>
            <w:shd w:val="clear" w:color="000000" w:fill="FFFFFF"/>
            <w:noWrap/>
            <w:vAlign w:val="center"/>
            <w:hideMark/>
          </w:tcPr>
          <w:p w14:paraId="3127324D"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147.42</w:t>
            </w:r>
          </w:p>
        </w:tc>
        <w:tc>
          <w:tcPr>
            <w:tcW w:w="797" w:type="dxa"/>
            <w:tcBorders>
              <w:bottom w:val="single" w:sz="4" w:space="0" w:color="auto"/>
            </w:tcBorders>
            <w:shd w:val="clear" w:color="000000" w:fill="FFFFFF"/>
            <w:noWrap/>
            <w:vAlign w:val="center"/>
            <w:hideMark/>
          </w:tcPr>
          <w:p w14:paraId="47C178E8"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152.44</w:t>
            </w:r>
          </w:p>
        </w:tc>
        <w:tc>
          <w:tcPr>
            <w:tcW w:w="797" w:type="dxa"/>
            <w:tcBorders>
              <w:bottom w:val="single" w:sz="4" w:space="0" w:color="auto"/>
            </w:tcBorders>
            <w:shd w:val="clear" w:color="000000" w:fill="FFFFFF"/>
            <w:noWrap/>
            <w:vAlign w:val="center"/>
            <w:hideMark/>
          </w:tcPr>
          <w:p w14:paraId="64483A50"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158.71</w:t>
            </w:r>
          </w:p>
        </w:tc>
        <w:tc>
          <w:tcPr>
            <w:tcW w:w="797" w:type="dxa"/>
            <w:tcBorders>
              <w:bottom w:val="single" w:sz="4" w:space="0" w:color="auto"/>
            </w:tcBorders>
            <w:shd w:val="clear" w:color="000000" w:fill="FFFFFF"/>
            <w:noWrap/>
            <w:vAlign w:val="center"/>
            <w:hideMark/>
          </w:tcPr>
          <w:p w14:paraId="41F20DB1"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164.75</w:t>
            </w:r>
          </w:p>
        </w:tc>
        <w:tc>
          <w:tcPr>
            <w:tcW w:w="797" w:type="dxa"/>
            <w:tcBorders>
              <w:bottom w:val="single" w:sz="4" w:space="0" w:color="auto"/>
            </w:tcBorders>
            <w:shd w:val="clear" w:color="000000" w:fill="FFFFFF"/>
            <w:noWrap/>
            <w:vAlign w:val="center"/>
            <w:hideMark/>
          </w:tcPr>
          <w:p w14:paraId="7E041816"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171.37</w:t>
            </w:r>
          </w:p>
        </w:tc>
        <w:tc>
          <w:tcPr>
            <w:tcW w:w="797" w:type="dxa"/>
            <w:tcBorders>
              <w:bottom w:val="single" w:sz="4" w:space="0" w:color="auto"/>
            </w:tcBorders>
            <w:shd w:val="clear" w:color="000000" w:fill="FFFFFF"/>
            <w:noWrap/>
            <w:vAlign w:val="center"/>
            <w:hideMark/>
          </w:tcPr>
          <w:p w14:paraId="7E1D0D8F"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176.03</w:t>
            </w:r>
          </w:p>
        </w:tc>
        <w:tc>
          <w:tcPr>
            <w:tcW w:w="797" w:type="dxa"/>
            <w:tcBorders>
              <w:bottom w:val="single" w:sz="4" w:space="0" w:color="auto"/>
            </w:tcBorders>
            <w:shd w:val="clear" w:color="000000" w:fill="FFFFFF"/>
            <w:noWrap/>
            <w:vAlign w:val="center"/>
            <w:hideMark/>
          </w:tcPr>
          <w:p w14:paraId="3B9E13AC"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181.00</w:t>
            </w:r>
          </w:p>
        </w:tc>
        <w:tc>
          <w:tcPr>
            <w:tcW w:w="797" w:type="dxa"/>
            <w:tcBorders>
              <w:bottom w:val="single" w:sz="4" w:space="0" w:color="auto"/>
            </w:tcBorders>
            <w:shd w:val="clear" w:color="000000" w:fill="FFFFFF"/>
            <w:noWrap/>
            <w:vAlign w:val="center"/>
            <w:hideMark/>
          </w:tcPr>
          <w:p w14:paraId="3A65768A"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191.94</w:t>
            </w:r>
          </w:p>
        </w:tc>
        <w:tc>
          <w:tcPr>
            <w:tcW w:w="802" w:type="dxa"/>
            <w:tcBorders>
              <w:bottom w:val="single" w:sz="4" w:space="0" w:color="auto"/>
              <w:right w:val="nil"/>
            </w:tcBorders>
            <w:shd w:val="clear" w:color="000000" w:fill="FFFFFF"/>
            <w:noWrap/>
            <w:vAlign w:val="center"/>
            <w:hideMark/>
          </w:tcPr>
          <w:p w14:paraId="618169CB"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201.34</w:t>
            </w:r>
          </w:p>
        </w:tc>
      </w:tr>
    </w:tbl>
    <w:p w14:paraId="72930D82" w14:textId="31B63F3F" w:rsidR="005375A4" w:rsidRPr="00096BA7" w:rsidRDefault="00B331C4" w:rsidP="00512905">
      <w:pPr>
        <w:spacing w:after="0" w:line="276" w:lineRule="auto"/>
        <w:rPr>
          <w:rFonts w:ascii="Arial" w:hAnsi="Arial" w:cs="Arial"/>
          <w:noProof/>
          <w:sz w:val="18"/>
          <w:szCs w:val="18"/>
        </w:rPr>
      </w:pPr>
      <w:r w:rsidRPr="00096BA7">
        <w:rPr>
          <w:rFonts w:ascii="Arial" w:hAnsi="Arial" w:cs="Arial"/>
          <w:noProof/>
          <w:sz w:val="18"/>
          <w:szCs w:val="18"/>
        </w:rPr>
        <w:t xml:space="preserve">Abbreviations: </w:t>
      </w:r>
      <w:r w:rsidR="001516F6" w:rsidRPr="00096BA7">
        <w:rPr>
          <w:rFonts w:ascii="Arial" w:hAnsi="Arial" w:cs="Arial"/>
          <w:noProof/>
          <w:sz w:val="18"/>
          <w:szCs w:val="18"/>
        </w:rPr>
        <w:t>IMSS</w:t>
      </w:r>
      <w:r w:rsidRPr="00096BA7">
        <w:rPr>
          <w:rFonts w:ascii="Arial" w:hAnsi="Arial" w:cs="Arial"/>
          <w:noProof/>
          <w:sz w:val="18"/>
          <w:szCs w:val="18"/>
        </w:rPr>
        <w:t xml:space="preserve">, Instituto Mexicano del Seguro Social (Mexican Social Security Institute); ISSSTE, Instituto de Seguridad y Servicios Sociales para los Trabajadores del Estado (Institute for Social Security and Services for State Workers); ER, emergency room; </w:t>
      </w:r>
      <w:r w:rsidR="005375A4" w:rsidRPr="00096BA7">
        <w:rPr>
          <w:rFonts w:ascii="Arial" w:hAnsi="Arial" w:cs="Arial"/>
          <w:noProof/>
          <w:sz w:val="18"/>
          <w:szCs w:val="18"/>
        </w:rPr>
        <w:t>PCR, polymerase chain reaction</w:t>
      </w:r>
    </w:p>
    <w:p w14:paraId="75095644" w14:textId="52009424" w:rsidR="005A74BE" w:rsidRPr="00096BA7" w:rsidRDefault="005A74BE">
      <w:pPr>
        <w:rPr>
          <w:rFonts w:ascii="Arial" w:hAnsi="Arial" w:cs="Arial"/>
          <w:noProof/>
          <w:sz w:val="24"/>
          <w:szCs w:val="24"/>
        </w:rPr>
      </w:pPr>
    </w:p>
    <w:p w14:paraId="0472CAAA" w14:textId="77777777" w:rsidR="004A1075" w:rsidRPr="00096BA7" w:rsidRDefault="004A1075" w:rsidP="00EE72A9">
      <w:pPr>
        <w:spacing w:line="240" w:lineRule="auto"/>
        <w:rPr>
          <w:rFonts w:ascii="Arial" w:hAnsi="Arial" w:cs="Arial"/>
          <w:b/>
          <w:noProof/>
          <w:sz w:val="24"/>
          <w:szCs w:val="24"/>
        </w:rPr>
      </w:pPr>
    </w:p>
    <w:p w14:paraId="184EC6AB" w14:textId="77777777" w:rsidR="004A1075" w:rsidRPr="00096BA7" w:rsidRDefault="004A1075" w:rsidP="00EE72A9">
      <w:pPr>
        <w:spacing w:line="240" w:lineRule="auto"/>
        <w:rPr>
          <w:rFonts w:ascii="Arial" w:hAnsi="Arial" w:cs="Arial"/>
          <w:b/>
          <w:noProof/>
          <w:sz w:val="24"/>
          <w:szCs w:val="24"/>
        </w:rPr>
      </w:pPr>
    </w:p>
    <w:p w14:paraId="1FCB435E" w14:textId="77777777" w:rsidR="004A1075" w:rsidRPr="00096BA7" w:rsidRDefault="004A1075" w:rsidP="00EE72A9">
      <w:pPr>
        <w:spacing w:line="240" w:lineRule="auto"/>
        <w:rPr>
          <w:rFonts w:ascii="Arial" w:hAnsi="Arial" w:cs="Arial"/>
          <w:b/>
          <w:noProof/>
          <w:sz w:val="24"/>
          <w:szCs w:val="24"/>
        </w:rPr>
      </w:pPr>
    </w:p>
    <w:p w14:paraId="76EBD06F" w14:textId="77777777" w:rsidR="004A1075" w:rsidRPr="00096BA7" w:rsidRDefault="004A1075" w:rsidP="00EE72A9">
      <w:pPr>
        <w:spacing w:line="240" w:lineRule="auto"/>
        <w:rPr>
          <w:rFonts w:ascii="Arial" w:hAnsi="Arial" w:cs="Arial"/>
          <w:b/>
          <w:noProof/>
          <w:sz w:val="24"/>
          <w:szCs w:val="24"/>
        </w:rPr>
      </w:pPr>
    </w:p>
    <w:p w14:paraId="00D2ABCD" w14:textId="77777777" w:rsidR="004A1075" w:rsidRPr="00096BA7" w:rsidRDefault="004A1075" w:rsidP="00EE72A9">
      <w:pPr>
        <w:spacing w:line="240" w:lineRule="auto"/>
        <w:rPr>
          <w:rFonts w:ascii="Arial" w:hAnsi="Arial" w:cs="Arial"/>
          <w:b/>
          <w:noProof/>
          <w:sz w:val="24"/>
          <w:szCs w:val="24"/>
        </w:rPr>
      </w:pPr>
    </w:p>
    <w:p w14:paraId="2B9D9F30" w14:textId="77777777" w:rsidR="004A1075" w:rsidRPr="00096BA7" w:rsidRDefault="004A1075" w:rsidP="00EE72A9">
      <w:pPr>
        <w:spacing w:line="240" w:lineRule="auto"/>
        <w:rPr>
          <w:rFonts w:ascii="Arial" w:hAnsi="Arial" w:cs="Arial"/>
          <w:b/>
          <w:noProof/>
          <w:sz w:val="24"/>
          <w:szCs w:val="24"/>
        </w:rPr>
      </w:pPr>
    </w:p>
    <w:p w14:paraId="288C8263" w14:textId="77777777" w:rsidR="004A1075" w:rsidRPr="00096BA7" w:rsidRDefault="004A1075" w:rsidP="00EE72A9">
      <w:pPr>
        <w:spacing w:line="240" w:lineRule="auto"/>
        <w:rPr>
          <w:rFonts w:ascii="Arial" w:hAnsi="Arial" w:cs="Arial"/>
          <w:b/>
          <w:noProof/>
          <w:sz w:val="24"/>
          <w:szCs w:val="24"/>
        </w:rPr>
      </w:pPr>
    </w:p>
    <w:p w14:paraId="1C1C6814" w14:textId="77777777" w:rsidR="004A1075" w:rsidRPr="00096BA7" w:rsidRDefault="004A1075" w:rsidP="00EE72A9">
      <w:pPr>
        <w:spacing w:line="240" w:lineRule="auto"/>
        <w:rPr>
          <w:rFonts w:ascii="Arial" w:hAnsi="Arial" w:cs="Arial"/>
          <w:b/>
          <w:noProof/>
          <w:sz w:val="24"/>
          <w:szCs w:val="24"/>
        </w:rPr>
      </w:pPr>
    </w:p>
    <w:p w14:paraId="67503D57" w14:textId="77777777" w:rsidR="004A1075" w:rsidRPr="00096BA7" w:rsidRDefault="004A1075" w:rsidP="00EE72A9">
      <w:pPr>
        <w:spacing w:line="240" w:lineRule="auto"/>
        <w:rPr>
          <w:rFonts w:ascii="Arial" w:hAnsi="Arial" w:cs="Arial"/>
          <w:b/>
          <w:noProof/>
          <w:sz w:val="24"/>
          <w:szCs w:val="24"/>
        </w:rPr>
      </w:pPr>
    </w:p>
    <w:p w14:paraId="2C45804C" w14:textId="77777777" w:rsidR="004A1075" w:rsidRPr="00096BA7" w:rsidRDefault="004A1075" w:rsidP="00EE72A9">
      <w:pPr>
        <w:spacing w:line="240" w:lineRule="auto"/>
        <w:rPr>
          <w:rFonts w:ascii="Arial" w:hAnsi="Arial" w:cs="Arial"/>
          <w:b/>
          <w:noProof/>
          <w:sz w:val="24"/>
          <w:szCs w:val="24"/>
        </w:rPr>
      </w:pPr>
    </w:p>
    <w:p w14:paraId="1E92D060" w14:textId="77777777" w:rsidR="004A1075" w:rsidRPr="00096BA7" w:rsidRDefault="004A1075" w:rsidP="00EE72A9">
      <w:pPr>
        <w:spacing w:line="240" w:lineRule="auto"/>
        <w:rPr>
          <w:rFonts w:ascii="Arial" w:hAnsi="Arial" w:cs="Arial"/>
          <w:b/>
          <w:noProof/>
          <w:sz w:val="24"/>
          <w:szCs w:val="24"/>
        </w:rPr>
      </w:pPr>
    </w:p>
    <w:p w14:paraId="0DB18BE2" w14:textId="77777777" w:rsidR="004A1075" w:rsidRPr="00096BA7" w:rsidRDefault="004A1075" w:rsidP="00EE72A9">
      <w:pPr>
        <w:spacing w:line="240" w:lineRule="auto"/>
        <w:rPr>
          <w:rFonts w:ascii="Arial" w:hAnsi="Arial" w:cs="Arial"/>
          <w:b/>
          <w:noProof/>
          <w:sz w:val="24"/>
          <w:szCs w:val="24"/>
        </w:rPr>
      </w:pPr>
    </w:p>
    <w:p w14:paraId="06247DF3" w14:textId="3C7966B0" w:rsidR="00EE72A9" w:rsidRPr="0084045A" w:rsidRDefault="00EE72A9" w:rsidP="00512905">
      <w:pPr>
        <w:pStyle w:val="Ttulo2"/>
        <w:rPr>
          <w:noProof/>
          <w:lang w:val="en-GB"/>
        </w:rPr>
      </w:pPr>
      <w:r w:rsidRPr="0084045A">
        <w:rPr>
          <w:noProof/>
          <w:lang w:val="en-GB"/>
        </w:rPr>
        <w:lastRenderedPageBreak/>
        <w:t>Table S</w:t>
      </w:r>
      <w:r w:rsidR="00EF2803" w:rsidRPr="0084045A">
        <w:rPr>
          <w:noProof/>
          <w:lang w:val="en-GB"/>
        </w:rPr>
        <w:t>3</w:t>
      </w:r>
      <w:r w:rsidRPr="0084045A">
        <w:rPr>
          <w:noProof/>
          <w:lang w:val="en-GB"/>
        </w:rPr>
        <w:t xml:space="preserve">.6. </w:t>
      </w:r>
      <w:bookmarkStart w:id="7" w:name="_Hlk20749836"/>
      <w:r w:rsidR="00B331C4" w:rsidRPr="0084045A">
        <w:rPr>
          <w:noProof/>
          <w:lang w:val="en-GB"/>
        </w:rPr>
        <w:t>National Consumer Price Index (INPC) at</w:t>
      </w:r>
      <w:r w:rsidRPr="0084045A">
        <w:rPr>
          <w:noProof/>
          <w:lang w:val="en-GB"/>
        </w:rPr>
        <w:t xml:space="preserve"> </w:t>
      </w:r>
      <w:bookmarkEnd w:id="7"/>
      <w:r w:rsidRPr="0084045A">
        <w:rPr>
          <w:noProof/>
          <w:lang w:val="en-GB"/>
        </w:rPr>
        <w:t>baseline year 2018</w:t>
      </w:r>
    </w:p>
    <w:p w14:paraId="41007DB0" w14:textId="77777777" w:rsidR="00EE72A9" w:rsidRPr="0084045A" w:rsidRDefault="00EE72A9" w:rsidP="00EE72A9">
      <w:pPr>
        <w:spacing w:after="0" w:line="240" w:lineRule="auto"/>
        <w:jc w:val="both"/>
        <w:rPr>
          <w:rFonts w:ascii="Arial" w:hAnsi="Arial" w:cs="Arial"/>
          <w:noProof/>
          <w:color w:val="000000" w:themeColor="text1"/>
          <w:sz w:val="10"/>
          <w:szCs w:val="10"/>
          <w:lang w:val="en-GB"/>
        </w:rPr>
      </w:pPr>
    </w:p>
    <w:tbl>
      <w:tblPr>
        <w:tblW w:w="5262" w:type="dxa"/>
        <w:tblCellMar>
          <w:left w:w="70" w:type="dxa"/>
          <w:right w:w="70" w:type="dxa"/>
        </w:tblCellMar>
        <w:tblLook w:val="04A0" w:firstRow="1" w:lastRow="0" w:firstColumn="1" w:lastColumn="0" w:noHBand="0" w:noVBand="1"/>
      </w:tblPr>
      <w:tblGrid>
        <w:gridCol w:w="1770"/>
        <w:gridCol w:w="3492"/>
      </w:tblGrid>
      <w:tr w:rsidR="00EE72A9" w:rsidRPr="0084045A" w14:paraId="1277BCD7" w14:textId="77777777" w:rsidTr="00AD1583">
        <w:trPr>
          <w:trHeight w:hRule="exact" w:val="400"/>
        </w:trPr>
        <w:tc>
          <w:tcPr>
            <w:tcW w:w="1770" w:type="dxa"/>
            <w:tcBorders>
              <w:top w:val="single" w:sz="4" w:space="0" w:color="auto"/>
              <w:left w:val="nil"/>
              <w:bottom w:val="single" w:sz="4" w:space="0" w:color="auto"/>
              <w:right w:val="nil"/>
            </w:tcBorders>
            <w:shd w:val="clear" w:color="auto" w:fill="auto"/>
            <w:noWrap/>
            <w:vAlign w:val="center"/>
            <w:hideMark/>
          </w:tcPr>
          <w:p w14:paraId="4AE29B6F" w14:textId="77777777" w:rsidR="00EE72A9" w:rsidRPr="0084045A" w:rsidRDefault="00EE72A9" w:rsidP="00417A17">
            <w:pPr>
              <w:spacing w:after="0" w:line="240" w:lineRule="auto"/>
              <w:jc w:val="center"/>
              <w:rPr>
                <w:rFonts w:ascii="Arial" w:eastAsia="Times New Roman" w:hAnsi="Arial" w:cs="Arial"/>
                <w:b/>
                <w:bCs/>
                <w:noProof/>
                <w:color w:val="000000"/>
                <w:sz w:val="20"/>
                <w:szCs w:val="20"/>
                <w:lang w:val="en-GB" w:eastAsia="es-ES"/>
              </w:rPr>
            </w:pPr>
            <w:r w:rsidRPr="0084045A">
              <w:rPr>
                <w:rFonts w:ascii="Arial" w:eastAsia="Times New Roman" w:hAnsi="Arial" w:cs="Arial"/>
                <w:b/>
                <w:bCs/>
                <w:noProof/>
                <w:color w:val="000000"/>
                <w:sz w:val="20"/>
                <w:szCs w:val="20"/>
                <w:lang w:val="en-GB" w:eastAsia="es-ES"/>
              </w:rPr>
              <w:t>YEAR</w:t>
            </w:r>
          </w:p>
        </w:tc>
        <w:tc>
          <w:tcPr>
            <w:tcW w:w="3492" w:type="dxa"/>
            <w:tcBorders>
              <w:top w:val="single" w:sz="4" w:space="0" w:color="auto"/>
              <w:left w:val="nil"/>
              <w:bottom w:val="single" w:sz="4" w:space="0" w:color="auto"/>
              <w:right w:val="nil"/>
            </w:tcBorders>
            <w:shd w:val="clear" w:color="auto" w:fill="auto"/>
            <w:noWrap/>
            <w:vAlign w:val="center"/>
            <w:hideMark/>
          </w:tcPr>
          <w:p w14:paraId="7271CAA3" w14:textId="77777777" w:rsidR="00EE72A9" w:rsidRPr="0084045A" w:rsidRDefault="00EE72A9">
            <w:pPr>
              <w:spacing w:after="0" w:line="240" w:lineRule="auto"/>
              <w:jc w:val="center"/>
              <w:rPr>
                <w:rFonts w:ascii="Arial" w:eastAsia="Times New Roman" w:hAnsi="Arial" w:cs="Arial"/>
                <w:b/>
                <w:bCs/>
                <w:noProof/>
                <w:color w:val="000000"/>
                <w:sz w:val="20"/>
                <w:szCs w:val="20"/>
                <w:lang w:val="en-GB" w:eastAsia="es-ES"/>
              </w:rPr>
            </w:pPr>
            <w:r w:rsidRPr="0084045A">
              <w:rPr>
                <w:rFonts w:ascii="Arial" w:eastAsia="Times New Roman" w:hAnsi="Arial" w:cs="Arial"/>
                <w:b/>
                <w:bCs/>
                <w:noProof/>
                <w:color w:val="000000"/>
                <w:sz w:val="20"/>
                <w:szCs w:val="20"/>
                <w:lang w:val="en-GB" w:eastAsia="es-ES"/>
              </w:rPr>
              <w:t>INPC</w:t>
            </w:r>
          </w:p>
        </w:tc>
      </w:tr>
      <w:tr w:rsidR="00EE72A9" w:rsidRPr="0084045A" w14:paraId="0219984C" w14:textId="77777777" w:rsidTr="00AD1583">
        <w:trPr>
          <w:trHeight w:hRule="exact" w:val="400"/>
        </w:trPr>
        <w:tc>
          <w:tcPr>
            <w:tcW w:w="1770" w:type="dxa"/>
            <w:tcBorders>
              <w:top w:val="single" w:sz="4" w:space="0" w:color="auto"/>
              <w:left w:val="nil"/>
            </w:tcBorders>
            <w:shd w:val="clear" w:color="auto" w:fill="auto"/>
            <w:noWrap/>
            <w:vAlign w:val="center"/>
            <w:hideMark/>
          </w:tcPr>
          <w:p w14:paraId="16942DB2"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2003</w:t>
            </w:r>
          </w:p>
        </w:tc>
        <w:tc>
          <w:tcPr>
            <w:tcW w:w="3492" w:type="dxa"/>
            <w:tcBorders>
              <w:top w:val="single" w:sz="4" w:space="0" w:color="auto"/>
              <w:right w:val="nil"/>
            </w:tcBorders>
            <w:shd w:val="clear" w:color="auto" w:fill="auto"/>
            <w:noWrap/>
            <w:vAlign w:val="center"/>
            <w:hideMark/>
          </w:tcPr>
          <w:p w14:paraId="4DA9B1DF"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54.282578000000</w:t>
            </w:r>
          </w:p>
        </w:tc>
      </w:tr>
      <w:tr w:rsidR="00EE72A9" w:rsidRPr="0084045A" w14:paraId="64F06D4C" w14:textId="77777777" w:rsidTr="00AD1583">
        <w:trPr>
          <w:trHeight w:hRule="exact" w:val="400"/>
        </w:trPr>
        <w:tc>
          <w:tcPr>
            <w:tcW w:w="1770" w:type="dxa"/>
            <w:tcBorders>
              <w:left w:val="nil"/>
            </w:tcBorders>
            <w:shd w:val="clear" w:color="auto" w:fill="auto"/>
            <w:noWrap/>
            <w:vAlign w:val="center"/>
            <w:hideMark/>
          </w:tcPr>
          <w:p w14:paraId="2AF45EBF"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2004</w:t>
            </w:r>
          </w:p>
        </w:tc>
        <w:tc>
          <w:tcPr>
            <w:tcW w:w="3492" w:type="dxa"/>
            <w:tcBorders>
              <w:right w:val="nil"/>
            </w:tcBorders>
            <w:shd w:val="clear" w:color="auto" w:fill="auto"/>
            <w:noWrap/>
            <w:vAlign w:val="center"/>
            <w:hideMark/>
          </w:tcPr>
          <w:p w14:paraId="7BE395A2"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56.827566250000</w:t>
            </w:r>
          </w:p>
        </w:tc>
      </w:tr>
      <w:tr w:rsidR="00EE72A9" w:rsidRPr="0084045A" w14:paraId="60D88BF5" w14:textId="77777777" w:rsidTr="00AD1583">
        <w:trPr>
          <w:trHeight w:hRule="exact" w:val="400"/>
        </w:trPr>
        <w:tc>
          <w:tcPr>
            <w:tcW w:w="1770" w:type="dxa"/>
            <w:tcBorders>
              <w:left w:val="nil"/>
            </w:tcBorders>
            <w:shd w:val="clear" w:color="auto" w:fill="auto"/>
            <w:noWrap/>
            <w:vAlign w:val="center"/>
            <w:hideMark/>
          </w:tcPr>
          <w:p w14:paraId="769DE9C7"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2005</w:t>
            </w:r>
          </w:p>
        </w:tc>
        <w:tc>
          <w:tcPr>
            <w:tcW w:w="3492" w:type="dxa"/>
            <w:tcBorders>
              <w:right w:val="nil"/>
            </w:tcBorders>
            <w:shd w:val="clear" w:color="auto" w:fill="auto"/>
            <w:noWrap/>
            <w:vAlign w:val="center"/>
            <w:hideMark/>
          </w:tcPr>
          <w:p w14:paraId="231E6A16"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59.093883916667</w:t>
            </w:r>
          </w:p>
        </w:tc>
      </w:tr>
      <w:tr w:rsidR="00EE72A9" w:rsidRPr="0084045A" w14:paraId="03315F69" w14:textId="77777777" w:rsidTr="00AD1583">
        <w:trPr>
          <w:trHeight w:hRule="exact" w:val="400"/>
        </w:trPr>
        <w:tc>
          <w:tcPr>
            <w:tcW w:w="1770" w:type="dxa"/>
            <w:tcBorders>
              <w:left w:val="nil"/>
            </w:tcBorders>
            <w:shd w:val="clear" w:color="auto" w:fill="auto"/>
            <w:noWrap/>
            <w:vAlign w:val="center"/>
            <w:hideMark/>
          </w:tcPr>
          <w:p w14:paraId="6E7E1828"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2006</w:t>
            </w:r>
          </w:p>
        </w:tc>
        <w:tc>
          <w:tcPr>
            <w:tcW w:w="3492" w:type="dxa"/>
            <w:tcBorders>
              <w:right w:val="nil"/>
            </w:tcBorders>
            <w:shd w:val="clear" w:color="auto" w:fill="auto"/>
            <w:noWrap/>
            <w:vAlign w:val="center"/>
            <w:hideMark/>
          </w:tcPr>
          <w:p w14:paraId="7671B4C8"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61.238675083333</w:t>
            </w:r>
          </w:p>
        </w:tc>
      </w:tr>
      <w:tr w:rsidR="00EE72A9" w:rsidRPr="0084045A" w14:paraId="2E6D13B0" w14:textId="77777777" w:rsidTr="00AD1583">
        <w:trPr>
          <w:trHeight w:hRule="exact" w:val="400"/>
        </w:trPr>
        <w:tc>
          <w:tcPr>
            <w:tcW w:w="1770" w:type="dxa"/>
            <w:tcBorders>
              <w:left w:val="nil"/>
            </w:tcBorders>
            <w:shd w:val="clear" w:color="auto" w:fill="auto"/>
            <w:noWrap/>
            <w:vAlign w:val="center"/>
            <w:hideMark/>
          </w:tcPr>
          <w:p w14:paraId="1825F146"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2007</w:t>
            </w:r>
          </w:p>
        </w:tc>
        <w:tc>
          <w:tcPr>
            <w:tcW w:w="3492" w:type="dxa"/>
            <w:tcBorders>
              <w:right w:val="nil"/>
            </w:tcBorders>
            <w:shd w:val="clear" w:color="auto" w:fill="auto"/>
            <w:noWrap/>
            <w:vAlign w:val="center"/>
            <w:hideMark/>
          </w:tcPr>
          <w:p w14:paraId="02A5D1C5"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63.667921083333</w:t>
            </w:r>
          </w:p>
        </w:tc>
      </w:tr>
      <w:tr w:rsidR="00EE72A9" w:rsidRPr="0084045A" w14:paraId="3E82486F" w14:textId="77777777" w:rsidTr="00AD1583">
        <w:trPr>
          <w:trHeight w:hRule="exact" w:val="400"/>
        </w:trPr>
        <w:tc>
          <w:tcPr>
            <w:tcW w:w="1770" w:type="dxa"/>
            <w:tcBorders>
              <w:left w:val="nil"/>
            </w:tcBorders>
            <w:shd w:val="clear" w:color="auto" w:fill="auto"/>
            <w:noWrap/>
            <w:vAlign w:val="center"/>
            <w:hideMark/>
          </w:tcPr>
          <w:p w14:paraId="2999055B"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2008</w:t>
            </w:r>
          </w:p>
        </w:tc>
        <w:tc>
          <w:tcPr>
            <w:tcW w:w="3492" w:type="dxa"/>
            <w:tcBorders>
              <w:right w:val="nil"/>
            </w:tcBorders>
            <w:shd w:val="clear" w:color="auto" w:fill="auto"/>
            <w:noWrap/>
            <w:vAlign w:val="center"/>
            <w:hideMark/>
          </w:tcPr>
          <w:p w14:paraId="6E6F4A4C"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66.930890416667</w:t>
            </w:r>
          </w:p>
        </w:tc>
      </w:tr>
      <w:tr w:rsidR="00EE72A9" w:rsidRPr="0084045A" w14:paraId="6FAEE38A" w14:textId="77777777" w:rsidTr="00AD1583">
        <w:trPr>
          <w:trHeight w:hRule="exact" w:val="400"/>
        </w:trPr>
        <w:tc>
          <w:tcPr>
            <w:tcW w:w="1770" w:type="dxa"/>
            <w:tcBorders>
              <w:left w:val="nil"/>
            </w:tcBorders>
            <w:shd w:val="clear" w:color="auto" w:fill="auto"/>
            <w:noWrap/>
            <w:vAlign w:val="center"/>
            <w:hideMark/>
          </w:tcPr>
          <w:p w14:paraId="2721A9DC"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2009</w:t>
            </w:r>
          </w:p>
        </w:tc>
        <w:tc>
          <w:tcPr>
            <w:tcW w:w="3492" w:type="dxa"/>
            <w:tcBorders>
              <w:right w:val="nil"/>
            </w:tcBorders>
            <w:shd w:val="clear" w:color="auto" w:fill="auto"/>
            <w:noWrap/>
            <w:vAlign w:val="center"/>
            <w:hideMark/>
          </w:tcPr>
          <w:p w14:paraId="517E271A"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70.476458583333</w:t>
            </w:r>
          </w:p>
        </w:tc>
      </w:tr>
      <w:tr w:rsidR="00EE72A9" w:rsidRPr="0084045A" w14:paraId="08F7A4C8" w14:textId="77777777" w:rsidTr="00AD1583">
        <w:trPr>
          <w:trHeight w:hRule="exact" w:val="400"/>
        </w:trPr>
        <w:tc>
          <w:tcPr>
            <w:tcW w:w="1770" w:type="dxa"/>
            <w:tcBorders>
              <w:left w:val="nil"/>
            </w:tcBorders>
            <w:shd w:val="clear" w:color="auto" w:fill="auto"/>
            <w:noWrap/>
            <w:vAlign w:val="center"/>
            <w:hideMark/>
          </w:tcPr>
          <w:p w14:paraId="235C0FD5"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2010</w:t>
            </w:r>
          </w:p>
        </w:tc>
        <w:tc>
          <w:tcPr>
            <w:tcW w:w="3492" w:type="dxa"/>
            <w:tcBorders>
              <w:right w:val="nil"/>
            </w:tcBorders>
            <w:shd w:val="clear" w:color="auto" w:fill="auto"/>
            <w:noWrap/>
            <w:vAlign w:val="center"/>
            <w:hideMark/>
          </w:tcPr>
          <w:p w14:paraId="1DD82B08"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73.405973250000</w:t>
            </w:r>
          </w:p>
        </w:tc>
      </w:tr>
      <w:tr w:rsidR="00EE72A9" w:rsidRPr="0084045A" w14:paraId="50E4AB79" w14:textId="77777777" w:rsidTr="00AD1583">
        <w:trPr>
          <w:trHeight w:hRule="exact" w:val="400"/>
        </w:trPr>
        <w:tc>
          <w:tcPr>
            <w:tcW w:w="1770" w:type="dxa"/>
            <w:tcBorders>
              <w:left w:val="nil"/>
            </w:tcBorders>
            <w:shd w:val="clear" w:color="auto" w:fill="auto"/>
            <w:noWrap/>
            <w:vAlign w:val="center"/>
            <w:hideMark/>
          </w:tcPr>
          <w:p w14:paraId="1F793C17"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2011</w:t>
            </w:r>
          </w:p>
        </w:tc>
        <w:tc>
          <w:tcPr>
            <w:tcW w:w="3492" w:type="dxa"/>
            <w:tcBorders>
              <w:right w:val="nil"/>
            </w:tcBorders>
            <w:shd w:val="clear" w:color="auto" w:fill="auto"/>
            <w:noWrap/>
            <w:vAlign w:val="center"/>
            <w:hideMark/>
          </w:tcPr>
          <w:p w14:paraId="0902F103"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75.907193333333</w:t>
            </w:r>
          </w:p>
        </w:tc>
      </w:tr>
      <w:tr w:rsidR="00EE72A9" w:rsidRPr="0084045A" w14:paraId="7F3F2F9B" w14:textId="77777777" w:rsidTr="00AD1583">
        <w:trPr>
          <w:trHeight w:hRule="exact" w:val="400"/>
        </w:trPr>
        <w:tc>
          <w:tcPr>
            <w:tcW w:w="1770" w:type="dxa"/>
            <w:tcBorders>
              <w:left w:val="nil"/>
            </w:tcBorders>
            <w:shd w:val="clear" w:color="auto" w:fill="auto"/>
            <w:noWrap/>
            <w:vAlign w:val="center"/>
            <w:hideMark/>
          </w:tcPr>
          <w:p w14:paraId="6F932150"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2012</w:t>
            </w:r>
          </w:p>
        </w:tc>
        <w:tc>
          <w:tcPr>
            <w:tcW w:w="3492" w:type="dxa"/>
            <w:tcBorders>
              <w:right w:val="nil"/>
            </w:tcBorders>
            <w:shd w:val="clear" w:color="auto" w:fill="auto"/>
            <w:noWrap/>
            <w:vAlign w:val="center"/>
            <w:hideMark/>
          </w:tcPr>
          <w:p w14:paraId="7A71EA87"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79.028124166667</w:t>
            </w:r>
          </w:p>
        </w:tc>
      </w:tr>
      <w:tr w:rsidR="00EE72A9" w:rsidRPr="0084045A" w14:paraId="3F37EAB0" w14:textId="77777777" w:rsidTr="00AD1583">
        <w:trPr>
          <w:trHeight w:hRule="exact" w:val="400"/>
        </w:trPr>
        <w:tc>
          <w:tcPr>
            <w:tcW w:w="1770" w:type="dxa"/>
            <w:tcBorders>
              <w:left w:val="nil"/>
            </w:tcBorders>
            <w:shd w:val="clear" w:color="auto" w:fill="auto"/>
            <w:noWrap/>
            <w:vAlign w:val="center"/>
            <w:hideMark/>
          </w:tcPr>
          <w:p w14:paraId="3612432C"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2013</w:t>
            </w:r>
          </w:p>
        </w:tc>
        <w:tc>
          <w:tcPr>
            <w:tcW w:w="3492" w:type="dxa"/>
            <w:tcBorders>
              <w:right w:val="nil"/>
            </w:tcBorders>
            <w:shd w:val="clear" w:color="auto" w:fill="auto"/>
            <w:noWrap/>
            <w:vAlign w:val="center"/>
            <w:hideMark/>
          </w:tcPr>
          <w:p w14:paraId="75A7BE2E"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82.036242583333</w:t>
            </w:r>
          </w:p>
        </w:tc>
      </w:tr>
      <w:tr w:rsidR="00EE72A9" w:rsidRPr="0084045A" w14:paraId="4EC4B190" w14:textId="77777777" w:rsidTr="00AD1583">
        <w:trPr>
          <w:trHeight w:hRule="exact" w:val="400"/>
        </w:trPr>
        <w:tc>
          <w:tcPr>
            <w:tcW w:w="1770" w:type="dxa"/>
            <w:tcBorders>
              <w:left w:val="nil"/>
            </w:tcBorders>
            <w:shd w:val="clear" w:color="auto" w:fill="auto"/>
            <w:noWrap/>
            <w:vAlign w:val="center"/>
            <w:hideMark/>
          </w:tcPr>
          <w:p w14:paraId="5F334511"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2014</w:t>
            </w:r>
          </w:p>
        </w:tc>
        <w:tc>
          <w:tcPr>
            <w:tcW w:w="3492" w:type="dxa"/>
            <w:tcBorders>
              <w:right w:val="nil"/>
            </w:tcBorders>
            <w:shd w:val="clear" w:color="auto" w:fill="auto"/>
            <w:noWrap/>
            <w:vAlign w:val="center"/>
            <w:hideMark/>
          </w:tcPr>
          <w:p w14:paraId="4CED82EE"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85.332965250000</w:t>
            </w:r>
          </w:p>
        </w:tc>
      </w:tr>
      <w:tr w:rsidR="00EE72A9" w:rsidRPr="0084045A" w14:paraId="597AD8B5" w14:textId="77777777" w:rsidTr="00AD1583">
        <w:trPr>
          <w:trHeight w:hRule="exact" w:val="400"/>
        </w:trPr>
        <w:tc>
          <w:tcPr>
            <w:tcW w:w="1770" w:type="dxa"/>
            <w:tcBorders>
              <w:left w:val="nil"/>
            </w:tcBorders>
            <w:shd w:val="clear" w:color="auto" w:fill="auto"/>
            <w:noWrap/>
            <w:vAlign w:val="center"/>
            <w:hideMark/>
          </w:tcPr>
          <w:p w14:paraId="6ADCB7A1"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2015</w:t>
            </w:r>
          </w:p>
        </w:tc>
        <w:tc>
          <w:tcPr>
            <w:tcW w:w="3492" w:type="dxa"/>
            <w:tcBorders>
              <w:right w:val="nil"/>
            </w:tcBorders>
            <w:shd w:val="clear" w:color="auto" w:fill="auto"/>
            <w:noWrap/>
            <w:vAlign w:val="center"/>
            <w:hideMark/>
          </w:tcPr>
          <w:p w14:paraId="307D7EEB"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87.654569166667</w:t>
            </w:r>
          </w:p>
        </w:tc>
      </w:tr>
      <w:tr w:rsidR="00EE72A9" w:rsidRPr="0084045A" w14:paraId="392DE3B6" w14:textId="77777777" w:rsidTr="00AD1583">
        <w:trPr>
          <w:trHeight w:hRule="exact" w:val="400"/>
        </w:trPr>
        <w:tc>
          <w:tcPr>
            <w:tcW w:w="1770" w:type="dxa"/>
            <w:tcBorders>
              <w:left w:val="nil"/>
            </w:tcBorders>
            <w:shd w:val="clear" w:color="auto" w:fill="auto"/>
            <w:noWrap/>
            <w:vAlign w:val="center"/>
            <w:hideMark/>
          </w:tcPr>
          <w:p w14:paraId="58D881B4"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2016</w:t>
            </w:r>
          </w:p>
        </w:tc>
        <w:tc>
          <w:tcPr>
            <w:tcW w:w="3492" w:type="dxa"/>
            <w:tcBorders>
              <w:right w:val="nil"/>
            </w:tcBorders>
            <w:shd w:val="clear" w:color="auto" w:fill="auto"/>
            <w:noWrap/>
            <w:vAlign w:val="center"/>
            <w:hideMark/>
          </w:tcPr>
          <w:p w14:paraId="04F4AA17"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90.127924833333</w:t>
            </w:r>
          </w:p>
        </w:tc>
      </w:tr>
      <w:tr w:rsidR="00EE72A9" w:rsidRPr="0084045A" w14:paraId="2C5AEF9C" w14:textId="77777777" w:rsidTr="00AD1583">
        <w:trPr>
          <w:trHeight w:hRule="exact" w:val="400"/>
        </w:trPr>
        <w:tc>
          <w:tcPr>
            <w:tcW w:w="1770" w:type="dxa"/>
            <w:tcBorders>
              <w:left w:val="nil"/>
            </w:tcBorders>
            <w:shd w:val="clear" w:color="auto" w:fill="auto"/>
            <w:noWrap/>
            <w:vAlign w:val="center"/>
            <w:hideMark/>
          </w:tcPr>
          <w:p w14:paraId="30858F2A"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2017</w:t>
            </w:r>
          </w:p>
        </w:tc>
        <w:tc>
          <w:tcPr>
            <w:tcW w:w="3492" w:type="dxa"/>
            <w:tcBorders>
              <w:right w:val="nil"/>
            </w:tcBorders>
            <w:shd w:val="clear" w:color="auto" w:fill="auto"/>
            <w:noWrap/>
            <w:vAlign w:val="center"/>
            <w:hideMark/>
          </w:tcPr>
          <w:p w14:paraId="0ED21421" w14:textId="77777777"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95.572963583333</w:t>
            </w:r>
          </w:p>
        </w:tc>
      </w:tr>
      <w:tr w:rsidR="00EE72A9" w:rsidRPr="0084045A" w14:paraId="49DF738D" w14:textId="77777777" w:rsidTr="00AD1583">
        <w:trPr>
          <w:trHeight w:hRule="exact" w:val="400"/>
        </w:trPr>
        <w:tc>
          <w:tcPr>
            <w:tcW w:w="1770" w:type="dxa"/>
            <w:tcBorders>
              <w:left w:val="nil"/>
              <w:bottom w:val="single" w:sz="4" w:space="0" w:color="auto"/>
            </w:tcBorders>
            <w:shd w:val="clear" w:color="auto" w:fill="auto"/>
            <w:noWrap/>
            <w:vAlign w:val="center"/>
            <w:hideMark/>
          </w:tcPr>
          <w:p w14:paraId="37A7014C" w14:textId="77777777" w:rsidR="00EE72A9" w:rsidRPr="0084045A" w:rsidRDefault="00EE72A9" w:rsidP="00417A17">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2018</w:t>
            </w:r>
          </w:p>
        </w:tc>
        <w:tc>
          <w:tcPr>
            <w:tcW w:w="3492" w:type="dxa"/>
            <w:tcBorders>
              <w:bottom w:val="single" w:sz="4" w:space="0" w:color="auto"/>
              <w:right w:val="nil"/>
            </w:tcBorders>
            <w:shd w:val="clear" w:color="auto" w:fill="auto"/>
            <w:noWrap/>
            <w:vAlign w:val="center"/>
            <w:hideMark/>
          </w:tcPr>
          <w:p w14:paraId="1CE9A158" w14:textId="15E7E0F0" w:rsidR="00EE72A9" w:rsidRPr="0084045A" w:rsidRDefault="00EE72A9" w:rsidP="00512905">
            <w:pPr>
              <w:spacing w:after="0" w:line="240" w:lineRule="auto"/>
              <w:jc w:val="center"/>
              <w:rPr>
                <w:rFonts w:ascii="Arial" w:eastAsia="Times New Roman" w:hAnsi="Arial" w:cs="Arial"/>
                <w:noProof/>
                <w:color w:val="000000"/>
                <w:sz w:val="20"/>
                <w:szCs w:val="20"/>
                <w:lang w:val="en-GB" w:eastAsia="es-ES"/>
              </w:rPr>
            </w:pPr>
            <w:r w:rsidRPr="0084045A">
              <w:rPr>
                <w:rFonts w:ascii="Arial" w:eastAsia="Times New Roman" w:hAnsi="Arial" w:cs="Arial"/>
                <w:noProof/>
                <w:color w:val="000000"/>
                <w:sz w:val="20"/>
                <w:szCs w:val="20"/>
                <w:lang w:val="en-GB" w:eastAsia="es-ES"/>
              </w:rPr>
              <w:t>100.255418500000</w:t>
            </w:r>
          </w:p>
        </w:tc>
      </w:tr>
    </w:tbl>
    <w:p w14:paraId="1C60C61C" w14:textId="77777777" w:rsidR="00EE72A9" w:rsidRPr="0084045A" w:rsidRDefault="00EE72A9" w:rsidP="00EE72A9">
      <w:pPr>
        <w:spacing w:after="0" w:line="240" w:lineRule="auto"/>
        <w:jc w:val="both"/>
        <w:rPr>
          <w:rFonts w:ascii="Arial" w:hAnsi="Arial" w:cs="Arial"/>
          <w:noProof/>
          <w:color w:val="000000" w:themeColor="text1"/>
          <w:sz w:val="10"/>
          <w:szCs w:val="10"/>
          <w:lang w:val="en-GB"/>
        </w:rPr>
      </w:pPr>
    </w:p>
    <w:p w14:paraId="479CEA80" w14:textId="624001D4" w:rsidR="00EE72A9" w:rsidRPr="0084045A" w:rsidRDefault="00EE72A9" w:rsidP="00EE72A9">
      <w:pPr>
        <w:spacing w:after="0" w:line="240" w:lineRule="auto"/>
        <w:ind w:right="2601"/>
        <w:rPr>
          <w:rFonts w:ascii="Arial" w:hAnsi="Arial" w:cs="Arial"/>
          <w:iCs/>
          <w:noProof/>
          <w:color w:val="000000" w:themeColor="text1"/>
          <w:sz w:val="20"/>
          <w:szCs w:val="20"/>
          <w:lang w:val="en-GB"/>
        </w:rPr>
      </w:pPr>
      <w:r w:rsidRPr="0084045A">
        <w:rPr>
          <w:rFonts w:ascii="Arial" w:hAnsi="Arial" w:cs="Arial"/>
          <w:iCs/>
          <w:noProof/>
          <w:color w:val="000000" w:themeColor="text1"/>
          <w:sz w:val="20"/>
          <w:szCs w:val="20"/>
          <w:lang w:val="en-GB"/>
        </w:rPr>
        <w:t>2018 constant prices from Mexico’s INCP were used</w:t>
      </w:r>
      <w:r w:rsidR="00B331C4" w:rsidRPr="0084045A">
        <w:rPr>
          <w:rFonts w:ascii="Arial" w:hAnsi="Arial" w:cs="Arial"/>
          <w:iCs/>
          <w:noProof/>
          <w:color w:val="000000" w:themeColor="text1"/>
          <w:sz w:val="20"/>
          <w:szCs w:val="20"/>
          <w:lang w:val="en-GB"/>
        </w:rPr>
        <w:t>.</w:t>
      </w:r>
    </w:p>
    <w:p w14:paraId="4C931A6D" w14:textId="77777777" w:rsidR="00F06F10" w:rsidRPr="0084045A" w:rsidRDefault="00F06F10" w:rsidP="00EE72A9">
      <w:pPr>
        <w:spacing w:after="0" w:line="240" w:lineRule="auto"/>
        <w:ind w:right="2601"/>
        <w:rPr>
          <w:rFonts w:ascii="Arial" w:hAnsi="Arial" w:cs="Arial"/>
          <w:iCs/>
          <w:noProof/>
          <w:color w:val="000000" w:themeColor="text1"/>
          <w:sz w:val="20"/>
          <w:szCs w:val="20"/>
          <w:lang w:val="en-GB"/>
        </w:rPr>
      </w:pPr>
    </w:p>
    <w:p w14:paraId="60F670DC" w14:textId="2A0E51D2" w:rsidR="00EE72A9" w:rsidRPr="0084045A" w:rsidRDefault="00EE72A9" w:rsidP="00512905">
      <w:pPr>
        <w:spacing w:after="0" w:line="240" w:lineRule="auto"/>
        <w:ind w:right="2601"/>
        <w:rPr>
          <w:rFonts w:ascii="Arial" w:hAnsi="Arial" w:cs="Arial"/>
          <w:noProof/>
          <w:color w:val="000000" w:themeColor="text1"/>
          <w:lang w:val="en-GB"/>
        </w:rPr>
      </w:pPr>
      <w:r w:rsidRPr="0084045A">
        <w:rPr>
          <w:rFonts w:ascii="Arial" w:hAnsi="Arial" w:cs="Arial"/>
          <w:i/>
          <w:noProof/>
          <w:color w:val="000000" w:themeColor="text1"/>
          <w:lang w:val="en-GB"/>
        </w:rPr>
        <w:t>Source:</w:t>
      </w:r>
      <w:r w:rsidRPr="0084045A">
        <w:rPr>
          <w:rFonts w:ascii="Arial" w:hAnsi="Arial" w:cs="Arial"/>
          <w:noProof/>
          <w:color w:val="000000" w:themeColor="text1"/>
          <w:lang w:val="en-GB"/>
        </w:rPr>
        <w:t xml:space="preserve"> INEGI</w:t>
      </w:r>
      <w:r w:rsidR="00E3671E">
        <w:rPr>
          <w:rFonts w:ascii="Arial" w:hAnsi="Arial" w:cs="Arial"/>
          <w:noProof/>
          <w:color w:val="000000" w:themeColor="text1"/>
          <w:lang w:val="en-GB"/>
        </w:rPr>
        <w:t xml:space="preserve"> (National Institute of Statistics and Geography)</w:t>
      </w:r>
    </w:p>
    <w:p w14:paraId="2ED62EFD" w14:textId="77777777" w:rsidR="0015649E" w:rsidRPr="0084045A" w:rsidRDefault="0015649E">
      <w:pPr>
        <w:rPr>
          <w:rFonts w:ascii="Arial" w:eastAsiaTheme="majorEastAsia" w:hAnsi="Arial" w:cstheme="majorBidi"/>
          <w:b/>
          <w:noProof/>
          <w:sz w:val="24"/>
          <w:szCs w:val="32"/>
          <w:lang w:val="en-GB"/>
        </w:rPr>
      </w:pPr>
      <w:r w:rsidRPr="0084045A">
        <w:rPr>
          <w:noProof/>
          <w:lang w:val="en-GB"/>
        </w:rPr>
        <w:br w:type="page"/>
      </w:r>
    </w:p>
    <w:p w14:paraId="477CB3E1" w14:textId="76F60A11" w:rsidR="00C939A8" w:rsidRPr="003B2744" w:rsidRDefault="00C939A8">
      <w:pPr>
        <w:pStyle w:val="Ttulo1"/>
        <w:rPr>
          <w:noProof/>
          <w:sz w:val="26"/>
          <w:szCs w:val="26"/>
          <w:lang w:val="en-GB"/>
        </w:rPr>
      </w:pPr>
      <w:r w:rsidRPr="003B2744">
        <w:rPr>
          <w:noProof/>
          <w:sz w:val="26"/>
          <w:szCs w:val="26"/>
          <w:lang w:val="en-GB"/>
        </w:rPr>
        <w:lastRenderedPageBreak/>
        <w:t xml:space="preserve">Supplement </w:t>
      </w:r>
      <w:r w:rsidR="00EF2803" w:rsidRPr="003B2744">
        <w:rPr>
          <w:noProof/>
          <w:sz w:val="26"/>
          <w:szCs w:val="26"/>
          <w:lang w:val="en-GB"/>
        </w:rPr>
        <w:t>4</w:t>
      </w:r>
    </w:p>
    <w:p w14:paraId="57ED2CBB" w14:textId="77777777" w:rsidR="00382039" w:rsidRPr="003B2744" w:rsidRDefault="00382039" w:rsidP="003B2744">
      <w:pPr>
        <w:rPr>
          <w:lang w:val="en-GB"/>
        </w:rPr>
      </w:pPr>
    </w:p>
    <w:p w14:paraId="7D2BF4DD" w14:textId="2D8AA7D9" w:rsidR="00906E5E" w:rsidRPr="0084045A" w:rsidRDefault="00906E5E" w:rsidP="00512905">
      <w:pPr>
        <w:pStyle w:val="Ttulo2"/>
        <w:rPr>
          <w:noProof/>
          <w:lang w:val="en-GB"/>
        </w:rPr>
      </w:pPr>
      <w:r w:rsidRPr="0084045A">
        <w:rPr>
          <w:noProof/>
          <w:lang w:val="en-GB"/>
        </w:rPr>
        <w:t>Figure S</w:t>
      </w:r>
      <w:r w:rsidR="000565AE">
        <w:rPr>
          <w:noProof/>
          <w:lang w:val="en-GB"/>
        </w:rPr>
        <w:t>2</w:t>
      </w:r>
      <w:r w:rsidRPr="0084045A">
        <w:rPr>
          <w:noProof/>
          <w:lang w:val="en-GB"/>
        </w:rPr>
        <w:t>. Projection of the school-aged population and total population in Mexico (2010–2030)</w:t>
      </w:r>
    </w:p>
    <w:p w14:paraId="1A5DAB30" w14:textId="3A895B43" w:rsidR="00906E5E" w:rsidRPr="0084045A" w:rsidRDefault="00B73B60" w:rsidP="00906E5E">
      <w:pPr>
        <w:spacing w:after="0" w:line="480" w:lineRule="auto"/>
        <w:jc w:val="both"/>
        <w:rPr>
          <w:rFonts w:ascii="Arial" w:hAnsi="Arial" w:cs="Arial"/>
          <w:noProof/>
          <w:color w:val="000000" w:themeColor="text1"/>
          <w:lang w:val="en-GB"/>
        </w:rPr>
      </w:pPr>
      <w:r w:rsidRPr="0084045A">
        <w:rPr>
          <w:noProof/>
          <w:lang w:eastAsia="es-MX"/>
        </w:rPr>
        <mc:AlternateContent>
          <mc:Choice Requires="wps">
            <w:drawing>
              <wp:anchor distT="0" distB="0" distL="114300" distR="114300" simplePos="0" relativeHeight="251659264" behindDoc="0" locked="0" layoutInCell="1" allowOverlap="1" wp14:anchorId="427EF307" wp14:editId="7EBCCF03">
                <wp:simplePos x="0" y="0"/>
                <wp:positionH relativeFrom="column">
                  <wp:posOffset>689803</wp:posOffset>
                </wp:positionH>
                <wp:positionV relativeFrom="paragraph">
                  <wp:posOffset>266894</wp:posOffset>
                </wp:positionV>
                <wp:extent cx="1651000" cy="2730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651000" cy="273050"/>
                        </a:xfrm>
                        <a:prstGeom prst="rect">
                          <a:avLst/>
                        </a:prstGeom>
                      </wps:spPr>
                      <wps:txbx>
                        <w:txbxContent>
                          <w:p w14:paraId="46465C75" w14:textId="25E45DF5" w:rsidR="00EF0C97" w:rsidRPr="003B2744" w:rsidRDefault="00EF0C97" w:rsidP="00B73B60">
                            <w:pPr>
                              <w:pStyle w:val="NormalWeb"/>
                              <w:spacing w:before="0" w:beforeAutospacing="0" w:after="0" w:afterAutospacing="0"/>
                              <w:rPr>
                                <w:lang w:val="en-GB"/>
                              </w:rPr>
                            </w:pPr>
                            <w:r w:rsidRPr="003B2744">
                              <w:rPr>
                                <w:rFonts w:ascii="Arial" w:hAnsi="Arial" w:cs="Arial"/>
                                <w:sz w:val="22"/>
                                <w:szCs w:val="22"/>
                                <w:lang w:val="en-GB"/>
                              </w:rPr>
                              <w:t>School-aged population</w:t>
                            </w:r>
                          </w:p>
                        </w:txbxContent>
                      </wps:txbx>
                      <wps:bodyPr vertOverflow="clip" wrap="none" rtlCol="0"/>
                    </wps:wsp>
                  </a:graphicData>
                </a:graphic>
              </wp:anchor>
            </w:drawing>
          </mc:Choice>
          <mc:Fallback>
            <w:pict>
              <v:shapetype w14:anchorId="427EF307" id="_x0000_t202" coordsize="21600,21600" o:spt="202" path="m,l,21600r21600,l21600,xe">
                <v:stroke joinstyle="miter"/>
                <v:path gradientshapeok="t" o:connecttype="rect"/>
              </v:shapetype>
              <v:shape id="Cuadro de texto 1" o:spid="_x0000_s1026" type="#_x0000_t202" style="position:absolute;left:0;text-align:left;margin-left:54.3pt;margin-top:21pt;width:130pt;height:2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" filled="f" stroked="f">
                <v:textbox>
                  <w:txbxContent>
                    <w:p w14:paraId="46465C75" w14:textId="25E45DF5" w:rsidR="00EF0C97" w:rsidRPr="003B2744" w:rsidRDefault="00EF0C97" w:rsidP="00B73B60">
                      <w:pPr>
                        <w:pStyle w:val="NormalWeb"/>
                        <w:spacing w:before="0" w:beforeAutospacing="0" w:after="0" w:afterAutospacing="0"/>
                        <w:rPr>
                          <w:lang w:val="en-GB"/>
                        </w:rPr>
                      </w:pPr>
                      <w:r w:rsidRPr="003B2744">
                        <w:rPr>
                          <w:rFonts w:ascii="Arial" w:hAnsi="Arial" w:cs="Arial"/>
                          <w:sz w:val="22"/>
                          <w:szCs w:val="22"/>
                          <w:lang w:val="en-GB"/>
                        </w:rPr>
                        <w:t>School-aged population</w:t>
                      </w:r>
                    </w:p>
                  </w:txbxContent>
                </v:textbox>
              </v:shape>
            </w:pict>
          </mc:Fallback>
        </mc:AlternateContent>
      </w:r>
      <w:r w:rsidR="00736F24" w:rsidRPr="0084045A">
        <w:rPr>
          <w:noProof/>
          <w:lang w:eastAsia="es-MX"/>
        </w:rPr>
        <w:drawing>
          <wp:inline distT="0" distB="0" distL="0" distR="0" wp14:anchorId="277DE754" wp14:editId="1CA147B8">
            <wp:extent cx="5612130" cy="3632200"/>
            <wp:effectExtent l="0" t="0" r="7620" b="63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C0E605" w14:textId="42CA9A07" w:rsidR="00906E5E" w:rsidRPr="0084045A" w:rsidRDefault="00906E5E" w:rsidP="00AD1583">
      <w:pPr>
        <w:spacing w:after="0" w:line="276" w:lineRule="auto"/>
        <w:rPr>
          <w:rFonts w:ascii="Arial" w:hAnsi="Arial" w:cs="Arial"/>
          <w:noProof/>
          <w:color w:val="000000" w:themeColor="text1"/>
          <w:lang w:val="en-GB"/>
        </w:rPr>
      </w:pPr>
      <w:r w:rsidRPr="0084045A">
        <w:rPr>
          <w:rFonts w:ascii="Arial" w:hAnsi="Arial" w:cs="Arial"/>
          <w:noProof/>
          <w:color w:val="000000" w:themeColor="text1"/>
          <w:lang w:val="en-GB"/>
        </w:rPr>
        <w:t xml:space="preserve">Source: Population projections from </w:t>
      </w:r>
      <w:r w:rsidR="00F06F10" w:rsidRPr="0084045A">
        <w:rPr>
          <w:rFonts w:ascii="Arial" w:hAnsi="Arial" w:cs="Arial"/>
          <w:noProof/>
          <w:color w:val="000000" w:themeColor="text1"/>
          <w:lang w:val="en-GB"/>
        </w:rPr>
        <w:t>Consejo Nacional de Población [National Population Council]</w:t>
      </w:r>
    </w:p>
    <w:p w14:paraId="5016FCA2" w14:textId="1AB786D4" w:rsidR="00906E5E" w:rsidRPr="0084045A" w:rsidRDefault="00906E5E">
      <w:pPr>
        <w:rPr>
          <w:rFonts w:ascii="Arial" w:eastAsiaTheme="majorEastAsia" w:hAnsi="Arial" w:cstheme="majorBidi"/>
          <w:b/>
          <w:i/>
          <w:noProof/>
          <w:szCs w:val="26"/>
          <w:lang w:val="en-GB"/>
        </w:rPr>
      </w:pPr>
      <w:r w:rsidRPr="0084045A">
        <w:rPr>
          <w:noProof/>
          <w:lang w:val="en-GB"/>
        </w:rPr>
        <w:br w:type="page"/>
      </w:r>
    </w:p>
    <w:p w14:paraId="02C12724" w14:textId="01268665" w:rsidR="005A74BE" w:rsidRPr="0084045A" w:rsidRDefault="00C939A8" w:rsidP="00512905">
      <w:pPr>
        <w:pStyle w:val="Ttulo2"/>
        <w:rPr>
          <w:noProof/>
          <w:lang w:val="en-GB"/>
        </w:rPr>
      </w:pPr>
      <w:r w:rsidRPr="0084045A">
        <w:rPr>
          <w:noProof/>
          <w:lang w:val="en-GB"/>
        </w:rPr>
        <w:lastRenderedPageBreak/>
        <w:t>Table S</w:t>
      </w:r>
      <w:r w:rsidR="00EF2803" w:rsidRPr="0084045A">
        <w:rPr>
          <w:noProof/>
          <w:lang w:val="en-GB"/>
        </w:rPr>
        <w:t>4</w:t>
      </w:r>
      <w:r w:rsidRPr="0084045A">
        <w:rPr>
          <w:noProof/>
          <w:lang w:val="en-GB"/>
        </w:rPr>
        <w:t>. Effectiveness of influenza vaccination in the Northern Hemisphere</w:t>
      </w:r>
    </w:p>
    <w:tbl>
      <w:tblPr>
        <w:tblW w:w="8222" w:type="dxa"/>
        <w:tblCellMar>
          <w:left w:w="70" w:type="dxa"/>
          <w:right w:w="70" w:type="dxa"/>
        </w:tblCellMar>
        <w:tblLook w:val="04A0" w:firstRow="1" w:lastRow="0" w:firstColumn="1" w:lastColumn="0" w:noHBand="0" w:noVBand="1"/>
      </w:tblPr>
      <w:tblGrid>
        <w:gridCol w:w="2500"/>
        <w:gridCol w:w="1753"/>
        <w:gridCol w:w="3969"/>
      </w:tblGrid>
      <w:tr w:rsidR="005A74BE" w:rsidRPr="0084045A" w14:paraId="3E5D96E7" w14:textId="77777777" w:rsidTr="00AD1583">
        <w:trPr>
          <w:trHeight w:hRule="exact" w:val="284"/>
        </w:trPr>
        <w:tc>
          <w:tcPr>
            <w:tcW w:w="2500" w:type="dxa"/>
            <w:tcBorders>
              <w:top w:val="single" w:sz="4" w:space="0" w:color="auto"/>
              <w:left w:val="nil"/>
              <w:bottom w:val="single" w:sz="4" w:space="0" w:color="auto"/>
              <w:right w:val="nil"/>
            </w:tcBorders>
            <w:shd w:val="clear" w:color="auto" w:fill="auto"/>
            <w:vAlign w:val="center"/>
            <w:hideMark/>
          </w:tcPr>
          <w:p w14:paraId="4D6F3AB6" w14:textId="77777777"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Effectiveness</w:t>
            </w:r>
          </w:p>
        </w:tc>
        <w:tc>
          <w:tcPr>
            <w:tcW w:w="1753" w:type="dxa"/>
            <w:tcBorders>
              <w:top w:val="single" w:sz="4" w:space="0" w:color="auto"/>
              <w:left w:val="nil"/>
              <w:bottom w:val="single" w:sz="4" w:space="0" w:color="auto"/>
              <w:right w:val="nil"/>
            </w:tcBorders>
            <w:shd w:val="clear" w:color="auto" w:fill="auto"/>
            <w:noWrap/>
            <w:vAlign w:val="center"/>
            <w:hideMark/>
          </w:tcPr>
          <w:p w14:paraId="3F2C3FE5" w14:textId="77777777" w:rsidR="005A74BE" w:rsidRPr="0084045A" w:rsidRDefault="005A74BE" w:rsidP="00666F4C">
            <w:pPr>
              <w:spacing w:after="0" w:line="240" w:lineRule="auto"/>
              <w:jc w:val="right"/>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95% CI</w:t>
            </w:r>
          </w:p>
        </w:tc>
        <w:tc>
          <w:tcPr>
            <w:tcW w:w="3969" w:type="dxa"/>
            <w:tcBorders>
              <w:top w:val="single" w:sz="4" w:space="0" w:color="auto"/>
              <w:left w:val="nil"/>
              <w:bottom w:val="single" w:sz="4" w:space="0" w:color="auto"/>
              <w:right w:val="nil"/>
            </w:tcBorders>
            <w:shd w:val="clear" w:color="auto" w:fill="auto"/>
            <w:noWrap/>
            <w:vAlign w:val="center"/>
            <w:hideMark/>
          </w:tcPr>
          <w:p w14:paraId="1F9BFDA0" w14:textId="77777777"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Source</w:t>
            </w:r>
          </w:p>
        </w:tc>
      </w:tr>
      <w:tr w:rsidR="005A74BE" w:rsidRPr="0084045A" w14:paraId="7D7F2559" w14:textId="77777777" w:rsidTr="00AD1583">
        <w:trPr>
          <w:trHeight w:hRule="exact" w:val="284"/>
        </w:trPr>
        <w:tc>
          <w:tcPr>
            <w:tcW w:w="8222" w:type="dxa"/>
            <w:gridSpan w:val="3"/>
            <w:tcBorders>
              <w:top w:val="single" w:sz="4" w:space="0" w:color="auto"/>
              <w:left w:val="nil"/>
              <w:right w:val="nil"/>
            </w:tcBorders>
            <w:shd w:val="clear" w:color="auto" w:fill="auto"/>
            <w:noWrap/>
            <w:vAlign w:val="center"/>
            <w:hideMark/>
          </w:tcPr>
          <w:p w14:paraId="2772E31A" w14:textId="3E9C92B7"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2009</w:t>
            </w:r>
            <w:r w:rsidR="00C939A8"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2010</w:t>
            </w:r>
          </w:p>
        </w:tc>
      </w:tr>
      <w:tr w:rsidR="005A74BE" w:rsidRPr="0084045A" w14:paraId="2FA8DDE7" w14:textId="77777777" w:rsidTr="00AD1583">
        <w:trPr>
          <w:trHeight w:hRule="exact" w:val="284"/>
        </w:trPr>
        <w:tc>
          <w:tcPr>
            <w:tcW w:w="2500" w:type="dxa"/>
            <w:tcBorders>
              <w:left w:val="nil"/>
              <w:bottom w:val="single" w:sz="4" w:space="0" w:color="auto"/>
            </w:tcBorders>
            <w:shd w:val="clear" w:color="auto" w:fill="auto"/>
            <w:noWrap/>
            <w:vAlign w:val="center"/>
            <w:hideMark/>
          </w:tcPr>
          <w:p w14:paraId="11C8BD6C" w14:textId="37A524F6"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56%</w:t>
            </w:r>
            <w:r w:rsidR="001516F6" w:rsidRPr="0084045A" w:rsidDel="001516F6">
              <w:rPr>
                <w:rFonts w:ascii="Arial" w:eastAsia="Times New Roman" w:hAnsi="Arial" w:cs="Arial"/>
                <w:noProof/>
                <w:color w:val="000000"/>
                <w:sz w:val="18"/>
                <w:szCs w:val="18"/>
                <w:vertAlign w:val="superscript"/>
                <w:lang w:val="en-GB" w:eastAsia="es-ES"/>
              </w:rPr>
              <w:t xml:space="preserve"> </w:t>
            </w:r>
          </w:p>
        </w:tc>
        <w:tc>
          <w:tcPr>
            <w:tcW w:w="1753" w:type="dxa"/>
            <w:tcBorders>
              <w:bottom w:val="single" w:sz="4" w:space="0" w:color="auto"/>
            </w:tcBorders>
            <w:shd w:val="clear" w:color="auto" w:fill="auto"/>
            <w:noWrap/>
            <w:vAlign w:val="center"/>
            <w:hideMark/>
          </w:tcPr>
          <w:p w14:paraId="5D1795E6" w14:textId="17B54CF4"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23%</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75%</w:t>
            </w:r>
          </w:p>
        </w:tc>
        <w:tc>
          <w:tcPr>
            <w:tcW w:w="3969" w:type="dxa"/>
            <w:tcBorders>
              <w:bottom w:val="single" w:sz="4" w:space="0" w:color="auto"/>
              <w:right w:val="nil"/>
            </w:tcBorders>
            <w:shd w:val="clear" w:color="auto" w:fill="auto"/>
            <w:vAlign w:val="center"/>
            <w:hideMark/>
          </w:tcPr>
          <w:p w14:paraId="6CDE8533" w14:textId="74903030"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 xml:space="preserve">Griffin, </w:t>
            </w:r>
            <w:r w:rsidR="009763B1" w:rsidRPr="0084045A">
              <w:rPr>
                <w:rFonts w:ascii="Arial" w:eastAsia="Times New Roman" w:hAnsi="Arial" w:cs="Arial"/>
                <w:noProof/>
                <w:color w:val="000000"/>
                <w:sz w:val="18"/>
                <w:szCs w:val="18"/>
                <w:lang w:val="en-GB" w:eastAsia="es-ES"/>
              </w:rPr>
              <w:t>et al.</w:t>
            </w:r>
            <w:r w:rsidRPr="0084045A">
              <w:rPr>
                <w:rFonts w:ascii="Arial" w:eastAsia="Times New Roman" w:hAnsi="Arial" w:cs="Arial"/>
                <w:noProof/>
                <w:color w:val="000000"/>
                <w:sz w:val="18"/>
                <w:szCs w:val="18"/>
                <w:lang w:val="en-GB" w:eastAsia="es-ES"/>
              </w:rPr>
              <w:t>, 2011</w:t>
            </w:r>
            <w:r w:rsidR="00E3671E" w:rsidRPr="00E3671E">
              <w:rPr>
                <w:rFonts w:ascii="Arial" w:eastAsia="Times New Roman" w:hAnsi="Arial" w:cs="Arial"/>
                <w:noProof/>
                <w:color w:val="000000"/>
                <w:sz w:val="18"/>
                <w:szCs w:val="18"/>
                <w:vertAlign w:val="superscript"/>
                <w:lang w:val="en-GB" w:eastAsia="es-ES"/>
              </w:rPr>
              <w:t>1</w:t>
            </w:r>
          </w:p>
        </w:tc>
      </w:tr>
      <w:tr w:rsidR="005A74BE" w:rsidRPr="0084045A" w14:paraId="00F8E258" w14:textId="77777777" w:rsidTr="00AD1583">
        <w:trPr>
          <w:trHeight w:hRule="exact" w:val="284"/>
        </w:trPr>
        <w:tc>
          <w:tcPr>
            <w:tcW w:w="8222" w:type="dxa"/>
            <w:gridSpan w:val="3"/>
            <w:tcBorders>
              <w:top w:val="single" w:sz="4" w:space="0" w:color="auto"/>
              <w:left w:val="nil"/>
              <w:right w:val="nil"/>
            </w:tcBorders>
            <w:shd w:val="clear" w:color="auto" w:fill="auto"/>
            <w:noWrap/>
            <w:vAlign w:val="center"/>
            <w:hideMark/>
          </w:tcPr>
          <w:p w14:paraId="7C55C1CD" w14:textId="77BD0278"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2010</w:t>
            </w:r>
            <w:r w:rsidR="00E31A7B"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2011</w:t>
            </w:r>
          </w:p>
        </w:tc>
      </w:tr>
      <w:tr w:rsidR="005A74BE" w:rsidRPr="0084045A" w14:paraId="2F795583" w14:textId="77777777" w:rsidTr="00AD1583">
        <w:trPr>
          <w:trHeight w:hRule="exact" w:val="284"/>
        </w:trPr>
        <w:tc>
          <w:tcPr>
            <w:tcW w:w="2500" w:type="dxa"/>
            <w:tcBorders>
              <w:left w:val="nil"/>
              <w:bottom w:val="single" w:sz="4" w:space="0" w:color="auto"/>
            </w:tcBorders>
            <w:shd w:val="clear" w:color="auto" w:fill="auto"/>
            <w:noWrap/>
            <w:vAlign w:val="center"/>
            <w:hideMark/>
          </w:tcPr>
          <w:p w14:paraId="670FE9A9" w14:textId="5587B95F"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60%</w:t>
            </w:r>
          </w:p>
        </w:tc>
        <w:tc>
          <w:tcPr>
            <w:tcW w:w="1753" w:type="dxa"/>
            <w:tcBorders>
              <w:bottom w:val="single" w:sz="4" w:space="0" w:color="auto"/>
            </w:tcBorders>
            <w:shd w:val="clear" w:color="auto" w:fill="auto"/>
            <w:noWrap/>
            <w:vAlign w:val="center"/>
            <w:hideMark/>
          </w:tcPr>
          <w:p w14:paraId="6883F23A"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53%–66%</w:t>
            </w:r>
          </w:p>
        </w:tc>
        <w:tc>
          <w:tcPr>
            <w:tcW w:w="3969" w:type="dxa"/>
            <w:tcBorders>
              <w:bottom w:val="single" w:sz="4" w:space="0" w:color="auto"/>
              <w:right w:val="nil"/>
            </w:tcBorders>
            <w:shd w:val="clear" w:color="auto" w:fill="auto"/>
            <w:noWrap/>
            <w:vAlign w:val="center"/>
            <w:hideMark/>
          </w:tcPr>
          <w:p w14:paraId="28F08DB6" w14:textId="7502A1BB"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Treanor et al., 2012</w:t>
            </w:r>
            <w:r w:rsidR="00E3671E" w:rsidRPr="00E3671E">
              <w:rPr>
                <w:rFonts w:ascii="Arial" w:eastAsia="Times New Roman" w:hAnsi="Arial" w:cs="Arial"/>
                <w:noProof/>
                <w:color w:val="000000"/>
                <w:sz w:val="18"/>
                <w:szCs w:val="18"/>
                <w:vertAlign w:val="superscript"/>
                <w:lang w:val="en-GB" w:eastAsia="es-ES"/>
              </w:rPr>
              <w:t>2</w:t>
            </w:r>
          </w:p>
        </w:tc>
      </w:tr>
      <w:tr w:rsidR="005A74BE" w:rsidRPr="0084045A" w14:paraId="09EC3F45" w14:textId="77777777" w:rsidTr="00AD1583">
        <w:trPr>
          <w:trHeight w:hRule="exact" w:val="284"/>
        </w:trPr>
        <w:tc>
          <w:tcPr>
            <w:tcW w:w="8222" w:type="dxa"/>
            <w:gridSpan w:val="3"/>
            <w:tcBorders>
              <w:top w:val="single" w:sz="4" w:space="0" w:color="auto"/>
              <w:left w:val="nil"/>
              <w:right w:val="nil"/>
            </w:tcBorders>
            <w:shd w:val="clear" w:color="auto" w:fill="auto"/>
            <w:noWrap/>
            <w:vAlign w:val="center"/>
            <w:hideMark/>
          </w:tcPr>
          <w:p w14:paraId="5CD246A0" w14:textId="2914C083"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2011</w:t>
            </w:r>
            <w:r w:rsidR="00E31A7B"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2012</w:t>
            </w:r>
          </w:p>
        </w:tc>
      </w:tr>
      <w:tr w:rsidR="005A74BE" w:rsidRPr="0084045A" w14:paraId="3C824111" w14:textId="77777777" w:rsidTr="00AD1583">
        <w:trPr>
          <w:trHeight w:hRule="exact" w:val="284"/>
        </w:trPr>
        <w:tc>
          <w:tcPr>
            <w:tcW w:w="2500" w:type="dxa"/>
            <w:tcBorders>
              <w:top w:val="nil"/>
              <w:left w:val="nil"/>
            </w:tcBorders>
            <w:shd w:val="clear" w:color="auto" w:fill="auto"/>
            <w:noWrap/>
            <w:vAlign w:val="center"/>
            <w:hideMark/>
          </w:tcPr>
          <w:p w14:paraId="4743F70F" w14:textId="52DF60B4"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47%</w:t>
            </w:r>
          </w:p>
        </w:tc>
        <w:tc>
          <w:tcPr>
            <w:tcW w:w="1753" w:type="dxa"/>
            <w:tcBorders>
              <w:top w:val="nil"/>
            </w:tcBorders>
            <w:shd w:val="clear" w:color="auto" w:fill="auto"/>
            <w:noWrap/>
            <w:vAlign w:val="center"/>
            <w:hideMark/>
          </w:tcPr>
          <w:p w14:paraId="1569CEBF"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36%–56%</w:t>
            </w:r>
          </w:p>
        </w:tc>
        <w:tc>
          <w:tcPr>
            <w:tcW w:w="3969" w:type="dxa"/>
            <w:tcBorders>
              <w:top w:val="nil"/>
              <w:right w:val="nil"/>
            </w:tcBorders>
            <w:shd w:val="clear" w:color="auto" w:fill="auto"/>
            <w:noWrap/>
            <w:vAlign w:val="center"/>
            <w:hideMark/>
          </w:tcPr>
          <w:p w14:paraId="172D3621" w14:textId="1DD2E678"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Ohmit et al., 2014</w:t>
            </w:r>
            <w:r w:rsidR="00E3671E" w:rsidRPr="00E3671E">
              <w:rPr>
                <w:rFonts w:ascii="Arial" w:eastAsia="Times New Roman" w:hAnsi="Arial" w:cs="Arial"/>
                <w:noProof/>
                <w:color w:val="000000"/>
                <w:sz w:val="18"/>
                <w:szCs w:val="18"/>
                <w:vertAlign w:val="superscript"/>
                <w:lang w:val="en-GB" w:eastAsia="es-ES"/>
              </w:rPr>
              <w:t>3</w:t>
            </w:r>
          </w:p>
        </w:tc>
      </w:tr>
      <w:tr w:rsidR="005A74BE" w:rsidRPr="0084045A" w14:paraId="6E1A37E9" w14:textId="77777777" w:rsidTr="00AD1583">
        <w:trPr>
          <w:trHeight w:hRule="exact" w:val="284"/>
        </w:trPr>
        <w:tc>
          <w:tcPr>
            <w:tcW w:w="2500" w:type="dxa"/>
            <w:tcBorders>
              <w:left w:val="nil"/>
            </w:tcBorders>
            <w:shd w:val="clear" w:color="auto" w:fill="auto"/>
            <w:noWrap/>
            <w:vAlign w:val="center"/>
            <w:hideMark/>
          </w:tcPr>
          <w:p w14:paraId="6C07020A" w14:textId="5E8DC882"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59%</w:t>
            </w:r>
          </w:p>
        </w:tc>
        <w:tc>
          <w:tcPr>
            <w:tcW w:w="1753" w:type="dxa"/>
            <w:shd w:val="clear" w:color="auto" w:fill="auto"/>
            <w:noWrap/>
            <w:vAlign w:val="center"/>
            <w:hideMark/>
          </w:tcPr>
          <w:p w14:paraId="63E623CE"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43%–70%</w:t>
            </w:r>
          </w:p>
        </w:tc>
        <w:tc>
          <w:tcPr>
            <w:tcW w:w="3969" w:type="dxa"/>
            <w:tcBorders>
              <w:right w:val="nil"/>
            </w:tcBorders>
            <w:shd w:val="clear" w:color="auto" w:fill="auto"/>
            <w:noWrap/>
            <w:vAlign w:val="center"/>
            <w:hideMark/>
          </w:tcPr>
          <w:p w14:paraId="0EF87E84" w14:textId="2A42F968"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Skowronski et al., 2014</w:t>
            </w:r>
            <w:r w:rsidR="00E3671E" w:rsidRPr="00E3671E">
              <w:rPr>
                <w:rFonts w:ascii="Arial" w:eastAsia="Times New Roman" w:hAnsi="Arial" w:cs="Arial"/>
                <w:noProof/>
                <w:color w:val="000000"/>
                <w:sz w:val="18"/>
                <w:szCs w:val="18"/>
                <w:vertAlign w:val="superscript"/>
                <w:lang w:val="en-GB" w:eastAsia="es-ES"/>
              </w:rPr>
              <w:t>4</w:t>
            </w:r>
          </w:p>
        </w:tc>
      </w:tr>
      <w:tr w:rsidR="005A74BE" w:rsidRPr="0084045A" w14:paraId="6D556D79" w14:textId="77777777" w:rsidTr="00AD1583">
        <w:trPr>
          <w:trHeight w:val="567"/>
        </w:trPr>
        <w:tc>
          <w:tcPr>
            <w:tcW w:w="2500" w:type="dxa"/>
            <w:tcBorders>
              <w:left w:val="nil"/>
              <w:bottom w:val="single" w:sz="4" w:space="0" w:color="auto"/>
            </w:tcBorders>
            <w:shd w:val="clear" w:color="auto" w:fill="auto"/>
            <w:vAlign w:val="center"/>
            <w:hideMark/>
          </w:tcPr>
          <w:p w14:paraId="7EDFDB0E" w14:textId="668B4E25"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A(H1N1)pdm09: 42.80%</w:t>
            </w:r>
            <w:r w:rsidRPr="0084045A">
              <w:rPr>
                <w:rFonts w:ascii="Arial" w:eastAsia="Times New Roman" w:hAnsi="Arial" w:cs="Arial"/>
                <w:noProof/>
                <w:color w:val="000000"/>
                <w:sz w:val="18"/>
                <w:szCs w:val="18"/>
                <w:lang w:val="en-GB" w:eastAsia="es-ES"/>
              </w:rPr>
              <w:br/>
              <w:t xml:space="preserve">A(H3N2): 38.1% </w:t>
            </w:r>
          </w:p>
        </w:tc>
        <w:tc>
          <w:tcPr>
            <w:tcW w:w="1753" w:type="dxa"/>
            <w:tcBorders>
              <w:bottom w:val="single" w:sz="4" w:space="0" w:color="auto"/>
            </w:tcBorders>
            <w:shd w:val="clear" w:color="auto" w:fill="auto"/>
            <w:vAlign w:val="center"/>
            <w:hideMark/>
          </w:tcPr>
          <w:p w14:paraId="6CE39A33" w14:textId="1C2A324A"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6.3%</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65.0%</w:t>
            </w:r>
          </w:p>
        </w:tc>
        <w:tc>
          <w:tcPr>
            <w:tcW w:w="3969" w:type="dxa"/>
            <w:tcBorders>
              <w:bottom w:val="single" w:sz="4" w:space="0" w:color="auto"/>
              <w:right w:val="nil"/>
            </w:tcBorders>
            <w:shd w:val="clear" w:color="auto" w:fill="auto"/>
            <w:noWrap/>
            <w:vAlign w:val="center"/>
            <w:hideMark/>
          </w:tcPr>
          <w:p w14:paraId="729F88F1" w14:textId="38290D21"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Rondy et al., 2016</w:t>
            </w:r>
            <w:r w:rsidR="00E3671E" w:rsidRPr="00E3671E">
              <w:rPr>
                <w:rFonts w:ascii="Arial" w:eastAsia="Times New Roman" w:hAnsi="Arial" w:cs="Arial"/>
                <w:noProof/>
                <w:color w:val="000000"/>
                <w:sz w:val="18"/>
                <w:szCs w:val="18"/>
                <w:vertAlign w:val="superscript"/>
                <w:lang w:val="en-GB" w:eastAsia="es-ES"/>
              </w:rPr>
              <w:t>5</w:t>
            </w:r>
          </w:p>
        </w:tc>
      </w:tr>
      <w:tr w:rsidR="005A74BE" w:rsidRPr="0084045A" w14:paraId="509DE9C7" w14:textId="77777777" w:rsidTr="00AD1583">
        <w:trPr>
          <w:trHeight w:hRule="exact" w:val="284"/>
        </w:trPr>
        <w:tc>
          <w:tcPr>
            <w:tcW w:w="8222" w:type="dxa"/>
            <w:gridSpan w:val="3"/>
            <w:tcBorders>
              <w:top w:val="single" w:sz="4" w:space="0" w:color="auto"/>
              <w:left w:val="nil"/>
              <w:right w:val="nil"/>
            </w:tcBorders>
            <w:shd w:val="clear" w:color="auto" w:fill="auto"/>
            <w:noWrap/>
            <w:vAlign w:val="center"/>
            <w:hideMark/>
          </w:tcPr>
          <w:p w14:paraId="0155B8C4" w14:textId="19D80C6A"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2012</w:t>
            </w:r>
            <w:r w:rsidR="00E31A7B"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2013</w:t>
            </w:r>
          </w:p>
        </w:tc>
      </w:tr>
      <w:tr w:rsidR="005A74BE" w:rsidRPr="0084045A" w14:paraId="0FF81999" w14:textId="77777777" w:rsidTr="00AD1583">
        <w:trPr>
          <w:trHeight w:hRule="exact" w:val="284"/>
        </w:trPr>
        <w:tc>
          <w:tcPr>
            <w:tcW w:w="2500" w:type="dxa"/>
            <w:tcBorders>
              <w:left w:val="nil"/>
            </w:tcBorders>
            <w:shd w:val="clear" w:color="auto" w:fill="auto"/>
            <w:noWrap/>
            <w:vAlign w:val="center"/>
            <w:hideMark/>
          </w:tcPr>
          <w:p w14:paraId="551E686F" w14:textId="0941CD58"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49%</w:t>
            </w:r>
          </w:p>
        </w:tc>
        <w:tc>
          <w:tcPr>
            <w:tcW w:w="1753" w:type="dxa"/>
            <w:shd w:val="clear" w:color="auto" w:fill="auto"/>
            <w:noWrap/>
            <w:vAlign w:val="center"/>
            <w:hideMark/>
          </w:tcPr>
          <w:p w14:paraId="0A995A45"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43%–55%</w:t>
            </w:r>
          </w:p>
        </w:tc>
        <w:tc>
          <w:tcPr>
            <w:tcW w:w="3969" w:type="dxa"/>
            <w:tcBorders>
              <w:right w:val="nil"/>
            </w:tcBorders>
            <w:shd w:val="clear" w:color="auto" w:fill="auto"/>
            <w:noWrap/>
            <w:vAlign w:val="center"/>
            <w:hideMark/>
          </w:tcPr>
          <w:p w14:paraId="3828CAC8" w14:textId="55E3F4AF"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McLean et al., 2015</w:t>
            </w:r>
            <w:r w:rsidR="00E3671E" w:rsidRPr="00E3671E">
              <w:rPr>
                <w:rFonts w:ascii="Arial" w:eastAsia="Times New Roman" w:hAnsi="Arial" w:cs="Arial"/>
                <w:noProof/>
                <w:color w:val="000000"/>
                <w:sz w:val="18"/>
                <w:szCs w:val="18"/>
                <w:vertAlign w:val="superscript"/>
                <w:lang w:val="en-GB" w:eastAsia="es-ES"/>
              </w:rPr>
              <w:t>6</w:t>
            </w:r>
          </w:p>
        </w:tc>
      </w:tr>
      <w:tr w:rsidR="005A74BE" w:rsidRPr="0084045A" w14:paraId="72E83DE9" w14:textId="77777777" w:rsidTr="00AD1583">
        <w:trPr>
          <w:trHeight w:val="801"/>
        </w:trPr>
        <w:tc>
          <w:tcPr>
            <w:tcW w:w="2500" w:type="dxa"/>
            <w:tcBorders>
              <w:left w:val="nil"/>
              <w:bottom w:val="single" w:sz="4" w:space="0" w:color="auto"/>
            </w:tcBorders>
            <w:shd w:val="clear" w:color="auto" w:fill="auto"/>
            <w:vAlign w:val="center"/>
            <w:hideMark/>
          </w:tcPr>
          <w:p w14:paraId="3BFACC3D" w14:textId="6AC50FE1"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A(H3N2): 42.2%</w:t>
            </w:r>
            <w:r w:rsidRPr="0084045A">
              <w:rPr>
                <w:rFonts w:ascii="Arial" w:eastAsia="Times New Roman" w:hAnsi="Arial" w:cs="Arial"/>
                <w:noProof/>
                <w:color w:val="000000"/>
                <w:sz w:val="18"/>
                <w:szCs w:val="18"/>
                <w:lang w:val="en-GB" w:eastAsia="es-ES"/>
              </w:rPr>
              <w:br/>
              <w:t>A(H1N1)pdm09: 50.4%</w:t>
            </w:r>
            <w:r w:rsidRPr="0084045A">
              <w:rPr>
                <w:rFonts w:ascii="Arial" w:eastAsia="Times New Roman" w:hAnsi="Arial" w:cs="Arial"/>
                <w:noProof/>
                <w:color w:val="000000"/>
                <w:sz w:val="18"/>
                <w:szCs w:val="18"/>
                <w:lang w:val="en-GB" w:eastAsia="es-ES"/>
              </w:rPr>
              <w:br/>
              <w:t xml:space="preserve">B: 49.3% </w:t>
            </w:r>
          </w:p>
        </w:tc>
        <w:tc>
          <w:tcPr>
            <w:tcW w:w="1753" w:type="dxa"/>
            <w:tcBorders>
              <w:bottom w:val="single" w:sz="4" w:space="0" w:color="auto"/>
            </w:tcBorders>
            <w:shd w:val="clear" w:color="auto" w:fill="auto"/>
            <w:vAlign w:val="center"/>
            <w:hideMark/>
          </w:tcPr>
          <w:p w14:paraId="1F7A08D8" w14:textId="68D1727C"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14.9%</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60.7%</w:t>
            </w:r>
            <w:r w:rsidRPr="0084045A">
              <w:rPr>
                <w:rFonts w:ascii="Arial" w:eastAsia="Times New Roman" w:hAnsi="Arial" w:cs="Arial"/>
                <w:noProof/>
                <w:color w:val="000000"/>
                <w:sz w:val="18"/>
                <w:szCs w:val="18"/>
                <w:lang w:val="en-GB" w:eastAsia="es-ES"/>
              </w:rPr>
              <w:br/>
              <w:t>28.4%</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65.6%</w:t>
            </w:r>
            <w:r w:rsidRPr="0084045A">
              <w:rPr>
                <w:rFonts w:ascii="Arial" w:eastAsia="Times New Roman" w:hAnsi="Arial" w:cs="Arial"/>
                <w:noProof/>
                <w:color w:val="000000"/>
                <w:sz w:val="18"/>
                <w:szCs w:val="18"/>
                <w:lang w:val="en-GB" w:eastAsia="es-ES"/>
              </w:rPr>
              <w:br/>
              <w:t>28.4%–65.6%</w:t>
            </w:r>
          </w:p>
        </w:tc>
        <w:tc>
          <w:tcPr>
            <w:tcW w:w="3969" w:type="dxa"/>
            <w:tcBorders>
              <w:bottom w:val="single" w:sz="4" w:space="0" w:color="auto"/>
              <w:right w:val="nil"/>
            </w:tcBorders>
            <w:shd w:val="clear" w:color="auto" w:fill="auto"/>
            <w:noWrap/>
            <w:vAlign w:val="center"/>
            <w:hideMark/>
          </w:tcPr>
          <w:p w14:paraId="27B2014A" w14:textId="28E70D91"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Kissling et al., 2014</w:t>
            </w:r>
            <w:r w:rsidR="00E3671E" w:rsidRPr="00E3671E">
              <w:rPr>
                <w:rFonts w:ascii="Arial" w:eastAsia="Times New Roman" w:hAnsi="Arial" w:cs="Arial"/>
                <w:noProof/>
                <w:color w:val="000000"/>
                <w:sz w:val="18"/>
                <w:szCs w:val="18"/>
                <w:vertAlign w:val="superscript"/>
                <w:lang w:val="en-GB" w:eastAsia="es-ES"/>
              </w:rPr>
              <w:t>7</w:t>
            </w:r>
          </w:p>
        </w:tc>
      </w:tr>
      <w:tr w:rsidR="005A74BE" w:rsidRPr="0084045A" w14:paraId="4598E146" w14:textId="77777777" w:rsidTr="00AD1583">
        <w:trPr>
          <w:trHeight w:hRule="exact" w:val="284"/>
        </w:trPr>
        <w:tc>
          <w:tcPr>
            <w:tcW w:w="8222" w:type="dxa"/>
            <w:gridSpan w:val="3"/>
            <w:tcBorders>
              <w:top w:val="single" w:sz="4" w:space="0" w:color="auto"/>
              <w:left w:val="nil"/>
              <w:right w:val="nil"/>
            </w:tcBorders>
            <w:shd w:val="clear" w:color="auto" w:fill="auto"/>
            <w:noWrap/>
            <w:vAlign w:val="center"/>
            <w:hideMark/>
          </w:tcPr>
          <w:p w14:paraId="529BFF2A" w14:textId="4621DF54"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2013</w:t>
            </w:r>
            <w:r w:rsidR="00E31A7B"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2014</w:t>
            </w:r>
          </w:p>
        </w:tc>
      </w:tr>
      <w:tr w:rsidR="005A74BE" w:rsidRPr="0084045A" w14:paraId="054C6618" w14:textId="77777777" w:rsidTr="00AD1583">
        <w:trPr>
          <w:trHeight w:hRule="exact" w:val="284"/>
        </w:trPr>
        <w:tc>
          <w:tcPr>
            <w:tcW w:w="2500" w:type="dxa"/>
            <w:tcBorders>
              <w:left w:val="nil"/>
            </w:tcBorders>
            <w:shd w:val="clear" w:color="auto" w:fill="auto"/>
            <w:noWrap/>
            <w:vAlign w:val="center"/>
            <w:hideMark/>
          </w:tcPr>
          <w:p w14:paraId="15070D4E" w14:textId="24FF1357"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68%</w:t>
            </w:r>
          </w:p>
        </w:tc>
        <w:tc>
          <w:tcPr>
            <w:tcW w:w="1753" w:type="dxa"/>
            <w:shd w:val="clear" w:color="auto" w:fill="auto"/>
            <w:noWrap/>
            <w:vAlign w:val="center"/>
            <w:hideMark/>
          </w:tcPr>
          <w:p w14:paraId="4A9618C4"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58%–76%</w:t>
            </w:r>
          </w:p>
        </w:tc>
        <w:tc>
          <w:tcPr>
            <w:tcW w:w="3969" w:type="dxa"/>
            <w:tcBorders>
              <w:right w:val="nil"/>
            </w:tcBorders>
            <w:shd w:val="clear" w:color="auto" w:fill="auto"/>
            <w:noWrap/>
            <w:vAlign w:val="center"/>
            <w:hideMark/>
          </w:tcPr>
          <w:p w14:paraId="7B40F037" w14:textId="45222736"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Skowronski et al., 2015</w:t>
            </w:r>
            <w:r w:rsidR="00E3671E" w:rsidRPr="00E3671E">
              <w:rPr>
                <w:rFonts w:ascii="Arial" w:eastAsia="Times New Roman" w:hAnsi="Arial" w:cs="Arial"/>
                <w:noProof/>
                <w:color w:val="000000"/>
                <w:sz w:val="18"/>
                <w:szCs w:val="18"/>
                <w:vertAlign w:val="superscript"/>
                <w:lang w:val="en-GB" w:eastAsia="es-ES"/>
              </w:rPr>
              <w:t>8</w:t>
            </w:r>
          </w:p>
        </w:tc>
      </w:tr>
      <w:tr w:rsidR="005A74BE" w:rsidRPr="0084045A" w14:paraId="30E0A06C" w14:textId="77777777" w:rsidTr="00AD1583">
        <w:trPr>
          <w:trHeight w:hRule="exact" w:val="284"/>
        </w:trPr>
        <w:tc>
          <w:tcPr>
            <w:tcW w:w="2500" w:type="dxa"/>
            <w:tcBorders>
              <w:left w:val="nil"/>
              <w:bottom w:val="single" w:sz="4" w:space="0" w:color="auto"/>
            </w:tcBorders>
            <w:shd w:val="clear" w:color="auto" w:fill="auto"/>
            <w:noWrap/>
            <w:vAlign w:val="center"/>
            <w:hideMark/>
          </w:tcPr>
          <w:p w14:paraId="5EF560C9" w14:textId="6895B9F5"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54%</w:t>
            </w:r>
          </w:p>
        </w:tc>
        <w:tc>
          <w:tcPr>
            <w:tcW w:w="1753" w:type="dxa"/>
            <w:tcBorders>
              <w:bottom w:val="single" w:sz="4" w:space="0" w:color="auto"/>
            </w:tcBorders>
            <w:shd w:val="clear" w:color="auto" w:fill="auto"/>
            <w:noWrap/>
            <w:vAlign w:val="center"/>
            <w:hideMark/>
          </w:tcPr>
          <w:p w14:paraId="068EF676"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46%–61%</w:t>
            </w:r>
          </w:p>
        </w:tc>
        <w:tc>
          <w:tcPr>
            <w:tcW w:w="3969" w:type="dxa"/>
            <w:tcBorders>
              <w:bottom w:val="single" w:sz="4" w:space="0" w:color="auto"/>
              <w:right w:val="nil"/>
            </w:tcBorders>
            <w:shd w:val="clear" w:color="auto" w:fill="auto"/>
            <w:noWrap/>
            <w:vAlign w:val="center"/>
            <w:hideMark/>
          </w:tcPr>
          <w:p w14:paraId="3591AE83" w14:textId="11679559"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Gaglani et al., 2016</w:t>
            </w:r>
            <w:r w:rsidR="00E3671E" w:rsidRPr="00E3671E">
              <w:rPr>
                <w:rFonts w:ascii="Arial" w:eastAsia="Times New Roman" w:hAnsi="Arial" w:cs="Arial"/>
                <w:noProof/>
                <w:color w:val="000000"/>
                <w:sz w:val="18"/>
                <w:szCs w:val="18"/>
                <w:vertAlign w:val="superscript"/>
                <w:lang w:val="en-GB" w:eastAsia="es-ES"/>
              </w:rPr>
              <w:t>9</w:t>
            </w:r>
          </w:p>
        </w:tc>
      </w:tr>
      <w:tr w:rsidR="005A74BE" w:rsidRPr="0084045A" w14:paraId="57E02D0F" w14:textId="77777777" w:rsidTr="00AD1583">
        <w:trPr>
          <w:trHeight w:hRule="exact" w:val="284"/>
        </w:trPr>
        <w:tc>
          <w:tcPr>
            <w:tcW w:w="8222" w:type="dxa"/>
            <w:gridSpan w:val="3"/>
            <w:tcBorders>
              <w:top w:val="single" w:sz="4" w:space="0" w:color="auto"/>
              <w:left w:val="nil"/>
              <w:right w:val="nil"/>
            </w:tcBorders>
            <w:shd w:val="clear" w:color="auto" w:fill="auto"/>
            <w:noWrap/>
            <w:vAlign w:val="center"/>
            <w:hideMark/>
          </w:tcPr>
          <w:p w14:paraId="347717FE" w14:textId="1C818304"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2014</w:t>
            </w:r>
            <w:r w:rsidR="001B1B0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2015</w:t>
            </w:r>
          </w:p>
        </w:tc>
      </w:tr>
      <w:tr w:rsidR="005A74BE" w:rsidRPr="0084045A" w14:paraId="34AD58ED" w14:textId="77777777" w:rsidTr="00AD1583">
        <w:trPr>
          <w:trHeight w:hRule="exact" w:val="284"/>
        </w:trPr>
        <w:tc>
          <w:tcPr>
            <w:tcW w:w="2500" w:type="dxa"/>
            <w:tcBorders>
              <w:left w:val="nil"/>
            </w:tcBorders>
            <w:shd w:val="clear" w:color="auto" w:fill="auto"/>
            <w:noWrap/>
            <w:vAlign w:val="center"/>
            <w:hideMark/>
          </w:tcPr>
          <w:p w14:paraId="4E2D84B8" w14:textId="530BE589"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19%</w:t>
            </w:r>
          </w:p>
        </w:tc>
        <w:tc>
          <w:tcPr>
            <w:tcW w:w="1753" w:type="dxa"/>
            <w:shd w:val="clear" w:color="auto" w:fill="auto"/>
            <w:noWrap/>
            <w:vAlign w:val="center"/>
            <w:hideMark/>
          </w:tcPr>
          <w:p w14:paraId="434972BE" w14:textId="2F8C00B4"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10%</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27%</w:t>
            </w:r>
          </w:p>
        </w:tc>
        <w:tc>
          <w:tcPr>
            <w:tcW w:w="3969" w:type="dxa"/>
            <w:tcBorders>
              <w:right w:val="nil"/>
            </w:tcBorders>
            <w:shd w:val="clear" w:color="auto" w:fill="auto"/>
            <w:noWrap/>
            <w:vAlign w:val="center"/>
            <w:hideMark/>
          </w:tcPr>
          <w:p w14:paraId="73C3AC13" w14:textId="2989FA4A"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Zimmerman et al., 2016</w:t>
            </w:r>
            <w:r w:rsidR="00E3671E" w:rsidRPr="00E3671E">
              <w:rPr>
                <w:rFonts w:ascii="Arial" w:eastAsia="Times New Roman" w:hAnsi="Arial" w:cs="Arial"/>
                <w:noProof/>
                <w:color w:val="000000"/>
                <w:sz w:val="18"/>
                <w:szCs w:val="18"/>
                <w:vertAlign w:val="superscript"/>
                <w:lang w:val="en-GB" w:eastAsia="es-ES"/>
              </w:rPr>
              <w:t>10</w:t>
            </w:r>
          </w:p>
        </w:tc>
      </w:tr>
      <w:tr w:rsidR="005A74BE" w:rsidRPr="0084045A" w14:paraId="709DEEB4" w14:textId="77777777" w:rsidTr="00AD1583">
        <w:trPr>
          <w:trHeight w:val="831"/>
        </w:trPr>
        <w:tc>
          <w:tcPr>
            <w:tcW w:w="2500" w:type="dxa"/>
            <w:tcBorders>
              <w:left w:val="nil"/>
            </w:tcBorders>
            <w:shd w:val="clear" w:color="auto" w:fill="auto"/>
            <w:vAlign w:val="center"/>
            <w:hideMark/>
          </w:tcPr>
          <w:p w14:paraId="79395808" w14:textId="4C195E97"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A(H3N2):14.4%</w:t>
            </w:r>
            <w:r w:rsidRPr="0084045A">
              <w:rPr>
                <w:rFonts w:ascii="Arial" w:eastAsia="Times New Roman" w:hAnsi="Arial" w:cs="Arial"/>
                <w:noProof/>
                <w:color w:val="000000"/>
                <w:sz w:val="18"/>
                <w:szCs w:val="18"/>
                <w:lang w:val="en-GB" w:eastAsia="es-ES"/>
              </w:rPr>
              <w:br/>
              <w:t>A(H1N1)pdm09: 54.2%</w:t>
            </w:r>
            <w:r w:rsidRPr="0084045A">
              <w:rPr>
                <w:rFonts w:ascii="Arial" w:eastAsia="Times New Roman" w:hAnsi="Arial" w:cs="Arial"/>
                <w:noProof/>
                <w:color w:val="000000"/>
                <w:sz w:val="18"/>
                <w:szCs w:val="18"/>
                <w:lang w:val="en-GB" w:eastAsia="es-ES"/>
              </w:rPr>
              <w:br/>
              <w:t xml:space="preserve">B: 48.0% </w:t>
            </w:r>
          </w:p>
        </w:tc>
        <w:tc>
          <w:tcPr>
            <w:tcW w:w="1753" w:type="dxa"/>
            <w:shd w:val="clear" w:color="auto" w:fill="auto"/>
            <w:vAlign w:val="center"/>
            <w:hideMark/>
          </w:tcPr>
          <w:p w14:paraId="27F3263D" w14:textId="704133B2"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6.3%</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31%</w:t>
            </w:r>
            <w:r w:rsidRPr="0084045A">
              <w:rPr>
                <w:rFonts w:ascii="Arial" w:eastAsia="Times New Roman" w:hAnsi="Arial" w:cs="Arial"/>
                <w:noProof/>
                <w:color w:val="000000"/>
                <w:sz w:val="18"/>
                <w:szCs w:val="18"/>
                <w:lang w:val="en-GB" w:eastAsia="es-ES"/>
              </w:rPr>
              <w:br/>
              <w:t>31.2%</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69.6%</w:t>
            </w:r>
            <w:r w:rsidRPr="0084045A">
              <w:rPr>
                <w:rFonts w:ascii="Arial" w:eastAsia="Times New Roman" w:hAnsi="Arial" w:cs="Arial"/>
                <w:noProof/>
                <w:color w:val="000000"/>
                <w:sz w:val="18"/>
                <w:szCs w:val="18"/>
                <w:lang w:val="en-GB" w:eastAsia="es-ES"/>
              </w:rPr>
              <w:br/>
              <w:t>28.9%</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61.9%</w:t>
            </w:r>
          </w:p>
        </w:tc>
        <w:tc>
          <w:tcPr>
            <w:tcW w:w="3969" w:type="dxa"/>
            <w:tcBorders>
              <w:right w:val="nil"/>
            </w:tcBorders>
            <w:shd w:val="clear" w:color="auto" w:fill="auto"/>
            <w:noWrap/>
            <w:vAlign w:val="center"/>
            <w:hideMark/>
          </w:tcPr>
          <w:p w14:paraId="360ECB67" w14:textId="429A0C85"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Valenciano et al., 2016</w:t>
            </w:r>
            <w:r w:rsidR="00E3671E" w:rsidRPr="00E3671E">
              <w:rPr>
                <w:rFonts w:ascii="Arial" w:eastAsia="Times New Roman" w:hAnsi="Arial" w:cs="Arial"/>
                <w:noProof/>
                <w:color w:val="000000"/>
                <w:sz w:val="18"/>
                <w:szCs w:val="18"/>
                <w:vertAlign w:val="superscript"/>
                <w:lang w:val="en-GB" w:eastAsia="es-ES"/>
              </w:rPr>
              <w:t>11</w:t>
            </w:r>
          </w:p>
        </w:tc>
      </w:tr>
      <w:tr w:rsidR="005A74BE" w:rsidRPr="0084045A" w14:paraId="19F60398" w14:textId="77777777" w:rsidTr="00AD1583">
        <w:trPr>
          <w:trHeight w:hRule="exact" w:val="284"/>
        </w:trPr>
        <w:tc>
          <w:tcPr>
            <w:tcW w:w="2500" w:type="dxa"/>
            <w:tcBorders>
              <w:left w:val="nil"/>
              <w:bottom w:val="single" w:sz="4" w:space="0" w:color="auto"/>
            </w:tcBorders>
            <w:shd w:val="clear" w:color="auto" w:fill="auto"/>
            <w:noWrap/>
            <w:vAlign w:val="center"/>
            <w:hideMark/>
          </w:tcPr>
          <w:p w14:paraId="75DB69BF" w14:textId="044E9921"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22%</w:t>
            </w:r>
          </w:p>
        </w:tc>
        <w:tc>
          <w:tcPr>
            <w:tcW w:w="1753" w:type="dxa"/>
            <w:tcBorders>
              <w:bottom w:val="single" w:sz="4" w:space="0" w:color="auto"/>
            </w:tcBorders>
            <w:shd w:val="clear" w:color="auto" w:fill="auto"/>
            <w:noWrap/>
            <w:vAlign w:val="center"/>
            <w:hideMark/>
          </w:tcPr>
          <w:p w14:paraId="7D74B60D" w14:textId="10691C6B"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8%</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33%</w:t>
            </w:r>
          </w:p>
        </w:tc>
        <w:tc>
          <w:tcPr>
            <w:tcW w:w="3969" w:type="dxa"/>
            <w:tcBorders>
              <w:bottom w:val="single" w:sz="4" w:space="0" w:color="auto"/>
              <w:right w:val="nil"/>
            </w:tcBorders>
            <w:shd w:val="clear" w:color="auto" w:fill="auto"/>
            <w:noWrap/>
            <w:vAlign w:val="center"/>
            <w:hideMark/>
          </w:tcPr>
          <w:p w14:paraId="0178FFB2" w14:textId="35B16FA5"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Puig-Barberà et al., 2016</w:t>
            </w:r>
            <w:r w:rsidR="00E3671E" w:rsidRPr="00E3671E">
              <w:rPr>
                <w:rFonts w:ascii="Arial" w:eastAsia="Times New Roman" w:hAnsi="Arial" w:cs="Arial"/>
                <w:noProof/>
                <w:color w:val="000000"/>
                <w:sz w:val="18"/>
                <w:szCs w:val="18"/>
                <w:vertAlign w:val="superscript"/>
                <w:lang w:val="en-GB" w:eastAsia="es-ES"/>
              </w:rPr>
              <w:t>12</w:t>
            </w:r>
          </w:p>
        </w:tc>
      </w:tr>
      <w:tr w:rsidR="005A74BE" w:rsidRPr="0084045A" w14:paraId="79D11EFB" w14:textId="77777777" w:rsidTr="00AD1583">
        <w:trPr>
          <w:trHeight w:hRule="exact" w:val="284"/>
        </w:trPr>
        <w:tc>
          <w:tcPr>
            <w:tcW w:w="8222" w:type="dxa"/>
            <w:gridSpan w:val="3"/>
            <w:tcBorders>
              <w:top w:val="single" w:sz="4" w:space="0" w:color="auto"/>
              <w:left w:val="nil"/>
              <w:right w:val="nil"/>
            </w:tcBorders>
            <w:shd w:val="clear" w:color="auto" w:fill="auto"/>
            <w:noWrap/>
            <w:vAlign w:val="center"/>
            <w:hideMark/>
          </w:tcPr>
          <w:p w14:paraId="0DF48CFB" w14:textId="786C9F78"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2015</w:t>
            </w:r>
            <w:r w:rsidR="00C939A8"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2016</w:t>
            </w:r>
          </w:p>
        </w:tc>
      </w:tr>
      <w:tr w:rsidR="005A74BE" w:rsidRPr="0084045A" w14:paraId="7C2B6FEC" w14:textId="77777777" w:rsidTr="00AD1583">
        <w:trPr>
          <w:trHeight w:hRule="exact" w:val="284"/>
        </w:trPr>
        <w:tc>
          <w:tcPr>
            <w:tcW w:w="2500" w:type="dxa"/>
            <w:tcBorders>
              <w:left w:val="nil"/>
            </w:tcBorders>
            <w:shd w:val="clear" w:color="auto" w:fill="auto"/>
            <w:noWrap/>
            <w:vAlign w:val="center"/>
            <w:hideMark/>
          </w:tcPr>
          <w:p w14:paraId="669E88AB" w14:textId="56554B66"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48%</w:t>
            </w:r>
          </w:p>
        </w:tc>
        <w:tc>
          <w:tcPr>
            <w:tcW w:w="1753" w:type="dxa"/>
            <w:shd w:val="clear" w:color="auto" w:fill="auto"/>
            <w:noWrap/>
            <w:vAlign w:val="center"/>
            <w:hideMark/>
          </w:tcPr>
          <w:p w14:paraId="6AEDE58E" w14:textId="7A2EA671"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41%</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55%</w:t>
            </w:r>
          </w:p>
        </w:tc>
        <w:tc>
          <w:tcPr>
            <w:tcW w:w="3969" w:type="dxa"/>
            <w:tcBorders>
              <w:right w:val="nil"/>
            </w:tcBorders>
            <w:shd w:val="clear" w:color="auto" w:fill="auto"/>
            <w:noWrap/>
            <w:vAlign w:val="center"/>
            <w:hideMark/>
          </w:tcPr>
          <w:p w14:paraId="438C65D5" w14:textId="530E184C"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Jackson et al., 2017</w:t>
            </w:r>
            <w:r w:rsidR="00E3671E" w:rsidRPr="00E3671E">
              <w:rPr>
                <w:rFonts w:ascii="Arial" w:eastAsia="Times New Roman" w:hAnsi="Arial" w:cs="Arial"/>
                <w:noProof/>
                <w:color w:val="000000"/>
                <w:sz w:val="18"/>
                <w:szCs w:val="18"/>
                <w:vertAlign w:val="superscript"/>
                <w:lang w:val="en-GB" w:eastAsia="es-ES"/>
              </w:rPr>
              <w:t>13</w:t>
            </w:r>
          </w:p>
        </w:tc>
      </w:tr>
      <w:tr w:rsidR="005A74BE" w:rsidRPr="0084045A" w14:paraId="4F268334" w14:textId="77777777" w:rsidTr="00AD1583">
        <w:trPr>
          <w:trHeight w:hRule="exact" w:val="284"/>
        </w:trPr>
        <w:tc>
          <w:tcPr>
            <w:tcW w:w="2500" w:type="dxa"/>
            <w:tcBorders>
              <w:left w:val="nil"/>
            </w:tcBorders>
            <w:shd w:val="clear" w:color="auto" w:fill="auto"/>
            <w:noWrap/>
            <w:vAlign w:val="center"/>
            <w:hideMark/>
          </w:tcPr>
          <w:p w14:paraId="29719EE1" w14:textId="213A5BAD"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64%</w:t>
            </w:r>
          </w:p>
        </w:tc>
        <w:tc>
          <w:tcPr>
            <w:tcW w:w="1753" w:type="dxa"/>
            <w:shd w:val="clear" w:color="auto" w:fill="auto"/>
            <w:noWrap/>
            <w:vAlign w:val="center"/>
            <w:hideMark/>
          </w:tcPr>
          <w:p w14:paraId="06E8F82E" w14:textId="6AB433CF"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44%</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77%</w:t>
            </w:r>
          </w:p>
        </w:tc>
        <w:tc>
          <w:tcPr>
            <w:tcW w:w="3969" w:type="dxa"/>
            <w:tcBorders>
              <w:right w:val="nil"/>
            </w:tcBorders>
            <w:shd w:val="clear" w:color="auto" w:fill="auto"/>
            <w:noWrap/>
            <w:vAlign w:val="center"/>
            <w:hideMark/>
          </w:tcPr>
          <w:p w14:paraId="3285B967" w14:textId="14E826C8"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Chambers et al., 2016</w:t>
            </w:r>
            <w:r w:rsidR="00E3671E" w:rsidRPr="00E3671E">
              <w:rPr>
                <w:rFonts w:ascii="Arial" w:eastAsia="Times New Roman" w:hAnsi="Arial" w:cs="Arial"/>
                <w:noProof/>
                <w:color w:val="000000"/>
                <w:sz w:val="18"/>
                <w:szCs w:val="18"/>
                <w:vertAlign w:val="superscript"/>
                <w:lang w:val="en-GB" w:eastAsia="es-ES"/>
              </w:rPr>
              <w:t>14</w:t>
            </w:r>
          </w:p>
        </w:tc>
      </w:tr>
      <w:tr w:rsidR="005A74BE" w:rsidRPr="0084045A" w14:paraId="0A4576F0" w14:textId="77777777" w:rsidTr="00AD1583">
        <w:trPr>
          <w:trHeight w:hRule="exact" w:val="284"/>
        </w:trPr>
        <w:tc>
          <w:tcPr>
            <w:tcW w:w="2500" w:type="dxa"/>
            <w:tcBorders>
              <w:left w:val="nil"/>
              <w:bottom w:val="single" w:sz="4" w:space="0" w:color="auto"/>
            </w:tcBorders>
            <w:shd w:val="clear" w:color="auto" w:fill="auto"/>
            <w:vAlign w:val="center"/>
            <w:hideMark/>
          </w:tcPr>
          <w:p w14:paraId="1384331E" w14:textId="56DBCA99"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32.9%</w:t>
            </w:r>
          </w:p>
        </w:tc>
        <w:tc>
          <w:tcPr>
            <w:tcW w:w="1753" w:type="dxa"/>
            <w:tcBorders>
              <w:bottom w:val="single" w:sz="4" w:space="0" w:color="auto"/>
            </w:tcBorders>
            <w:shd w:val="clear" w:color="auto" w:fill="auto"/>
            <w:noWrap/>
            <w:vAlign w:val="center"/>
            <w:hideMark/>
          </w:tcPr>
          <w:p w14:paraId="51A9B57A" w14:textId="1E3488A8"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15.5%</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46.7%</w:t>
            </w:r>
          </w:p>
        </w:tc>
        <w:tc>
          <w:tcPr>
            <w:tcW w:w="3969" w:type="dxa"/>
            <w:tcBorders>
              <w:bottom w:val="single" w:sz="4" w:space="0" w:color="auto"/>
              <w:right w:val="nil"/>
            </w:tcBorders>
            <w:shd w:val="clear" w:color="auto" w:fill="auto"/>
            <w:noWrap/>
            <w:vAlign w:val="center"/>
            <w:hideMark/>
          </w:tcPr>
          <w:p w14:paraId="76A3F045" w14:textId="3C4C350F"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Kissling et al., 2018</w:t>
            </w:r>
            <w:r w:rsidR="00E3671E" w:rsidRPr="00E3671E">
              <w:rPr>
                <w:rFonts w:ascii="Arial" w:eastAsia="Times New Roman" w:hAnsi="Arial" w:cs="Arial"/>
                <w:noProof/>
                <w:color w:val="000000"/>
                <w:sz w:val="18"/>
                <w:szCs w:val="18"/>
                <w:vertAlign w:val="superscript"/>
                <w:lang w:val="en-GB" w:eastAsia="es-ES"/>
              </w:rPr>
              <w:t>15</w:t>
            </w:r>
          </w:p>
        </w:tc>
      </w:tr>
      <w:tr w:rsidR="005A74BE" w:rsidRPr="0084045A" w14:paraId="18D166C2" w14:textId="77777777" w:rsidTr="00AD1583">
        <w:trPr>
          <w:trHeight w:hRule="exact" w:val="284"/>
        </w:trPr>
        <w:tc>
          <w:tcPr>
            <w:tcW w:w="8222" w:type="dxa"/>
            <w:gridSpan w:val="3"/>
            <w:tcBorders>
              <w:top w:val="single" w:sz="4" w:space="0" w:color="auto"/>
              <w:left w:val="nil"/>
              <w:right w:val="nil"/>
            </w:tcBorders>
            <w:shd w:val="clear" w:color="auto" w:fill="auto"/>
            <w:noWrap/>
            <w:vAlign w:val="center"/>
            <w:hideMark/>
          </w:tcPr>
          <w:p w14:paraId="25F09002" w14:textId="12D72637"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2016</w:t>
            </w:r>
            <w:r w:rsidR="00C939A8"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2017</w:t>
            </w:r>
          </w:p>
        </w:tc>
      </w:tr>
      <w:tr w:rsidR="005A74BE" w:rsidRPr="0084045A" w14:paraId="6618EF37" w14:textId="77777777" w:rsidTr="00AD1583">
        <w:trPr>
          <w:trHeight w:hRule="exact" w:val="284"/>
        </w:trPr>
        <w:tc>
          <w:tcPr>
            <w:tcW w:w="2500" w:type="dxa"/>
            <w:tcBorders>
              <w:left w:val="nil"/>
              <w:bottom w:val="single" w:sz="4" w:space="0" w:color="auto"/>
            </w:tcBorders>
            <w:shd w:val="clear" w:color="auto" w:fill="auto"/>
            <w:noWrap/>
            <w:vAlign w:val="center"/>
            <w:hideMark/>
          </w:tcPr>
          <w:p w14:paraId="345FE5A3" w14:textId="48F825C0"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48%</w:t>
            </w:r>
          </w:p>
        </w:tc>
        <w:tc>
          <w:tcPr>
            <w:tcW w:w="1753" w:type="dxa"/>
            <w:tcBorders>
              <w:bottom w:val="single" w:sz="4" w:space="0" w:color="auto"/>
            </w:tcBorders>
            <w:shd w:val="clear" w:color="auto" w:fill="auto"/>
            <w:noWrap/>
            <w:vAlign w:val="center"/>
            <w:hideMark/>
          </w:tcPr>
          <w:p w14:paraId="5DF96ACA"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37%–57%</w:t>
            </w:r>
          </w:p>
        </w:tc>
        <w:tc>
          <w:tcPr>
            <w:tcW w:w="3969" w:type="dxa"/>
            <w:tcBorders>
              <w:bottom w:val="single" w:sz="4" w:space="0" w:color="auto"/>
              <w:right w:val="nil"/>
            </w:tcBorders>
            <w:shd w:val="clear" w:color="auto" w:fill="auto"/>
            <w:noWrap/>
            <w:vAlign w:val="center"/>
            <w:hideMark/>
          </w:tcPr>
          <w:p w14:paraId="4482B9A6" w14:textId="64E5F06B"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Flannery et al., 2017</w:t>
            </w:r>
            <w:r w:rsidR="00E3671E" w:rsidRPr="00E3671E">
              <w:rPr>
                <w:rFonts w:ascii="Arial" w:eastAsia="Times New Roman" w:hAnsi="Arial" w:cs="Arial"/>
                <w:noProof/>
                <w:color w:val="000000"/>
                <w:sz w:val="18"/>
                <w:szCs w:val="18"/>
                <w:vertAlign w:val="superscript"/>
                <w:lang w:val="en-GB" w:eastAsia="es-ES"/>
              </w:rPr>
              <w:t>16</w:t>
            </w:r>
          </w:p>
        </w:tc>
      </w:tr>
      <w:tr w:rsidR="005A74BE" w:rsidRPr="0084045A" w14:paraId="7BD80BD0" w14:textId="77777777" w:rsidTr="00AD1583">
        <w:trPr>
          <w:trHeight w:hRule="exact" w:val="284"/>
        </w:trPr>
        <w:tc>
          <w:tcPr>
            <w:tcW w:w="8222" w:type="dxa"/>
            <w:gridSpan w:val="3"/>
            <w:tcBorders>
              <w:top w:val="single" w:sz="4" w:space="0" w:color="auto"/>
              <w:left w:val="nil"/>
              <w:right w:val="nil"/>
            </w:tcBorders>
            <w:shd w:val="clear" w:color="auto" w:fill="auto"/>
            <w:noWrap/>
            <w:vAlign w:val="center"/>
            <w:hideMark/>
          </w:tcPr>
          <w:p w14:paraId="659E0FFB" w14:textId="62E1C779"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2017</w:t>
            </w:r>
            <w:r w:rsidR="00C939A8"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2018</w:t>
            </w:r>
          </w:p>
        </w:tc>
      </w:tr>
      <w:tr w:rsidR="005A74BE" w:rsidRPr="0084045A" w14:paraId="0A249CE8" w14:textId="77777777" w:rsidTr="00AD1583">
        <w:trPr>
          <w:trHeight w:hRule="exact" w:val="284"/>
        </w:trPr>
        <w:tc>
          <w:tcPr>
            <w:tcW w:w="2500" w:type="dxa"/>
            <w:tcBorders>
              <w:left w:val="nil"/>
            </w:tcBorders>
            <w:shd w:val="clear" w:color="auto" w:fill="auto"/>
            <w:noWrap/>
            <w:vAlign w:val="center"/>
            <w:hideMark/>
          </w:tcPr>
          <w:p w14:paraId="2A4A1F87" w14:textId="3F5B8A07"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36%</w:t>
            </w:r>
          </w:p>
        </w:tc>
        <w:tc>
          <w:tcPr>
            <w:tcW w:w="1753" w:type="dxa"/>
            <w:shd w:val="clear" w:color="auto" w:fill="auto"/>
            <w:noWrap/>
            <w:vAlign w:val="center"/>
            <w:hideMark/>
          </w:tcPr>
          <w:p w14:paraId="78A84658"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27%–44%</w:t>
            </w:r>
          </w:p>
        </w:tc>
        <w:tc>
          <w:tcPr>
            <w:tcW w:w="3969" w:type="dxa"/>
            <w:tcBorders>
              <w:right w:val="nil"/>
            </w:tcBorders>
            <w:shd w:val="clear" w:color="auto" w:fill="auto"/>
            <w:noWrap/>
            <w:vAlign w:val="center"/>
            <w:hideMark/>
          </w:tcPr>
          <w:p w14:paraId="6A9FA909" w14:textId="0ECEC17B" w:rsidR="005A74BE" w:rsidRPr="0084045A" w:rsidRDefault="00A745AB"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Flannery et al. 2017</w:t>
            </w:r>
            <w:r w:rsidR="00E3671E" w:rsidRPr="00E3671E">
              <w:rPr>
                <w:rFonts w:ascii="Arial" w:eastAsia="Times New Roman" w:hAnsi="Arial" w:cs="Arial"/>
                <w:noProof/>
                <w:color w:val="000000"/>
                <w:sz w:val="18"/>
                <w:szCs w:val="18"/>
                <w:vertAlign w:val="superscript"/>
                <w:lang w:val="en-GB" w:eastAsia="es-ES"/>
              </w:rPr>
              <w:t>16</w:t>
            </w:r>
          </w:p>
        </w:tc>
      </w:tr>
      <w:tr w:rsidR="005A74BE" w:rsidRPr="0084045A" w14:paraId="7B1D992B" w14:textId="77777777" w:rsidTr="00AD1583">
        <w:trPr>
          <w:trHeight w:hRule="exact" w:val="284"/>
        </w:trPr>
        <w:tc>
          <w:tcPr>
            <w:tcW w:w="2500" w:type="dxa"/>
            <w:tcBorders>
              <w:left w:val="nil"/>
              <w:bottom w:val="single" w:sz="4" w:space="0" w:color="auto"/>
            </w:tcBorders>
            <w:shd w:val="clear" w:color="auto" w:fill="auto"/>
            <w:noWrap/>
            <w:vAlign w:val="center"/>
            <w:hideMark/>
          </w:tcPr>
          <w:p w14:paraId="39A43391" w14:textId="35CB10C6"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42%</w:t>
            </w:r>
          </w:p>
        </w:tc>
        <w:tc>
          <w:tcPr>
            <w:tcW w:w="1753" w:type="dxa"/>
            <w:tcBorders>
              <w:bottom w:val="single" w:sz="4" w:space="0" w:color="auto"/>
            </w:tcBorders>
            <w:shd w:val="clear" w:color="auto" w:fill="auto"/>
            <w:noWrap/>
            <w:vAlign w:val="center"/>
            <w:hideMark/>
          </w:tcPr>
          <w:p w14:paraId="6B5B1FDC" w14:textId="1503B4B4"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25%</w:t>
            </w:r>
            <w:r w:rsidR="00C939A8" w:rsidRPr="0084045A">
              <w:rPr>
                <w:rFonts w:ascii="Arial" w:eastAsia="Times New Roman" w:hAnsi="Arial" w:cs="Arial"/>
                <w:noProof/>
                <w:color w:val="000000"/>
                <w:sz w:val="18"/>
                <w:szCs w:val="18"/>
                <w:lang w:val="en-GB" w:eastAsia="es-ES"/>
              </w:rPr>
              <w:t>–</w:t>
            </w:r>
            <w:r w:rsidRPr="0084045A">
              <w:rPr>
                <w:rFonts w:ascii="Arial" w:eastAsia="Times New Roman" w:hAnsi="Arial" w:cs="Arial"/>
                <w:noProof/>
                <w:color w:val="000000"/>
                <w:sz w:val="18"/>
                <w:szCs w:val="18"/>
                <w:lang w:val="en-GB" w:eastAsia="es-ES"/>
              </w:rPr>
              <w:t>55%</w:t>
            </w:r>
          </w:p>
        </w:tc>
        <w:tc>
          <w:tcPr>
            <w:tcW w:w="3969" w:type="dxa"/>
            <w:tcBorders>
              <w:bottom w:val="single" w:sz="4" w:space="0" w:color="auto"/>
              <w:right w:val="nil"/>
            </w:tcBorders>
            <w:shd w:val="clear" w:color="auto" w:fill="auto"/>
            <w:noWrap/>
            <w:vAlign w:val="center"/>
            <w:hideMark/>
          </w:tcPr>
          <w:p w14:paraId="21E22120" w14:textId="5262F38C"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Skowronski et al., 2018</w:t>
            </w:r>
            <w:r w:rsidR="00E3671E" w:rsidRPr="00E3671E">
              <w:rPr>
                <w:rFonts w:ascii="Arial" w:eastAsia="Times New Roman" w:hAnsi="Arial" w:cs="Arial"/>
                <w:noProof/>
                <w:color w:val="000000"/>
                <w:sz w:val="18"/>
                <w:szCs w:val="18"/>
                <w:vertAlign w:val="superscript"/>
                <w:lang w:val="en-GB" w:eastAsia="es-ES"/>
              </w:rPr>
              <w:t>17</w:t>
            </w:r>
          </w:p>
        </w:tc>
      </w:tr>
      <w:tr w:rsidR="005A74BE" w:rsidRPr="0084045A" w14:paraId="00B8AD05" w14:textId="77777777" w:rsidTr="00AD1583">
        <w:trPr>
          <w:trHeight w:hRule="exact" w:val="284"/>
        </w:trPr>
        <w:tc>
          <w:tcPr>
            <w:tcW w:w="8222" w:type="dxa"/>
            <w:gridSpan w:val="3"/>
            <w:tcBorders>
              <w:top w:val="single" w:sz="4" w:space="0" w:color="auto"/>
              <w:left w:val="nil"/>
              <w:right w:val="nil"/>
            </w:tcBorders>
            <w:shd w:val="clear" w:color="auto" w:fill="auto"/>
            <w:noWrap/>
            <w:vAlign w:val="center"/>
            <w:hideMark/>
          </w:tcPr>
          <w:p w14:paraId="398A10F0" w14:textId="4A38174F" w:rsidR="005A74BE" w:rsidRPr="0084045A" w:rsidRDefault="005A74BE" w:rsidP="00666F4C">
            <w:pPr>
              <w:spacing w:after="0" w:line="240" w:lineRule="auto"/>
              <w:rPr>
                <w:rFonts w:ascii="Arial" w:eastAsia="Times New Roman" w:hAnsi="Arial" w:cs="Arial"/>
                <w:b/>
                <w:bCs/>
                <w:noProof/>
                <w:color w:val="000000"/>
                <w:sz w:val="18"/>
                <w:szCs w:val="18"/>
                <w:lang w:val="en-GB" w:eastAsia="es-ES"/>
              </w:rPr>
            </w:pPr>
            <w:r w:rsidRPr="0084045A">
              <w:rPr>
                <w:rFonts w:ascii="Arial" w:eastAsia="Times New Roman" w:hAnsi="Arial" w:cs="Arial"/>
                <w:b/>
                <w:bCs/>
                <w:noProof/>
                <w:color w:val="000000"/>
                <w:sz w:val="18"/>
                <w:szCs w:val="18"/>
                <w:lang w:val="en-GB" w:eastAsia="es-ES"/>
              </w:rPr>
              <w:t>2018</w:t>
            </w:r>
            <w:r w:rsidR="001B1B04" w:rsidRPr="0084045A">
              <w:rPr>
                <w:rFonts w:ascii="Arial" w:eastAsia="Times New Roman" w:hAnsi="Arial" w:cs="Arial"/>
                <w:b/>
                <w:bCs/>
                <w:noProof/>
                <w:color w:val="000000"/>
                <w:sz w:val="18"/>
                <w:szCs w:val="18"/>
                <w:lang w:val="en-GB" w:eastAsia="es-ES"/>
              </w:rPr>
              <w:t>–</w:t>
            </w:r>
            <w:r w:rsidRPr="0084045A">
              <w:rPr>
                <w:rFonts w:ascii="Arial" w:eastAsia="Times New Roman" w:hAnsi="Arial" w:cs="Arial"/>
                <w:b/>
                <w:bCs/>
                <w:noProof/>
                <w:color w:val="000000"/>
                <w:sz w:val="18"/>
                <w:szCs w:val="18"/>
                <w:lang w:val="en-GB" w:eastAsia="es-ES"/>
              </w:rPr>
              <w:t>2019</w:t>
            </w:r>
          </w:p>
        </w:tc>
      </w:tr>
      <w:tr w:rsidR="005A74BE" w:rsidRPr="0084045A" w14:paraId="7277FDAA" w14:textId="77777777" w:rsidTr="00AD1583">
        <w:trPr>
          <w:trHeight w:hRule="exact" w:val="284"/>
        </w:trPr>
        <w:tc>
          <w:tcPr>
            <w:tcW w:w="2500" w:type="dxa"/>
            <w:tcBorders>
              <w:left w:val="nil"/>
              <w:bottom w:val="single" w:sz="4" w:space="0" w:color="auto"/>
            </w:tcBorders>
            <w:shd w:val="clear" w:color="auto" w:fill="auto"/>
            <w:noWrap/>
            <w:vAlign w:val="center"/>
            <w:hideMark/>
          </w:tcPr>
          <w:p w14:paraId="47D24686" w14:textId="4A4F5ACA" w:rsidR="005A74BE" w:rsidRPr="0084045A" w:rsidRDefault="005A74BE" w:rsidP="001516F6">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47%</w:t>
            </w:r>
          </w:p>
        </w:tc>
        <w:tc>
          <w:tcPr>
            <w:tcW w:w="1753" w:type="dxa"/>
            <w:tcBorders>
              <w:bottom w:val="single" w:sz="4" w:space="0" w:color="auto"/>
            </w:tcBorders>
            <w:shd w:val="clear" w:color="auto" w:fill="auto"/>
            <w:noWrap/>
            <w:vAlign w:val="center"/>
            <w:hideMark/>
          </w:tcPr>
          <w:p w14:paraId="68E854E0" w14:textId="77777777" w:rsidR="005A74BE" w:rsidRPr="0084045A" w:rsidRDefault="005A74BE" w:rsidP="00666F4C">
            <w:pPr>
              <w:spacing w:after="0" w:line="240" w:lineRule="auto"/>
              <w:jc w:val="right"/>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34%–57%</w:t>
            </w:r>
          </w:p>
        </w:tc>
        <w:tc>
          <w:tcPr>
            <w:tcW w:w="3969" w:type="dxa"/>
            <w:tcBorders>
              <w:bottom w:val="single" w:sz="4" w:space="0" w:color="auto"/>
              <w:right w:val="nil"/>
            </w:tcBorders>
            <w:shd w:val="clear" w:color="auto" w:fill="auto"/>
            <w:noWrap/>
            <w:vAlign w:val="center"/>
            <w:hideMark/>
          </w:tcPr>
          <w:p w14:paraId="340D04A5" w14:textId="3F9C1A0B" w:rsidR="005A74BE" w:rsidRPr="0084045A" w:rsidRDefault="005A74BE" w:rsidP="00666F4C">
            <w:pPr>
              <w:spacing w:after="0" w:line="240" w:lineRule="auto"/>
              <w:rPr>
                <w:rFonts w:ascii="Arial" w:eastAsia="Times New Roman" w:hAnsi="Arial" w:cs="Arial"/>
                <w:noProof/>
                <w:color w:val="000000"/>
                <w:sz w:val="18"/>
                <w:szCs w:val="18"/>
                <w:lang w:val="en-GB" w:eastAsia="es-ES"/>
              </w:rPr>
            </w:pPr>
            <w:r w:rsidRPr="0084045A">
              <w:rPr>
                <w:rFonts w:ascii="Arial" w:eastAsia="Times New Roman" w:hAnsi="Arial" w:cs="Arial"/>
                <w:noProof/>
                <w:color w:val="000000"/>
                <w:sz w:val="18"/>
                <w:szCs w:val="18"/>
                <w:lang w:val="en-GB" w:eastAsia="es-ES"/>
              </w:rPr>
              <w:t>Doyle et al., 2019</w:t>
            </w:r>
            <w:r w:rsidR="00E3671E" w:rsidRPr="00E3671E">
              <w:rPr>
                <w:rFonts w:ascii="Arial" w:eastAsia="Times New Roman" w:hAnsi="Arial" w:cs="Arial"/>
                <w:noProof/>
                <w:color w:val="000000"/>
                <w:sz w:val="18"/>
                <w:szCs w:val="18"/>
                <w:vertAlign w:val="superscript"/>
                <w:lang w:val="en-GB" w:eastAsia="es-ES"/>
              </w:rPr>
              <w:t>18</w:t>
            </w:r>
          </w:p>
        </w:tc>
      </w:tr>
    </w:tbl>
    <w:p w14:paraId="39FC1ECF" w14:textId="1BDD4826" w:rsidR="005A74BE" w:rsidRPr="0084045A" w:rsidRDefault="00A0608B">
      <w:pPr>
        <w:rPr>
          <w:rFonts w:ascii="Arial" w:hAnsi="Arial" w:cs="Arial"/>
          <w:noProof/>
          <w:sz w:val="20"/>
          <w:szCs w:val="20"/>
          <w:lang w:val="en-GB"/>
        </w:rPr>
      </w:pPr>
      <w:r w:rsidRPr="0084045A">
        <w:rPr>
          <w:rFonts w:ascii="Arial" w:hAnsi="Arial" w:cs="Arial"/>
          <w:noProof/>
          <w:sz w:val="20"/>
          <w:szCs w:val="20"/>
          <w:lang w:val="en-GB"/>
        </w:rPr>
        <w:t>Abbreviation: CI, confidence interval</w:t>
      </w:r>
    </w:p>
    <w:p w14:paraId="22865BE8" w14:textId="64E31B32" w:rsidR="005A74BE" w:rsidRPr="0084045A" w:rsidRDefault="005A74BE">
      <w:pPr>
        <w:rPr>
          <w:rFonts w:ascii="Arial" w:hAnsi="Arial" w:cs="Arial"/>
          <w:b/>
          <w:noProof/>
          <w:sz w:val="24"/>
          <w:szCs w:val="24"/>
          <w:lang w:val="en-GB"/>
        </w:rPr>
      </w:pPr>
    </w:p>
    <w:p w14:paraId="2FD5DB41" w14:textId="3DFE8092" w:rsidR="00AE1F55" w:rsidRPr="0084045A" w:rsidRDefault="00AE1F55" w:rsidP="00AE1F55">
      <w:pPr>
        <w:rPr>
          <w:rFonts w:ascii="Arial" w:hAnsi="Arial" w:cs="Arial"/>
          <w:b/>
          <w:noProof/>
          <w:sz w:val="24"/>
          <w:szCs w:val="24"/>
          <w:lang w:val="en-GB"/>
        </w:rPr>
      </w:pPr>
      <w:r w:rsidRPr="0084045A">
        <w:rPr>
          <w:rFonts w:ascii="Arial" w:hAnsi="Arial" w:cs="Arial"/>
          <w:b/>
          <w:noProof/>
          <w:sz w:val="24"/>
          <w:szCs w:val="24"/>
          <w:lang w:val="en-GB"/>
        </w:rPr>
        <w:t>References</w:t>
      </w:r>
      <w:r w:rsidR="009763B1" w:rsidRPr="0084045A">
        <w:rPr>
          <w:rFonts w:ascii="Arial" w:hAnsi="Arial" w:cs="Arial"/>
          <w:b/>
          <w:noProof/>
          <w:sz w:val="24"/>
          <w:szCs w:val="24"/>
          <w:lang w:val="en-GB"/>
        </w:rPr>
        <w:t xml:space="preserve"> for Table </w:t>
      </w:r>
      <w:r w:rsidR="00EF2803" w:rsidRPr="0084045A">
        <w:rPr>
          <w:rFonts w:ascii="Arial" w:hAnsi="Arial" w:cs="Arial"/>
          <w:b/>
          <w:noProof/>
          <w:sz w:val="24"/>
          <w:szCs w:val="24"/>
          <w:lang w:val="en-GB"/>
        </w:rPr>
        <w:t>S4</w:t>
      </w:r>
      <w:r w:rsidRPr="0084045A">
        <w:rPr>
          <w:rFonts w:ascii="Arial" w:hAnsi="Arial" w:cs="Arial"/>
          <w:b/>
          <w:noProof/>
          <w:sz w:val="24"/>
          <w:szCs w:val="24"/>
          <w:lang w:val="en-GB"/>
        </w:rPr>
        <w:t>:</w:t>
      </w:r>
    </w:p>
    <w:p w14:paraId="2A24B339" w14:textId="77777777"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Griffin MR, Monto AS, Belongia EA, Treanor JJ, Chen Q, Chen J, Talbot HK, Ohmit SE, Coleman LA, Lofthus G, et al. Effectiveness of Non-Adjuvanted Pandemic Influenza A Vaccines for Preventing Pandemic Influenza Acute Respiratory Illness Visits in 4 U. S. Communities. PLoS One. 2011;6(8):e23085. </w:t>
      </w:r>
      <w:hyperlink r:id="rId20" w:history="1">
        <w:r w:rsidRPr="0084045A">
          <w:rPr>
            <w:rStyle w:val="Hipervnculo"/>
            <w:rFonts w:ascii="Arial" w:hAnsi="Arial" w:cs="Arial"/>
            <w:noProof/>
            <w:sz w:val="21"/>
            <w:szCs w:val="21"/>
            <w:lang w:val="en-GB"/>
          </w:rPr>
          <w:t>https://doi.org/10.1371/journal.pone.0023085</w:t>
        </w:r>
      </w:hyperlink>
    </w:p>
    <w:p w14:paraId="442231F8" w14:textId="67973D80"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lastRenderedPageBreak/>
        <w:t xml:space="preserve">Treanor JJ, Talbot HK, Ohmit SE, Coleman LA, Thompson MG, Cheng PY, Petrie JG, Lofthus G, Meece JK, Williams JV, et al. Effectiveness of seasonal influenza vaccines in the United States during a season with circulation of all three vaccine strains. Clin Infect Dis. 2012;55(7):951–959. </w:t>
      </w:r>
      <w:hyperlink r:id="rId21" w:history="1">
        <w:r w:rsidRPr="0084045A">
          <w:rPr>
            <w:rStyle w:val="Hipervnculo"/>
            <w:rFonts w:ascii="Arial" w:hAnsi="Arial" w:cs="Arial"/>
            <w:noProof/>
            <w:sz w:val="21"/>
            <w:szCs w:val="21"/>
            <w:lang w:val="en-GB"/>
          </w:rPr>
          <w:t>https://doi.org/10.1093/cid/cis574</w:t>
        </w:r>
      </w:hyperlink>
      <w:r w:rsidRPr="0084045A">
        <w:rPr>
          <w:rStyle w:val="Hipervnculo"/>
          <w:rFonts w:ascii="Arial" w:hAnsi="Arial" w:cs="Arial"/>
          <w:noProof/>
          <w:sz w:val="21"/>
          <w:szCs w:val="21"/>
          <w:lang w:val="en-GB"/>
        </w:rPr>
        <w:t>.</w:t>
      </w:r>
    </w:p>
    <w:p w14:paraId="36CBADD6" w14:textId="77777777"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Ohmit SE, Thompson MG, Petrie JG, Thaker SN, Jackson ML, Belongia EA, Zimmerman RK, Gaglani M, Lamerato L, Spencer SM, et al. Influenza vaccine effectiveness in the 2011-2012 season: Protection against each circulating virus and the effect of prior vaccination on estimates. Clin Infect Dis. 2015;58(3):319–327. </w:t>
      </w:r>
      <w:hyperlink r:id="rId22" w:history="1">
        <w:r w:rsidRPr="0084045A">
          <w:rPr>
            <w:rStyle w:val="Hipervnculo"/>
            <w:rFonts w:ascii="Arial" w:hAnsi="Arial" w:cs="Arial"/>
            <w:noProof/>
            <w:sz w:val="21"/>
            <w:szCs w:val="21"/>
            <w:lang w:val="en-GB"/>
          </w:rPr>
          <w:t>https://doi.org/10.1093/cid/cit736</w:t>
        </w:r>
      </w:hyperlink>
      <w:r w:rsidRPr="0084045A">
        <w:rPr>
          <w:rStyle w:val="Hipervnculo"/>
          <w:rFonts w:ascii="Arial" w:hAnsi="Arial" w:cs="Arial"/>
          <w:noProof/>
          <w:sz w:val="21"/>
          <w:szCs w:val="21"/>
          <w:lang w:val="en-GB"/>
        </w:rPr>
        <w:t>.</w:t>
      </w:r>
    </w:p>
    <w:p w14:paraId="0DE548BF" w14:textId="3A412AEC"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Skowronski DM, Janjua NZ, Sabaiduc S, De Serres G, Winter AL, Gubbay JB, Dickinson JA, Fonseca K, Charest H, Bastien N, et al.</w:t>
      </w:r>
      <w:r w:rsidR="00DC5792" w:rsidRPr="0084045A">
        <w:rPr>
          <w:rFonts w:ascii="Arial" w:hAnsi="Arial" w:cs="Arial"/>
          <w:noProof/>
          <w:sz w:val="21"/>
          <w:szCs w:val="21"/>
          <w:lang w:val="en-GB"/>
        </w:rPr>
        <w:t xml:space="preserve"> </w:t>
      </w:r>
      <w:r w:rsidRPr="0084045A">
        <w:rPr>
          <w:rFonts w:ascii="Arial" w:hAnsi="Arial" w:cs="Arial"/>
          <w:noProof/>
          <w:sz w:val="21"/>
          <w:szCs w:val="21"/>
          <w:lang w:val="en-GB"/>
        </w:rPr>
        <w:t xml:space="preserve">Influenza A/subtype and B/lineage effectiveness estimates for the 2011-2012 trivalent vaccine: Cross-season and cross-lineage protection with unchanged vaccine. J Infect Dis. 2014;210(1):126–137. </w:t>
      </w:r>
      <w:hyperlink r:id="rId23" w:history="1">
        <w:r w:rsidRPr="0084045A">
          <w:rPr>
            <w:rStyle w:val="Hipervnculo"/>
            <w:rFonts w:ascii="Arial" w:hAnsi="Arial" w:cs="Arial"/>
            <w:noProof/>
            <w:sz w:val="21"/>
            <w:szCs w:val="21"/>
            <w:lang w:val="en-GB"/>
          </w:rPr>
          <w:t>https://doi.org/10.1093/infdis/jiu048</w:t>
        </w:r>
      </w:hyperlink>
      <w:r w:rsidRPr="0084045A">
        <w:rPr>
          <w:rStyle w:val="Hipervnculo"/>
          <w:rFonts w:ascii="Arial" w:hAnsi="Arial" w:cs="Arial"/>
          <w:noProof/>
          <w:sz w:val="21"/>
          <w:szCs w:val="21"/>
          <w:lang w:val="en-GB"/>
        </w:rPr>
        <w:t>.</w:t>
      </w:r>
    </w:p>
    <w:p w14:paraId="2BC1E7D3" w14:textId="77777777"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Rondy M, Castilla J, Launay O, Costanzo S, Ezpeleta C, Galtier F, de Gaetano Donatai K, Moren A. Moderate influenza vaccine effectiveness against hospitalisation with A(H3N2) and A(H1N1) influenza in 2013–14: Results from the InNHOVE network. Hum Vaccin Immunother. 2016;12(5):1217–1224. </w:t>
      </w:r>
      <w:hyperlink r:id="rId24" w:history="1">
        <w:r w:rsidRPr="0084045A">
          <w:rPr>
            <w:rStyle w:val="Hipervnculo"/>
            <w:rFonts w:ascii="Arial" w:hAnsi="Arial" w:cs="Arial"/>
            <w:noProof/>
            <w:sz w:val="21"/>
            <w:szCs w:val="21"/>
            <w:lang w:val="en-GB"/>
          </w:rPr>
          <w:t>https://doi.org/10.1080/21645515.2015.1126013</w:t>
        </w:r>
      </w:hyperlink>
      <w:r w:rsidRPr="0084045A">
        <w:rPr>
          <w:rStyle w:val="Hipervnculo"/>
          <w:rFonts w:ascii="Arial" w:hAnsi="Arial" w:cs="Arial"/>
          <w:noProof/>
          <w:sz w:val="21"/>
          <w:szCs w:val="21"/>
          <w:lang w:val="en-GB"/>
        </w:rPr>
        <w:t>.</w:t>
      </w:r>
    </w:p>
    <w:p w14:paraId="37A1916A" w14:textId="77777777"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McLean HQ, Thompson MG, Sundaram ME, Kieke BA, Gaglani M, Murthy K, Piedra PA, Zimmerman RK, Nowalk MP, Raviotta JM, et al. Influenza vaccine effectiveness in the United States during 2012-2013: Variable protection by age and virus type. J Infect Dis. 2015;211(10):1529–1540. </w:t>
      </w:r>
      <w:hyperlink r:id="rId25" w:history="1">
        <w:r w:rsidRPr="0084045A">
          <w:rPr>
            <w:rStyle w:val="Hipervnculo"/>
            <w:rFonts w:ascii="Arial" w:hAnsi="Arial" w:cs="Arial"/>
            <w:noProof/>
            <w:sz w:val="21"/>
            <w:szCs w:val="21"/>
            <w:lang w:val="en-GB"/>
          </w:rPr>
          <w:t>https://doi.org/10.1093/infdis/jiu647</w:t>
        </w:r>
      </w:hyperlink>
      <w:r w:rsidRPr="0084045A">
        <w:rPr>
          <w:rStyle w:val="Hipervnculo"/>
          <w:rFonts w:ascii="Arial" w:hAnsi="Arial" w:cs="Arial"/>
          <w:noProof/>
          <w:sz w:val="21"/>
          <w:szCs w:val="21"/>
          <w:lang w:val="en-GB"/>
        </w:rPr>
        <w:t>.</w:t>
      </w:r>
    </w:p>
    <w:p w14:paraId="1ED1227A" w14:textId="77777777"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E3671E">
        <w:rPr>
          <w:rFonts w:ascii="Arial" w:hAnsi="Arial" w:cs="Arial"/>
          <w:noProof/>
          <w:sz w:val="21"/>
          <w:szCs w:val="21"/>
        </w:rPr>
        <w:t xml:space="preserve">Kissling E, Valenciano M, Buchholz U, Larrauri A, Cohen JM, Nunes B, Rogalska J, Pitigoi D, Paradowska-Staniewicz I, Reuss A, et al. </w:t>
      </w:r>
      <w:r w:rsidRPr="0084045A">
        <w:rPr>
          <w:rFonts w:ascii="Arial" w:hAnsi="Arial" w:cs="Arial"/>
          <w:noProof/>
          <w:sz w:val="21"/>
          <w:szCs w:val="21"/>
          <w:lang w:val="en-GB"/>
        </w:rPr>
        <w:t>Influenza vaccine effectiveness estimates in Europe in a season with three influenza type/subtypes circulating: the I-MOVE multicentre case-control study, influenza season 2012/13. Euro Surveill. 2014;19(6):pii=20701. https://doi.org/10.2807/1560-7917.ES2014.19.6.20701</w:t>
      </w:r>
    </w:p>
    <w:p w14:paraId="61698739" w14:textId="77777777"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Skowronski DM, Chambers C, Sabaiduc S, De Serres G, Winter AL, Dickinson JA, Gubbay J, Fonseca K, Charest H, Krajden M, et al. Integrated sentinel surveillance linking genetic, antigenic, andepidemiologic monitoring of influenza vaccine-virus relatedness and effectiveness during the 2013-2014 influenza season. J Infect Dis. 2015;212(5):726–739. </w:t>
      </w:r>
      <w:hyperlink r:id="rId26" w:history="1">
        <w:r w:rsidRPr="0084045A">
          <w:rPr>
            <w:rStyle w:val="Hipervnculo"/>
            <w:rFonts w:ascii="Arial" w:hAnsi="Arial" w:cs="Arial"/>
            <w:noProof/>
            <w:sz w:val="21"/>
            <w:szCs w:val="21"/>
            <w:lang w:val="en-GB"/>
          </w:rPr>
          <w:t>https://doi.org/10.1093/infdis/jiv177</w:t>
        </w:r>
      </w:hyperlink>
      <w:r w:rsidRPr="0084045A">
        <w:rPr>
          <w:rStyle w:val="Hipervnculo"/>
          <w:rFonts w:ascii="Arial" w:hAnsi="Arial" w:cs="Arial"/>
          <w:noProof/>
          <w:sz w:val="21"/>
          <w:szCs w:val="21"/>
          <w:lang w:val="en-GB"/>
        </w:rPr>
        <w:t>.</w:t>
      </w:r>
    </w:p>
    <w:p w14:paraId="3E8DBE8B" w14:textId="77777777"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Gaglani M, Pruszynski J, Murthy K, Clipper L, Robertson A, Reis M, Chung JR, Piedra PA, Avadhanula V, Nowalk MP, et al. Influenza Vaccine Effectiveness Against 2009 Pandemic Influenza A(H1N1) Virus Differed by Vaccine Type during 2013-2014 in the United States. Journal of Infectious Diseases. J Infect Dis. 2016;213(10):1546–1556. </w:t>
      </w:r>
      <w:hyperlink r:id="rId27" w:history="1">
        <w:r w:rsidRPr="0084045A">
          <w:rPr>
            <w:rStyle w:val="Hipervnculo"/>
            <w:rFonts w:ascii="Arial" w:hAnsi="Arial" w:cs="Arial"/>
            <w:noProof/>
            <w:sz w:val="21"/>
            <w:szCs w:val="21"/>
            <w:lang w:val="en-GB"/>
          </w:rPr>
          <w:t>https://doi.org/10.1093/infdis/jiv577</w:t>
        </w:r>
      </w:hyperlink>
    </w:p>
    <w:p w14:paraId="592F4BC8" w14:textId="77777777" w:rsidR="009763B1" w:rsidRPr="0084045A" w:rsidRDefault="009763B1" w:rsidP="00132EE1">
      <w:pPr>
        <w:pStyle w:val="Prrafodelista"/>
        <w:numPr>
          <w:ilvl w:val="0"/>
          <w:numId w:val="60"/>
        </w:numPr>
        <w:ind w:left="360"/>
        <w:jc w:val="both"/>
        <w:rPr>
          <w:rStyle w:val="Hipervnculo"/>
          <w:rFonts w:ascii="Arial" w:hAnsi="Arial" w:cs="Arial"/>
          <w:noProof/>
          <w:sz w:val="21"/>
          <w:szCs w:val="21"/>
          <w:lang w:val="en-GB"/>
        </w:rPr>
      </w:pPr>
      <w:r w:rsidRPr="0084045A">
        <w:rPr>
          <w:rFonts w:ascii="Arial" w:hAnsi="Arial" w:cs="Arial"/>
          <w:noProof/>
          <w:sz w:val="21"/>
          <w:szCs w:val="21"/>
          <w:lang w:val="en-GB"/>
        </w:rPr>
        <w:t xml:space="preserve">Zimmerman RK, Nowalk MP, Chung J, Jackson ML, Jackson LA, Pietre JG, Monto AS, McLean HQ, Belongia EA, Gaglani M, et al. 2014-2015 Influenza Vaccine Effectiveness in the United States by Vaccine Type. Clin Infect Dis. 2016;63(12):1564–1573. </w:t>
      </w:r>
      <w:hyperlink r:id="rId28" w:history="1">
        <w:r w:rsidRPr="0084045A">
          <w:rPr>
            <w:rStyle w:val="Hipervnculo"/>
            <w:rFonts w:ascii="Arial" w:hAnsi="Arial" w:cs="Arial"/>
            <w:noProof/>
            <w:sz w:val="21"/>
            <w:szCs w:val="21"/>
            <w:lang w:val="en-GB"/>
          </w:rPr>
          <w:t>https://doi.org/10.1093/cid/ciw635</w:t>
        </w:r>
      </w:hyperlink>
      <w:r w:rsidRPr="0084045A">
        <w:rPr>
          <w:rStyle w:val="Hipervnculo"/>
          <w:rFonts w:ascii="Arial" w:hAnsi="Arial" w:cs="Arial"/>
          <w:noProof/>
          <w:sz w:val="21"/>
          <w:szCs w:val="21"/>
          <w:lang w:val="en-GB"/>
        </w:rPr>
        <w:t>.</w:t>
      </w:r>
    </w:p>
    <w:p w14:paraId="067B201C" w14:textId="50B54854"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Valenciano M, Kissling E, Reuss A, Rizzo C, Gherasim A, Horvath JK, Domegan L, Pitigoi D, Machado A, Pradowska-Stankiewicz IA, et al.</w:t>
      </w:r>
      <w:r w:rsidR="00DC5792" w:rsidRPr="0084045A">
        <w:rPr>
          <w:rFonts w:ascii="Arial" w:hAnsi="Arial" w:cs="Arial"/>
          <w:noProof/>
          <w:sz w:val="21"/>
          <w:szCs w:val="21"/>
          <w:lang w:val="en-GB"/>
        </w:rPr>
        <w:t xml:space="preserve"> </w:t>
      </w:r>
      <w:r w:rsidRPr="0084045A">
        <w:rPr>
          <w:rFonts w:ascii="Arial" w:hAnsi="Arial" w:cs="Arial"/>
          <w:noProof/>
          <w:sz w:val="21"/>
          <w:szCs w:val="21"/>
          <w:lang w:val="en-GB"/>
        </w:rPr>
        <w:t xml:space="preserve">Vaccine effectiveness in preventing laboratory-confirmed influenza in primary care patients in a season of co-circulation of influenza A(H1N1)pdm09, B and drifted A(H3N2), I-MOVE multicentre case–control study, Europe 2014/15. Euro Surveill. 2016;21(7):pii=30139. </w:t>
      </w:r>
      <w:hyperlink r:id="rId29" w:history="1">
        <w:r w:rsidRPr="0084045A">
          <w:rPr>
            <w:rStyle w:val="Hipervnculo"/>
            <w:rFonts w:ascii="Arial" w:hAnsi="Arial" w:cs="Arial"/>
            <w:noProof/>
            <w:sz w:val="21"/>
            <w:szCs w:val="21"/>
            <w:lang w:val="en-GB"/>
          </w:rPr>
          <w:t>https://doi.org/10.2807/1560-7917.ES.2016.21.7.30139</w:t>
        </w:r>
      </w:hyperlink>
      <w:r w:rsidRPr="0084045A">
        <w:rPr>
          <w:rStyle w:val="Hipervnculo"/>
          <w:rFonts w:ascii="Arial" w:hAnsi="Arial" w:cs="Arial"/>
          <w:noProof/>
          <w:sz w:val="21"/>
          <w:szCs w:val="21"/>
          <w:lang w:val="en-GB"/>
        </w:rPr>
        <w:t>.</w:t>
      </w:r>
    </w:p>
    <w:p w14:paraId="6C68A370" w14:textId="77777777"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Puig-Barberà J, Burtseva E, Yu H, Cowling BJ, Badur S, Kyncl J, Sominina A, GIHSN. Influenza epidemiology and influenza vaccine effectiveness during the 2014-2015 season: </w:t>
      </w:r>
      <w:r w:rsidRPr="0084045A">
        <w:rPr>
          <w:rFonts w:ascii="Arial" w:hAnsi="Arial" w:cs="Arial"/>
          <w:noProof/>
          <w:sz w:val="21"/>
          <w:szCs w:val="21"/>
          <w:lang w:val="en-GB"/>
        </w:rPr>
        <w:lastRenderedPageBreak/>
        <w:t xml:space="preserve">annual report from the Global Influenza Hospital Surveillance Network. BMC Public Health. 2016;16(Suppl 1):757. </w:t>
      </w:r>
      <w:hyperlink r:id="rId30" w:history="1">
        <w:r w:rsidRPr="0084045A">
          <w:rPr>
            <w:rStyle w:val="Hipervnculo"/>
            <w:rFonts w:ascii="Arial" w:hAnsi="Arial" w:cs="Arial"/>
            <w:noProof/>
            <w:sz w:val="21"/>
            <w:szCs w:val="21"/>
            <w:lang w:val="en-GB"/>
          </w:rPr>
          <w:t>https://doi.org/10.1186/s12889-016-3378-1</w:t>
        </w:r>
      </w:hyperlink>
    </w:p>
    <w:p w14:paraId="0552F973" w14:textId="77777777"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Jackson ML, Chung JR, Jackson LA, Phillips CH, Benoit J, Monto AS, Martin ET, Belongia EA, McLean HQ, Galgani M, et al. Influenza Vaccine Effectiveness in the United States during the 2015-2016 Season. N Engl J Med. 2017;377(6):534–543. </w:t>
      </w:r>
      <w:hyperlink r:id="rId31" w:history="1">
        <w:r w:rsidRPr="0084045A">
          <w:rPr>
            <w:rStyle w:val="Hipervnculo"/>
            <w:rFonts w:ascii="Arial" w:hAnsi="Arial" w:cs="Arial"/>
            <w:noProof/>
            <w:sz w:val="21"/>
            <w:szCs w:val="21"/>
            <w:lang w:val="en-GB"/>
          </w:rPr>
          <w:t>https://doi.org/10.1056/NEJMoa1700153</w:t>
        </w:r>
      </w:hyperlink>
    </w:p>
    <w:p w14:paraId="0B2A52F8" w14:textId="77777777"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Chambers C, Skowronski DM, Sabaiduc S, Winter AL, Dickinson JA, De Serres G, Gubbay JB, Drews SJ, Martineau C, Eshaghi A, et al. Interim estimates of 2015/16 vaccine effectiveness against influenza A(H1N1)pdm09, Canada, February 2016. Euro Surveill. 2016 ;21(11) :30168. </w:t>
      </w:r>
      <w:hyperlink r:id="rId32" w:history="1">
        <w:r w:rsidRPr="0084045A">
          <w:rPr>
            <w:rStyle w:val="Hipervnculo"/>
            <w:rFonts w:ascii="Arial" w:hAnsi="Arial" w:cs="Arial"/>
            <w:noProof/>
            <w:sz w:val="21"/>
            <w:szCs w:val="21"/>
            <w:lang w:val="en-GB"/>
          </w:rPr>
          <w:t>https://doi.org/10.2807/1560-7917.ES.2016.21.11.30168</w:t>
        </w:r>
      </w:hyperlink>
      <w:r w:rsidRPr="0084045A">
        <w:rPr>
          <w:rStyle w:val="Hipervnculo"/>
          <w:rFonts w:ascii="Arial" w:hAnsi="Arial" w:cs="Arial"/>
          <w:noProof/>
          <w:sz w:val="21"/>
          <w:szCs w:val="21"/>
          <w:lang w:val="en-GB"/>
        </w:rPr>
        <w:t>.</w:t>
      </w:r>
    </w:p>
    <w:p w14:paraId="3ECB409C" w14:textId="1AAE5FFA" w:rsidR="009763B1" w:rsidRPr="0084045A" w:rsidRDefault="009763B1"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Kissling E, Valenciano M, Pozo F, Vilcu AM, Reuss A, Rizzo C, Larrauri A, Horvath JK, Brytting M, Domegan L, et al. 2015/16 I</w:t>
      </w:r>
      <w:r w:rsidRPr="0084045A">
        <w:rPr>
          <w:rFonts w:ascii="Cambria Math" w:hAnsi="Cambria Math" w:cs="Cambria Math"/>
          <w:noProof/>
          <w:sz w:val="21"/>
          <w:szCs w:val="21"/>
          <w:lang w:val="en-GB"/>
        </w:rPr>
        <w:t>‐</w:t>
      </w:r>
      <w:r w:rsidRPr="0084045A">
        <w:rPr>
          <w:rFonts w:ascii="Arial" w:hAnsi="Arial" w:cs="Arial"/>
          <w:noProof/>
          <w:sz w:val="21"/>
          <w:szCs w:val="21"/>
          <w:lang w:val="en-GB"/>
        </w:rPr>
        <w:t>MOVE/I</w:t>
      </w:r>
      <w:r w:rsidRPr="0084045A">
        <w:rPr>
          <w:rFonts w:ascii="Cambria Math" w:hAnsi="Cambria Math" w:cs="Cambria Math"/>
          <w:noProof/>
          <w:sz w:val="21"/>
          <w:szCs w:val="21"/>
          <w:lang w:val="en-GB"/>
        </w:rPr>
        <w:t>‐</w:t>
      </w:r>
      <w:r w:rsidRPr="0084045A">
        <w:rPr>
          <w:rFonts w:ascii="Arial" w:hAnsi="Arial" w:cs="Arial"/>
          <w:noProof/>
          <w:sz w:val="21"/>
          <w:szCs w:val="21"/>
          <w:lang w:val="en-GB"/>
        </w:rPr>
        <w:t>MOVE+ multicentre case</w:t>
      </w:r>
      <w:r w:rsidRPr="0084045A">
        <w:rPr>
          <w:rFonts w:ascii="Cambria Math" w:hAnsi="Cambria Math" w:cs="Cambria Math"/>
          <w:noProof/>
          <w:sz w:val="21"/>
          <w:szCs w:val="21"/>
          <w:lang w:val="en-GB"/>
        </w:rPr>
        <w:t>‐</w:t>
      </w:r>
      <w:r w:rsidRPr="0084045A">
        <w:rPr>
          <w:rFonts w:ascii="Arial" w:hAnsi="Arial" w:cs="Arial"/>
          <w:noProof/>
          <w:sz w:val="21"/>
          <w:szCs w:val="21"/>
          <w:lang w:val="en-GB"/>
        </w:rPr>
        <w:t>control study in Europe: Moderate vaccine effectiveness estimates against influenza A(H1N1)pdm09 and low estimates against lineage</w:t>
      </w:r>
      <w:r w:rsidRPr="0084045A">
        <w:rPr>
          <w:rFonts w:ascii="Cambria Math" w:hAnsi="Cambria Math" w:cs="Cambria Math"/>
          <w:noProof/>
          <w:sz w:val="21"/>
          <w:szCs w:val="21"/>
          <w:lang w:val="en-GB"/>
        </w:rPr>
        <w:t>‐</w:t>
      </w:r>
      <w:r w:rsidRPr="0084045A">
        <w:rPr>
          <w:rFonts w:ascii="Arial" w:hAnsi="Arial" w:cs="Arial"/>
          <w:noProof/>
          <w:sz w:val="21"/>
          <w:szCs w:val="21"/>
          <w:lang w:val="en-GB"/>
        </w:rPr>
        <w:t xml:space="preserve">mismatched influenza B among children. Influenza Other Respi Viruses. 2018;12:423–437. </w:t>
      </w:r>
      <w:hyperlink r:id="rId33" w:history="1">
        <w:r w:rsidRPr="0084045A">
          <w:rPr>
            <w:rStyle w:val="Hipervnculo"/>
            <w:rFonts w:ascii="Arial" w:hAnsi="Arial" w:cs="Arial"/>
            <w:noProof/>
            <w:sz w:val="21"/>
            <w:szCs w:val="21"/>
            <w:lang w:val="en-GB"/>
          </w:rPr>
          <w:t>https://doi.org/10.1111/irv.12520</w:t>
        </w:r>
      </w:hyperlink>
      <w:r w:rsidRPr="0084045A">
        <w:rPr>
          <w:rStyle w:val="Hipervnculo"/>
          <w:rFonts w:ascii="Arial" w:hAnsi="Arial" w:cs="Arial"/>
          <w:noProof/>
          <w:sz w:val="21"/>
          <w:szCs w:val="21"/>
          <w:lang w:val="en-GB"/>
        </w:rPr>
        <w:t>.</w:t>
      </w:r>
    </w:p>
    <w:p w14:paraId="0F3F330C" w14:textId="77777777" w:rsidR="00A745AB" w:rsidRPr="0084045A" w:rsidRDefault="00A745AB"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Flannery B, Chung JR, Thaker SN, Monto AS, Martin ET, Belongia EA, McLean HQ, Gaglani, M, Murthy K, Zimmerman RK, et al. Interim Estimates of 2016–17 Seasonal Influenza Vaccine Effectiveness — United States, February 2017. MMWR Morb Mortal Wkly Rep. 2017;66(6):167–171.</w:t>
      </w:r>
    </w:p>
    <w:p w14:paraId="74167343" w14:textId="77777777" w:rsidR="00A745AB" w:rsidRPr="0084045A" w:rsidRDefault="00A745AB"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Skowronski DM, Chambers C, De Serres G, Dickinson JA, Winter AL, Hickman R, Chan T, Jassem AN, Drews SJ, Charest H, et al. Early season co-circulation of influenza A(H3N2) and B(Yamagata): interim estimates of 2017/18 vaccine effectiveness, Canada, January 2018. Euro Surveill. 2018;23(5):1–7. </w:t>
      </w:r>
      <w:hyperlink r:id="rId34" w:history="1">
        <w:r w:rsidRPr="0084045A">
          <w:rPr>
            <w:rStyle w:val="Hipervnculo"/>
            <w:rFonts w:ascii="Arial" w:hAnsi="Arial" w:cs="Arial"/>
            <w:noProof/>
            <w:sz w:val="21"/>
            <w:szCs w:val="21"/>
            <w:lang w:val="en-GB"/>
          </w:rPr>
          <w:t>https://doi.org/10.2807/1560-7917.ES.2018.23.5.18</w:t>
        </w:r>
      </w:hyperlink>
      <w:r w:rsidRPr="0084045A">
        <w:rPr>
          <w:rStyle w:val="Hipervnculo"/>
          <w:rFonts w:ascii="Arial" w:hAnsi="Arial" w:cs="Arial"/>
          <w:noProof/>
          <w:sz w:val="21"/>
          <w:szCs w:val="21"/>
          <w:lang w:val="en-GB"/>
        </w:rPr>
        <w:t>.</w:t>
      </w:r>
    </w:p>
    <w:p w14:paraId="7D564597" w14:textId="04CDB1C1" w:rsidR="00A745AB" w:rsidRPr="0084045A" w:rsidRDefault="00A745AB" w:rsidP="00132EE1">
      <w:pPr>
        <w:pStyle w:val="Prrafodelista"/>
        <w:numPr>
          <w:ilvl w:val="0"/>
          <w:numId w:val="60"/>
        </w:numPr>
        <w:ind w:left="360"/>
        <w:jc w:val="both"/>
        <w:rPr>
          <w:rFonts w:ascii="Arial" w:hAnsi="Arial" w:cs="Arial"/>
          <w:noProof/>
          <w:sz w:val="21"/>
          <w:szCs w:val="21"/>
          <w:lang w:val="en-GB"/>
        </w:rPr>
      </w:pPr>
      <w:r w:rsidRPr="0084045A">
        <w:rPr>
          <w:rFonts w:ascii="Arial" w:hAnsi="Arial" w:cs="Arial"/>
          <w:noProof/>
          <w:sz w:val="21"/>
          <w:szCs w:val="21"/>
          <w:lang w:val="en-GB"/>
        </w:rPr>
        <w:t xml:space="preserve">Doyle JD, Chung JR, Kim SS, Gaglani M, Raiyani C, Zimmerman RK, Nowalk MP, Jackson ML, Jackson LA, Monto AS, et al. Interim Estimates of 2018–19 Seasonal Influenza Vaccine Effectiveness — United States, February 2019. MMWR Morb Mortal Wkly Rep. 2019;68(6):135–139. </w:t>
      </w:r>
      <w:hyperlink r:id="rId35" w:history="1">
        <w:r w:rsidRPr="0084045A">
          <w:rPr>
            <w:rStyle w:val="Hipervnculo"/>
            <w:rFonts w:ascii="Arial" w:hAnsi="Arial" w:cs="Arial"/>
            <w:noProof/>
            <w:sz w:val="21"/>
            <w:szCs w:val="21"/>
            <w:lang w:val="en-GB"/>
          </w:rPr>
          <w:t>https://doi.org/10.15585/mmwr.mm6806a2</w:t>
        </w:r>
      </w:hyperlink>
      <w:r w:rsidRPr="0084045A">
        <w:rPr>
          <w:rStyle w:val="Hipervnculo"/>
          <w:rFonts w:ascii="Arial" w:hAnsi="Arial" w:cs="Arial"/>
          <w:noProof/>
          <w:sz w:val="21"/>
          <w:szCs w:val="21"/>
          <w:lang w:val="en-GB"/>
        </w:rPr>
        <w:t>.</w:t>
      </w:r>
    </w:p>
    <w:p w14:paraId="1C50C242" w14:textId="77777777" w:rsidR="00A745AB" w:rsidRPr="0084045A" w:rsidRDefault="00A745AB" w:rsidP="00A745AB">
      <w:pPr>
        <w:jc w:val="both"/>
        <w:rPr>
          <w:rFonts w:ascii="Arial" w:hAnsi="Arial" w:cs="Arial"/>
          <w:noProof/>
          <w:szCs w:val="24"/>
          <w:lang w:val="en-GB"/>
        </w:rPr>
      </w:pPr>
    </w:p>
    <w:p w14:paraId="2FFA7A83" w14:textId="77777777" w:rsidR="00A745AB" w:rsidRPr="0084045A" w:rsidRDefault="00A745AB" w:rsidP="009763B1">
      <w:pPr>
        <w:jc w:val="both"/>
        <w:rPr>
          <w:rFonts w:ascii="Arial" w:hAnsi="Arial" w:cs="Arial"/>
          <w:noProof/>
          <w:sz w:val="21"/>
          <w:szCs w:val="21"/>
          <w:lang w:val="en-GB"/>
        </w:rPr>
      </w:pPr>
    </w:p>
    <w:p w14:paraId="7FB65785" w14:textId="11488374" w:rsidR="004A1075" w:rsidRPr="0084045A" w:rsidRDefault="004A1075" w:rsidP="00AE1F55">
      <w:pPr>
        <w:jc w:val="both"/>
        <w:rPr>
          <w:rFonts w:ascii="Arial" w:hAnsi="Arial" w:cs="Arial"/>
          <w:noProof/>
          <w:sz w:val="21"/>
          <w:szCs w:val="21"/>
          <w:lang w:val="en-GB"/>
        </w:rPr>
      </w:pPr>
    </w:p>
    <w:p w14:paraId="25E7AF9E" w14:textId="77777777" w:rsidR="004A1075" w:rsidRPr="0084045A" w:rsidRDefault="004A1075" w:rsidP="00AE1F55">
      <w:pPr>
        <w:jc w:val="both"/>
        <w:rPr>
          <w:rFonts w:ascii="Arial" w:hAnsi="Arial" w:cs="Arial"/>
          <w:noProof/>
          <w:sz w:val="21"/>
          <w:szCs w:val="21"/>
          <w:lang w:val="en-GB"/>
        </w:rPr>
      </w:pPr>
    </w:p>
    <w:p w14:paraId="2304FC35" w14:textId="77777777" w:rsidR="00F26890" w:rsidRPr="0084045A" w:rsidRDefault="00F26890" w:rsidP="00F26890">
      <w:pPr>
        <w:spacing w:after="0" w:line="480" w:lineRule="auto"/>
        <w:jc w:val="both"/>
        <w:rPr>
          <w:rFonts w:ascii="Arial" w:hAnsi="Arial" w:cs="Arial"/>
          <w:noProof/>
          <w:sz w:val="24"/>
          <w:szCs w:val="24"/>
          <w:lang w:val="en-GB"/>
        </w:rPr>
      </w:pPr>
    </w:p>
    <w:p w14:paraId="64E2FC29" w14:textId="77777777" w:rsidR="004A1075" w:rsidRPr="0084045A" w:rsidRDefault="004A1075" w:rsidP="004A1075">
      <w:pPr>
        <w:spacing w:after="0" w:line="480" w:lineRule="auto"/>
        <w:rPr>
          <w:rFonts w:ascii="Arial" w:hAnsi="Arial" w:cs="Arial"/>
          <w:b/>
          <w:noProof/>
          <w:color w:val="000000" w:themeColor="text1"/>
          <w:lang w:val="en-GB"/>
        </w:rPr>
      </w:pPr>
    </w:p>
    <w:p w14:paraId="117A1ACD" w14:textId="77777777" w:rsidR="004A1075" w:rsidRPr="0084045A" w:rsidRDefault="004A1075" w:rsidP="004A1075">
      <w:pPr>
        <w:spacing w:after="0" w:line="480" w:lineRule="auto"/>
        <w:rPr>
          <w:rFonts w:ascii="Arial" w:hAnsi="Arial" w:cs="Arial"/>
          <w:b/>
          <w:noProof/>
          <w:color w:val="000000" w:themeColor="text1"/>
          <w:lang w:val="en-GB"/>
        </w:rPr>
      </w:pPr>
    </w:p>
    <w:p w14:paraId="2E291920" w14:textId="545B3CBD" w:rsidR="00382039" w:rsidRDefault="00382039">
      <w:pPr>
        <w:rPr>
          <w:rFonts w:ascii="Arial" w:hAnsi="Arial" w:cs="Arial"/>
          <w:b/>
          <w:noProof/>
          <w:color w:val="000000" w:themeColor="text1"/>
          <w:lang w:val="en-GB"/>
        </w:rPr>
      </w:pPr>
      <w:r>
        <w:rPr>
          <w:rFonts w:ascii="Arial" w:hAnsi="Arial" w:cs="Arial"/>
          <w:b/>
          <w:noProof/>
          <w:color w:val="000000" w:themeColor="text1"/>
          <w:lang w:val="en-GB"/>
        </w:rPr>
        <w:br w:type="page"/>
      </w:r>
    </w:p>
    <w:p w14:paraId="0BF53B84" w14:textId="0DC3CADD" w:rsidR="00C939A8" w:rsidRPr="003B2744" w:rsidRDefault="00C939A8" w:rsidP="00512905">
      <w:pPr>
        <w:pStyle w:val="Ttulo1"/>
        <w:rPr>
          <w:noProof/>
          <w:sz w:val="26"/>
          <w:szCs w:val="26"/>
          <w:lang w:val="en-GB"/>
        </w:rPr>
      </w:pPr>
      <w:r w:rsidRPr="003B2744">
        <w:rPr>
          <w:noProof/>
          <w:sz w:val="26"/>
          <w:szCs w:val="26"/>
          <w:lang w:val="en-GB"/>
        </w:rPr>
        <w:lastRenderedPageBreak/>
        <w:t xml:space="preserve">Supplement </w:t>
      </w:r>
      <w:r w:rsidR="00EF2803" w:rsidRPr="003B2744">
        <w:rPr>
          <w:noProof/>
          <w:sz w:val="26"/>
          <w:szCs w:val="26"/>
          <w:lang w:val="en-GB"/>
        </w:rPr>
        <w:t>5</w:t>
      </w:r>
    </w:p>
    <w:p w14:paraId="2B4A35EF" w14:textId="77777777" w:rsidR="00382039" w:rsidRPr="003B2744" w:rsidRDefault="00382039" w:rsidP="003B2744">
      <w:pPr>
        <w:rPr>
          <w:lang w:val="en-GB"/>
        </w:rPr>
      </w:pPr>
    </w:p>
    <w:p w14:paraId="7C2047C6" w14:textId="254ABA2F" w:rsidR="00F26890" w:rsidRPr="0084045A" w:rsidRDefault="005A74BE" w:rsidP="00512905">
      <w:pPr>
        <w:pStyle w:val="Ttulo2"/>
        <w:rPr>
          <w:noProof/>
          <w:lang w:val="en-GB"/>
        </w:rPr>
      </w:pPr>
      <w:r w:rsidRPr="0084045A">
        <w:rPr>
          <w:noProof/>
          <w:lang w:val="en-GB"/>
        </w:rPr>
        <w:t>Table S</w:t>
      </w:r>
      <w:r w:rsidR="00EF2803" w:rsidRPr="0084045A">
        <w:rPr>
          <w:noProof/>
          <w:lang w:val="en-GB"/>
        </w:rPr>
        <w:t>5</w:t>
      </w:r>
      <w:r w:rsidRPr="0084045A">
        <w:rPr>
          <w:noProof/>
          <w:lang w:val="en-GB"/>
        </w:rPr>
        <w:t>.</w:t>
      </w:r>
      <w:r w:rsidR="006D75D1" w:rsidRPr="0084045A">
        <w:rPr>
          <w:noProof/>
          <w:lang w:val="en-GB"/>
        </w:rPr>
        <w:t>1</w:t>
      </w:r>
      <w:r w:rsidR="004A1075" w:rsidRPr="0084045A">
        <w:rPr>
          <w:noProof/>
          <w:lang w:val="en-GB"/>
        </w:rPr>
        <w:t>.</w:t>
      </w:r>
      <w:r w:rsidRPr="0084045A">
        <w:rPr>
          <w:noProof/>
          <w:lang w:val="en-GB"/>
        </w:rPr>
        <w:t xml:space="preserve"> Confirmed influenza cases by age group and season</w:t>
      </w:r>
    </w:p>
    <w:tbl>
      <w:tblPr>
        <w:tblW w:w="9083"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00"/>
        <w:gridCol w:w="713"/>
        <w:gridCol w:w="713"/>
        <w:gridCol w:w="571"/>
        <w:gridCol w:w="714"/>
        <w:gridCol w:w="714"/>
        <w:gridCol w:w="571"/>
        <w:gridCol w:w="714"/>
        <w:gridCol w:w="713"/>
        <w:gridCol w:w="714"/>
        <w:gridCol w:w="514"/>
        <w:gridCol w:w="802"/>
        <w:gridCol w:w="630"/>
      </w:tblGrid>
      <w:tr w:rsidR="00F26890" w:rsidRPr="0084045A" w14:paraId="4F867388" w14:textId="77777777" w:rsidTr="00512905">
        <w:trPr>
          <w:cantSplit/>
          <w:trHeight w:val="1045"/>
          <w:jc w:val="center"/>
        </w:trPr>
        <w:tc>
          <w:tcPr>
            <w:tcW w:w="1000" w:type="dxa"/>
            <w:tcBorders>
              <w:bottom w:val="single" w:sz="4" w:space="0" w:color="auto"/>
            </w:tcBorders>
            <w:shd w:val="clear" w:color="auto" w:fill="auto"/>
            <w:noWrap/>
            <w:vAlign w:val="center"/>
            <w:hideMark/>
          </w:tcPr>
          <w:p w14:paraId="77CC0B16" w14:textId="3C3DC5B9"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Age group</w:t>
            </w:r>
            <w:r w:rsidR="002229F4" w:rsidRPr="0084045A">
              <w:rPr>
                <w:rFonts w:ascii="Arial" w:eastAsia="Times New Roman" w:hAnsi="Arial" w:cs="Arial"/>
                <w:b/>
                <w:bCs/>
                <w:noProof/>
                <w:color w:val="000000"/>
                <w:sz w:val="16"/>
                <w:szCs w:val="16"/>
                <w:lang w:val="en-GB" w:eastAsia="es-MX"/>
              </w:rPr>
              <w:t>, years</w:t>
            </w:r>
          </w:p>
        </w:tc>
        <w:tc>
          <w:tcPr>
            <w:tcW w:w="713" w:type="dxa"/>
            <w:tcBorders>
              <w:bottom w:val="single" w:sz="4" w:space="0" w:color="auto"/>
            </w:tcBorders>
            <w:shd w:val="clear" w:color="auto" w:fill="auto"/>
            <w:noWrap/>
            <w:textDirection w:val="btLr"/>
            <w:vAlign w:val="center"/>
            <w:hideMark/>
          </w:tcPr>
          <w:p w14:paraId="69D24F8A" w14:textId="4A7EAFE1"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2009</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2010</w:t>
            </w:r>
          </w:p>
        </w:tc>
        <w:tc>
          <w:tcPr>
            <w:tcW w:w="713" w:type="dxa"/>
            <w:tcBorders>
              <w:bottom w:val="single" w:sz="4" w:space="0" w:color="auto"/>
            </w:tcBorders>
            <w:shd w:val="clear" w:color="auto" w:fill="auto"/>
            <w:noWrap/>
            <w:textDirection w:val="btLr"/>
            <w:vAlign w:val="center"/>
            <w:hideMark/>
          </w:tcPr>
          <w:p w14:paraId="44424769" w14:textId="792E2CD1"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2010</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2011</w:t>
            </w:r>
          </w:p>
        </w:tc>
        <w:tc>
          <w:tcPr>
            <w:tcW w:w="571" w:type="dxa"/>
            <w:tcBorders>
              <w:bottom w:val="single" w:sz="4" w:space="0" w:color="auto"/>
            </w:tcBorders>
            <w:shd w:val="clear" w:color="auto" w:fill="auto"/>
            <w:noWrap/>
            <w:textDirection w:val="btLr"/>
            <w:vAlign w:val="center"/>
            <w:hideMark/>
          </w:tcPr>
          <w:p w14:paraId="3DBA5EA9" w14:textId="7B7A4535"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2011</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2012</w:t>
            </w:r>
          </w:p>
        </w:tc>
        <w:tc>
          <w:tcPr>
            <w:tcW w:w="714" w:type="dxa"/>
            <w:tcBorders>
              <w:bottom w:val="single" w:sz="4" w:space="0" w:color="auto"/>
            </w:tcBorders>
            <w:shd w:val="clear" w:color="auto" w:fill="auto"/>
            <w:noWrap/>
            <w:textDirection w:val="btLr"/>
            <w:vAlign w:val="center"/>
            <w:hideMark/>
          </w:tcPr>
          <w:p w14:paraId="31CE593B" w14:textId="1CBE090D"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2012</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2013</w:t>
            </w:r>
          </w:p>
        </w:tc>
        <w:tc>
          <w:tcPr>
            <w:tcW w:w="714" w:type="dxa"/>
            <w:tcBorders>
              <w:bottom w:val="single" w:sz="4" w:space="0" w:color="auto"/>
            </w:tcBorders>
            <w:shd w:val="clear" w:color="auto" w:fill="auto"/>
            <w:noWrap/>
            <w:textDirection w:val="btLr"/>
            <w:vAlign w:val="center"/>
            <w:hideMark/>
          </w:tcPr>
          <w:p w14:paraId="5441EC1F" w14:textId="416E08DF"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2013</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2014</w:t>
            </w:r>
          </w:p>
        </w:tc>
        <w:tc>
          <w:tcPr>
            <w:tcW w:w="571" w:type="dxa"/>
            <w:tcBorders>
              <w:bottom w:val="single" w:sz="4" w:space="0" w:color="auto"/>
            </w:tcBorders>
            <w:shd w:val="clear" w:color="auto" w:fill="auto"/>
            <w:noWrap/>
            <w:textDirection w:val="btLr"/>
            <w:vAlign w:val="center"/>
            <w:hideMark/>
          </w:tcPr>
          <w:p w14:paraId="000C4A3E" w14:textId="355721FD"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2014</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2015</w:t>
            </w:r>
          </w:p>
        </w:tc>
        <w:tc>
          <w:tcPr>
            <w:tcW w:w="714" w:type="dxa"/>
            <w:tcBorders>
              <w:bottom w:val="single" w:sz="4" w:space="0" w:color="auto"/>
            </w:tcBorders>
            <w:shd w:val="clear" w:color="auto" w:fill="auto"/>
            <w:noWrap/>
            <w:textDirection w:val="btLr"/>
            <w:vAlign w:val="center"/>
            <w:hideMark/>
          </w:tcPr>
          <w:p w14:paraId="7288CBFE" w14:textId="6ABFAB9E"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2015</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2016</w:t>
            </w:r>
          </w:p>
        </w:tc>
        <w:tc>
          <w:tcPr>
            <w:tcW w:w="713" w:type="dxa"/>
            <w:tcBorders>
              <w:bottom w:val="single" w:sz="4" w:space="0" w:color="auto"/>
            </w:tcBorders>
            <w:shd w:val="clear" w:color="auto" w:fill="auto"/>
            <w:noWrap/>
            <w:textDirection w:val="btLr"/>
            <w:vAlign w:val="center"/>
            <w:hideMark/>
          </w:tcPr>
          <w:p w14:paraId="0506B435" w14:textId="5627BBE4"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2016</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2017</w:t>
            </w:r>
          </w:p>
        </w:tc>
        <w:tc>
          <w:tcPr>
            <w:tcW w:w="714" w:type="dxa"/>
            <w:tcBorders>
              <w:bottom w:val="single" w:sz="4" w:space="0" w:color="auto"/>
            </w:tcBorders>
            <w:shd w:val="clear" w:color="auto" w:fill="auto"/>
            <w:noWrap/>
            <w:textDirection w:val="btLr"/>
            <w:vAlign w:val="center"/>
            <w:hideMark/>
          </w:tcPr>
          <w:p w14:paraId="6D3C09C7" w14:textId="4D5FFE75"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2017</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2018</w:t>
            </w:r>
          </w:p>
        </w:tc>
        <w:tc>
          <w:tcPr>
            <w:tcW w:w="514" w:type="dxa"/>
            <w:tcBorders>
              <w:bottom w:val="single" w:sz="4" w:space="0" w:color="auto"/>
            </w:tcBorders>
            <w:shd w:val="clear" w:color="auto" w:fill="auto"/>
            <w:noWrap/>
            <w:textDirection w:val="btLr"/>
            <w:vAlign w:val="center"/>
            <w:hideMark/>
          </w:tcPr>
          <w:p w14:paraId="334FFDCC" w14:textId="76B1A62B"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2018</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2019</w:t>
            </w:r>
          </w:p>
        </w:tc>
        <w:tc>
          <w:tcPr>
            <w:tcW w:w="802" w:type="dxa"/>
            <w:tcBorders>
              <w:bottom w:val="single" w:sz="4" w:space="0" w:color="auto"/>
            </w:tcBorders>
            <w:shd w:val="clear" w:color="auto" w:fill="auto"/>
            <w:noWrap/>
            <w:vAlign w:val="center"/>
            <w:hideMark/>
          </w:tcPr>
          <w:p w14:paraId="1EC8412B"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TOTAL</w:t>
            </w:r>
          </w:p>
        </w:tc>
        <w:tc>
          <w:tcPr>
            <w:tcW w:w="630" w:type="dxa"/>
            <w:tcBorders>
              <w:bottom w:val="single" w:sz="4" w:space="0" w:color="auto"/>
            </w:tcBorders>
            <w:vAlign w:val="center"/>
          </w:tcPr>
          <w:p w14:paraId="0378E218"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w:t>
            </w:r>
          </w:p>
        </w:tc>
      </w:tr>
      <w:tr w:rsidR="00F26890" w:rsidRPr="0084045A" w14:paraId="1F3190FA" w14:textId="77777777" w:rsidTr="00512905">
        <w:trPr>
          <w:trHeight w:val="348"/>
          <w:jc w:val="center"/>
        </w:trPr>
        <w:tc>
          <w:tcPr>
            <w:tcW w:w="1000" w:type="dxa"/>
            <w:tcBorders>
              <w:bottom w:val="nil"/>
              <w:right w:val="nil"/>
            </w:tcBorders>
            <w:shd w:val="clear" w:color="auto" w:fill="auto"/>
            <w:noWrap/>
            <w:vAlign w:val="center"/>
            <w:hideMark/>
          </w:tcPr>
          <w:p w14:paraId="740B06D0" w14:textId="74100F4E" w:rsidR="00F26890" w:rsidRPr="0084045A" w:rsidRDefault="00F26890"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0</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4</w:t>
            </w:r>
          </w:p>
        </w:tc>
        <w:tc>
          <w:tcPr>
            <w:tcW w:w="713" w:type="dxa"/>
            <w:tcBorders>
              <w:left w:val="nil"/>
              <w:bottom w:val="nil"/>
              <w:right w:val="nil"/>
            </w:tcBorders>
            <w:shd w:val="clear" w:color="auto" w:fill="auto"/>
            <w:noWrap/>
            <w:vAlign w:val="center"/>
            <w:hideMark/>
          </w:tcPr>
          <w:p w14:paraId="661154AB"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382</w:t>
            </w:r>
          </w:p>
        </w:tc>
        <w:tc>
          <w:tcPr>
            <w:tcW w:w="713" w:type="dxa"/>
            <w:tcBorders>
              <w:left w:val="nil"/>
              <w:bottom w:val="nil"/>
              <w:right w:val="nil"/>
            </w:tcBorders>
            <w:shd w:val="clear" w:color="auto" w:fill="auto"/>
            <w:noWrap/>
            <w:vAlign w:val="center"/>
            <w:hideMark/>
          </w:tcPr>
          <w:p w14:paraId="41EA0EBF"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663</w:t>
            </w:r>
          </w:p>
        </w:tc>
        <w:tc>
          <w:tcPr>
            <w:tcW w:w="571" w:type="dxa"/>
            <w:tcBorders>
              <w:left w:val="nil"/>
              <w:bottom w:val="nil"/>
              <w:right w:val="nil"/>
            </w:tcBorders>
            <w:shd w:val="clear" w:color="auto" w:fill="auto"/>
            <w:noWrap/>
            <w:vAlign w:val="center"/>
            <w:hideMark/>
          </w:tcPr>
          <w:p w14:paraId="4B447B12"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758</w:t>
            </w:r>
          </w:p>
        </w:tc>
        <w:tc>
          <w:tcPr>
            <w:tcW w:w="714" w:type="dxa"/>
            <w:tcBorders>
              <w:left w:val="nil"/>
              <w:bottom w:val="nil"/>
              <w:right w:val="nil"/>
            </w:tcBorders>
            <w:shd w:val="clear" w:color="auto" w:fill="auto"/>
            <w:noWrap/>
            <w:vAlign w:val="center"/>
            <w:hideMark/>
          </w:tcPr>
          <w:p w14:paraId="1D323889"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543</w:t>
            </w:r>
          </w:p>
        </w:tc>
        <w:tc>
          <w:tcPr>
            <w:tcW w:w="714" w:type="dxa"/>
            <w:tcBorders>
              <w:left w:val="nil"/>
              <w:bottom w:val="nil"/>
              <w:right w:val="nil"/>
            </w:tcBorders>
            <w:shd w:val="clear" w:color="auto" w:fill="auto"/>
            <w:noWrap/>
            <w:vAlign w:val="center"/>
            <w:hideMark/>
          </w:tcPr>
          <w:p w14:paraId="2AAF8ED3"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949</w:t>
            </w:r>
          </w:p>
        </w:tc>
        <w:tc>
          <w:tcPr>
            <w:tcW w:w="571" w:type="dxa"/>
            <w:tcBorders>
              <w:left w:val="nil"/>
              <w:bottom w:val="nil"/>
              <w:right w:val="nil"/>
            </w:tcBorders>
            <w:shd w:val="clear" w:color="auto" w:fill="auto"/>
            <w:noWrap/>
            <w:vAlign w:val="center"/>
            <w:hideMark/>
          </w:tcPr>
          <w:p w14:paraId="2C071131"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441</w:t>
            </w:r>
          </w:p>
        </w:tc>
        <w:tc>
          <w:tcPr>
            <w:tcW w:w="714" w:type="dxa"/>
            <w:tcBorders>
              <w:left w:val="nil"/>
              <w:bottom w:val="nil"/>
              <w:right w:val="nil"/>
            </w:tcBorders>
            <w:shd w:val="clear" w:color="auto" w:fill="auto"/>
            <w:noWrap/>
            <w:vAlign w:val="center"/>
            <w:hideMark/>
          </w:tcPr>
          <w:p w14:paraId="262B44CB" w14:textId="27282ABC"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1150</w:t>
            </w:r>
          </w:p>
        </w:tc>
        <w:tc>
          <w:tcPr>
            <w:tcW w:w="713" w:type="dxa"/>
            <w:tcBorders>
              <w:left w:val="nil"/>
              <w:bottom w:val="nil"/>
              <w:right w:val="nil"/>
            </w:tcBorders>
            <w:shd w:val="clear" w:color="auto" w:fill="auto"/>
            <w:noWrap/>
            <w:vAlign w:val="center"/>
            <w:hideMark/>
          </w:tcPr>
          <w:p w14:paraId="64FAD7DE"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899</w:t>
            </w:r>
          </w:p>
        </w:tc>
        <w:tc>
          <w:tcPr>
            <w:tcW w:w="714" w:type="dxa"/>
            <w:tcBorders>
              <w:left w:val="nil"/>
              <w:bottom w:val="nil"/>
              <w:right w:val="nil"/>
            </w:tcBorders>
            <w:shd w:val="clear" w:color="auto" w:fill="auto"/>
            <w:noWrap/>
            <w:vAlign w:val="center"/>
            <w:hideMark/>
          </w:tcPr>
          <w:p w14:paraId="06383B5D"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695</w:t>
            </w:r>
          </w:p>
        </w:tc>
        <w:tc>
          <w:tcPr>
            <w:tcW w:w="514" w:type="dxa"/>
            <w:tcBorders>
              <w:left w:val="nil"/>
              <w:bottom w:val="nil"/>
              <w:right w:val="nil"/>
            </w:tcBorders>
            <w:shd w:val="clear" w:color="auto" w:fill="auto"/>
            <w:noWrap/>
            <w:vAlign w:val="center"/>
            <w:hideMark/>
          </w:tcPr>
          <w:p w14:paraId="364A1EDA"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37</w:t>
            </w:r>
          </w:p>
        </w:tc>
        <w:tc>
          <w:tcPr>
            <w:tcW w:w="802" w:type="dxa"/>
            <w:tcBorders>
              <w:left w:val="nil"/>
              <w:bottom w:val="nil"/>
              <w:right w:val="nil"/>
            </w:tcBorders>
            <w:shd w:val="clear" w:color="auto" w:fill="auto"/>
            <w:noWrap/>
            <w:vAlign w:val="center"/>
            <w:hideMark/>
          </w:tcPr>
          <w:p w14:paraId="548E5049" w14:textId="4AFC2A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6517</w:t>
            </w:r>
          </w:p>
        </w:tc>
        <w:tc>
          <w:tcPr>
            <w:tcW w:w="630" w:type="dxa"/>
            <w:tcBorders>
              <w:left w:val="nil"/>
              <w:bottom w:val="nil"/>
            </w:tcBorders>
            <w:vAlign w:val="center"/>
          </w:tcPr>
          <w:p w14:paraId="72AAD81C" w14:textId="77777777" w:rsidR="00F26890" w:rsidRPr="0084045A" w:rsidRDefault="00F26890"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12.80</w:t>
            </w:r>
          </w:p>
        </w:tc>
      </w:tr>
      <w:tr w:rsidR="0054518C" w:rsidRPr="0084045A" w14:paraId="13733E91" w14:textId="77777777" w:rsidTr="00512905">
        <w:trPr>
          <w:trHeight w:val="348"/>
          <w:jc w:val="center"/>
        </w:trPr>
        <w:tc>
          <w:tcPr>
            <w:tcW w:w="1000" w:type="dxa"/>
            <w:tcBorders>
              <w:top w:val="nil"/>
              <w:bottom w:val="nil"/>
              <w:right w:val="nil"/>
            </w:tcBorders>
            <w:shd w:val="clear" w:color="auto" w:fill="auto"/>
            <w:noWrap/>
            <w:vAlign w:val="center"/>
            <w:hideMark/>
          </w:tcPr>
          <w:p w14:paraId="4B938263" w14:textId="6442EBFD" w:rsidR="00F26890" w:rsidRPr="0084045A" w:rsidRDefault="00F26890" w:rsidP="00205869">
            <w:pPr>
              <w:spacing w:after="0" w:line="480" w:lineRule="auto"/>
              <w:jc w:val="center"/>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5</w:t>
            </w:r>
            <w:r w:rsidR="00C939A8"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11</w:t>
            </w:r>
          </w:p>
        </w:tc>
        <w:tc>
          <w:tcPr>
            <w:tcW w:w="713" w:type="dxa"/>
            <w:tcBorders>
              <w:top w:val="nil"/>
              <w:left w:val="nil"/>
              <w:bottom w:val="nil"/>
              <w:right w:val="nil"/>
            </w:tcBorders>
            <w:shd w:val="clear" w:color="auto" w:fill="auto"/>
            <w:noWrap/>
            <w:vAlign w:val="center"/>
            <w:hideMark/>
          </w:tcPr>
          <w:p w14:paraId="74FDF950" w14:textId="77777777" w:rsidR="00F26890" w:rsidRPr="0084045A" w:rsidRDefault="00F26890" w:rsidP="003F0904">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259</w:t>
            </w:r>
          </w:p>
        </w:tc>
        <w:tc>
          <w:tcPr>
            <w:tcW w:w="713" w:type="dxa"/>
            <w:tcBorders>
              <w:top w:val="nil"/>
              <w:left w:val="nil"/>
              <w:bottom w:val="nil"/>
              <w:right w:val="nil"/>
            </w:tcBorders>
            <w:shd w:val="clear" w:color="auto" w:fill="auto"/>
            <w:noWrap/>
            <w:vAlign w:val="center"/>
            <w:hideMark/>
          </w:tcPr>
          <w:p w14:paraId="4E525ABD" w14:textId="77777777" w:rsidR="00F26890" w:rsidRPr="0084045A" w:rsidRDefault="00F26890" w:rsidP="003F0904">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589</w:t>
            </w:r>
          </w:p>
        </w:tc>
        <w:tc>
          <w:tcPr>
            <w:tcW w:w="571" w:type="dxa"/>
            <w:tcBorders>
              <w:top w:val="nil"/>
              <w:left w:val="nil"/>
              <w:bottom w:val="nil"/>
              <w:right w:val="nil"/>
            </w:tcBorders>
            <w:shd w:val="clear" w:color="auto" w:fill="auto"/>
            <w:noWrap/>
            <w:vAlign w:val="center"/>
            <w:hideMark/>
          </w:tcPr>
          <w:p w14:paraId="486FD50F" w14:textId="77777777" w:rsidR="00F26890" w:rsidRPr="0084045A" w:rsidRDefault="00F26890" w:rsidP="003F0904">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756</w:t>
            </w:r>
          </w:p>
        </w:tc>
        <w:tc>
          <w:tcPr>
            <w:tcW w:w="714" w:type="dxa"/>
            <w:tcBorders>
              <w:top w:val="nil"/>
              <w:left w:val="nil"/>
              <w:bottom w:val="nil"/>
              <w:right w:val="nil"/>
            </w:tcBorders>
            <w:shd w:val="clear" w:color="auto" w:fill="auto"/>
            <w:noWrap/>
            <w:vAlign w:val="center"/>
            <w:hideMark/>
          </w:tcPr>
          <w:p w14:paraId="054D7679" w14:textId="77777777" w:rsidR="00F26890" w:rsidRPr="0084045A" w:rsidRDefault="00F26890" w:rsidP="003F0904">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454</w:t>
            </w:r>
          </w:p>
        </w:tc>
        <w:tc>
          <w:tcPr>
            <w:tcW w:w="714" w:type="dxa"/>
            <w:tcBorders>
              <w:top w:val="nil"/>
              <w:left w:val="nil"/>
              <w:bottom w:val="nil"/>
              <w:right w:val="nil"/>
            </w:tcBorders>
            <w:shd w:val="clear" w:color="auto" w:fill="auto"/>
            <w:noWrap/>
            <w:vAlign w:val="center"/>
            <w:hideMark/>
          </w:tcPr>
          <w:p w14:paraId="07C6A127" w14:textId="77777777" w:rsidR="00F26890" w:rsidRPr="0084045A" w:rsidRDefault="00F26890" w:rsidP="003F0904">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655</w:t>
            </w:r>
          </w:p>
        </w:tc>
        <w:tc>
          <w:tcPr>
            <w:tcW w:w="571" w:type="dxa"/>
            <w:tcBorders>
              <w:top w:val="nil"/>
              <w:left w:val="nil"/>
              <w:bottom w:val="nil"/>
              <w:right w:val="nil"/>
            </w:tcBorders>
            <w:shd w:val="clear" w:color="auto" w:fill="auto"/>
            <w:noWrap/>
            <w:vAlign w:val="center"/>
            <w:hideMark/>
          </w:tcPr>
          <w:p w14:paraId="6A211A8D" w14:textId="77777777" w:rsidR="00F26890" w:rsidRPr="0084045A" w:rsidRDefault="00F26890" w:rsidP="003F0904">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309</w:t>
            </w:r>
          </w:p>
        </w:tc>
        <w:tc>
          <w:tcPr>
            <w:tcW w:w="714" w:type="dxa"/>
            <w:tcBorders>
              <w:top w:val="nil"/>
              <w:left w:val="nil"/>
              <w:bottom w:val="nil"/>
              <w:right w:val="nil"/>
            </w:tcBorders>
            <w:shd w:val="clear" w:color="auto" w:fill="auto"/>
            <w:noWrap/>
            <w:vAlign w:val="center"/>
            <w:hideMark/>
          </w:tcPr>
          <w:p w14:paraId="130474B5" w14:textId="77777777" w:rsidR="00F26890" w:rsidRPr="0084045A" w:rsidRDefault="00F26890" w:rsidP="003F0904">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931</w:t>
            </w:r>
          </w:p>
        </w:tc>
        <w:tc>
          <w:tcPr>
            <w:tcW w:w="713" w:type="dxa"/>
            <w:tcBorders>
              <w:top w:val="nil"/>
              <w:left w:val="nil"/>
              <w:bottom w:val="nil"/>
              <w:right w:val="nil"/>
            </w:tcBorders>
            <w:shd w:val="clear" w:color="auto" w:fill="auto"/>
            <w:noWrap/>
            <w:vAlign w:val="center"/>
            <w:hideMark/>
          </w:tcPr>
          <w:p w14:paraId="2CFE034B" w14:textId="77777777" w:rsidR="00F26890" w:rsidRPr="0084045A" w:rsidRDefault="00F26890" w:rsidP="003F0904">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660</w:t>
            </w:r>
          </w:p>
        </w:tc>
        <w:tc>
          <w:tcPr>
            <w:tcW w:w="714" w:type="dxa"/>
            <w:tcBorders>
              <w:top w:val="nil"/>
              <w:left w:val="nil"/>
              <w:bottom w:val="nil"/>
              <w:right w:val="nil"/>
            </w:tcBorders>
            <w:shd w:val="clear" w:color="auto" w:fill="auto"/>
            <w:noWrap/>
            <w:vAlign w:val="center"/>
            <w:hideMark/>
          </w:tcPr>
          <w:p w14:paraId="27D12F49" w14:textId="77777777" w:rsidR="00F26890" w:rsidRPr="0084045A" w:rsidRDefault="00F26890" w:rsidP="003F0904">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466</w:t>
            </w:r>
          </w:p>
        </w:tc>
        <w:tc>
          <w:tcPr>
            <w:tcW w:w="514" w:type="dxa"/>
            <w:tcBorders>
              <w:top w:val="nil"/>
              <w:left w:val="nil"/>
              <w:bottom w:val="nil"/>
              <w:right w:val="nil"/>
            </w:tcBorders>
            <w:shd w:val="clear" w:color="auto" w:fill="auto"/>
            <w:noWrap/>
            <w:vAlign w:val="center"/>
            <w:hideMark/>
          </w:tcPr>
          <w:p w14:paraId="1F0FD199" w14:textId="77777777" w:rsidR="00F26890" w:rsidRPr="0084045A" w:rsidRDefault="00F26890" w:rsidP="003F0904">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42</w:t>
            </w:r>
          </w:p>
        </w:tc>
        <w:tc>
          <w:tcPr>
            <w:tcW w:w="802" w:type="dxa"/>
            <w:tcBorders>
              <w:top w:val="nil"/>
              <w:left w:val="nil"/>
              <w:bottom w:val="nil"/>
              <w:right w:val="nil"/>
            </w:tcBorders>
            <w:shd w:val="clear" w:color="auto" w:fill="auto"/>
            <w:noWrap/>
            <w:vAlign w:val="center"/>
            <w:hideMark/>
          </w:tcPr>
          <w:p w14:paraId="3CE89866" w14:textId="76642226" w:rsidR="00F26890" w:rsidRPr="0084045A" w:rsidRDefault="00F26890" w:rsidP="003F0904">
            <w:pPr>
              <w:spacing w:after="0" w:line="480" w:lineRule="auto"/>
              <w:jc w:val="center"/>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5121</w:t>
            </w:r>
          </w:p>
        </w:tc>
        <w:tc>
          <w:tcPr>
            <w:tcW w:w="630" w:type="dxa"/>
            <w:tcBorders>
              <w:top w:val="nil"/>
              <w:left w:val="nil"/>
              <w:bottom w:val="nil"/>
            </w:tcBorders>
            <w:vAlign w:val="center"/>
          </w:tcPr>
          <w:p w14:paraId="422B5546" w14:textId="77777777" w:rsidR="00F26890" w:rsidRPr="0084045A" w:rsidRDefault="00F26890" w:rsidP="003F0904">
            <w:pPr>
              <w:spacing w:after="0" w:line="480" w:lineRule="auto"/>
              <w:jc w:val="center"/>
              <w:rPr>
                <w:rFonts w:ascii="Arial" w:eastAsia="Times New Roman" w:hAnsi="Arial" w:cs="Arial"/>
                <w:b/>
                <w:noProof/>
                <w:sz w:val="16"/>
                <w:szCs w:val="16"/>
                <w:lang w:val="en-GB" w:eastAsia="es-MX"/>
              </w:rPr>
            </w:pPr>
            <w:r w:rsidRPr="0084045A">
              <w:rPr>
                <w:rFonts w:ascii="Arial" w:eastAsia="Times New Roman" w:hAnsi="Arial" w:cs="Arial"/>
                <w:b/>
                <w:noProof/>
                <w:sz w:val="16"/>
                <w:szCs w:val="16"/>
                <w:lang w:val="en-GB" w:eastAsia="es-MX"/>
              </w:rPr>
              <w:t>10.06</w:t>
            </w:r>
          </w:p>
        </w:tc>
      </w:tr>
      <w:tr w:rsidR="00F26890" w:rsidRPr="0084045A" w14:paraId="3A5082F2" w14:textId="77777777" w:rsidTr="00512905">
        <w:trPr>
          <w:trHeight w:val="348"/>
          <w:jc w:val="center"/>
        </w:trPr>
        <w:tc>
          <w:tcPr>
            <w:tcW w:w="1000" w:type="dxa"/>
            <w:tcBorders>
              <w:top w:val="nil"/>
              <w:bottom w:val="nil"/>
              <w:right w:val="nil"/>
            </w:tcBorders>
            <w:shd w:val="clear" w:color="auto" w:fill="auto"/>
            <w:noWrap/>
            <w:vAlign w:val="center"/>
            <w:hideMark/>
          </w:tcPr>
          <w:p w14:paraId="4733F5E0" w14:textId="6B2567CD" w:rsidR="00F26890" w:rsidRPr="0084045A" w:rsidRDefault="00F26890"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12</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17</w:t>
            </w:r>
          </w:p>
        </w:tc>
        <w:tc>
          <w:tcPr>
            <w:tcW w:w="713" w:type="dxa"/>
            <w:tcBorders>
              <w:top w:val="nil"/>
              <w:left w:val="nil"/>
              <w:bottom w:val="nil"/>
              <w:right w:val="nil"/>
            </w:tcBorders>
            <w:shd w:val="clear" w:color="auto" w:fill="auto"/>
            <w:noWrap/>
            <w:vAlign w:val="center"/>
            <w:hideMark/>
          </w:tcPr>
          <w:p w14:paraId="2F6C6ADE"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205</w:t>
            </w:r>
          </w:p>
        </w:tc>
        <w:tc>
          <w:tcPr>
            <w:tcW w:w="713" w:type="dxa"/>
            <w:tcBorders>
              <w:top w:val="nil"/>
              <w:left w:val="nil"/>
              <w:bottom w:val="nil"/>
              <w:right w:val="nil"/>
            </w:tcBorders>
            <w:shd w:val="clear" w:color="auto" w:fill="auto"/>
            <w:noWrap/>
            <w:vAlign w:val="center"/>
            <w:hideMark/>
          </w:tcPr>
          <w:p w14:paraId="6D4C8DFA"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317</w:t>
            </w:r>
          </w:p>
        </w:tc>
        <w:tc>
          <w:tcPr>
            <w:tcW w:w="571" w:type="dxa"/>
            <w:tcBorders>
              <w:top w:val="nil"/>
              <w:left w:val="nil"/>
              <w:bottom w:val="nil"/>
              <w:right w:val="nil"/>
            </w:tcBorders>
            <w:shd w:val="clear" w:color="auto" w:fill="auto"/>
            <w:noWrap/>
            <w:vAlign w:val="center"/>
            <w:hideMark/>
          </w:tcPr>
          <w:p w14:paraId="2CEFAD07"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562</w:t>
            </w:r>
          </w:p>
        </w:tc>
        <w:tc>
          <w:tcPr>
            <w:tcW w:w="714" w:type="dxa"/>
            <w:tcBorders>
              <w:top w:val="nil"/>
              <w:left w:val="nil"/>
              <w:bottom w:val="nil"/>
              <w:right w:val="nil"/>
            </w:tcBorders>
            <w:shd w:val="clear" w:color="auto" w:fill="auto"/>
            <w:noWrap/>
            <w:vAlign w:val="center"/>
            <w:hideMark/>
          </w:tcPr>
          <w:p w14:paraId="01CDAD1B"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279</w:t>
            </w:r>
          </w:p>
        </w:tc>
        <w:tc>
          <w:tcPr>
            <w:tcW w:w="714" w:type="dxa"/>
            <w:tcBorders>
              <w:top w:val="nil"/>
              <w:left w:val="nil"/>
              <w:bottom w:val="nil"/>
              <w:right w:val="nil"/>
            </w:tcBorders>
            <w:shd w:val="clear" w:color="auto" w:fill="auto"/>
            <w:noWrap/>
            <w:vAlign w:val="center"/>
            <w:hideMark/>
          </w:tcPr>
          <w:p w14:paraId="4A7683D4"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461</w:t>
            </w:r>
          </w:p>
        </w:tc>
        <w:tc>
          <w:tcPr>
            <w:tcW w:w="571" w:type="dxa"/>
            <w:tcBorders>
              <w:top w:val="nil"/>
              <w:left w:val="nil"/>
              <w:bottom w:val="nil"/>
              <w:right w:val="nil"/>
            </w:tcBorders>
            <w:shd w:val="clear" w:color="auto" w:fill="auto"/>
            <w:noWrap/>
            <w:vAlign w:val="center"/>
            <w:hideMark/>
          </w:tcPr>
          <w:p w14:paraId="3FAC3D80"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223</w:t>
            </w:r>
          </w:p>
        </w:tc>
        <w:tc>
          <w:tcPr>
            <w:tcW w:w="714" w:type="dxa"/>
            <w:tcBorders>
              <w:top w:val="nil"/>
              <w:left w:val="nil"/>
              <w:bottom w:val="nil"/>
              <w:right w:val="nil"/>
            </w:tcBorders>
            <w:shd w:val="clear" w:color="auto" w:fill="auto"/>
            <w:noWrap/>
            <w:vAlign w:val="center"/>
            <w:hideMark/>
          </w:tcPr>
          <w:p w14:paraId="4DC02E0B"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507</w:t>
            </w:r>
          </w:p>
        </w:tc>
        <w:tc>
          <w:tcPr>
            <w:tcW w:w="713" w:type="dxa"/>
            <w:tcBorders>
              <w:top w:val="nil"/>
              <w:left w:val="nil"/>
              <w:bottom w:val="nil"/>
              <w:right w:val="nil"/>
            </w:tcBorders>
            <w:shd w:val="clear" w:color="auto" w:fill="auto"/>
            <w:noWrap/>
            <w:vAlign w:val="center"/>
            <w:hideMark/>
          </w:tcPr>
          <w:p w14:paraId="60B32DF7"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315</w:t>
            </w:r>
          </w:p>
        </w:tc>
        <w:tc>
          <w:tcPr>
            <w:tcW w:w="714" w:type="dxa"/>
            <w:tcBorders>
              <w:top w:val="nil"/>
              <w:left w:val="nil"/>
              <w:bottom w:val="nil"/>
              <w:right w:val="nil"/>
            </w:tcBorders>
            <w:shd w:val="clear" w:color="auto" w:fill="auto"/>
            <w:noWrap/>
            <w:vAlign w:val="center"/>
            <w:hideMark/>
          </w:tcPr>
          <w:p w14:paraId="54F751FE"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221</w:t>
            </w:r>
          </w:p>
        </w:tc>
        <w:tc>
          <w:tcPr>
            <w:tcW w:w="514" w:type="dxa"/>
            <w:tcBorders>
              <w:top w:val="nil"/>
              <w:left w:val="nil"/>
              <w:bottom w:val="nil"/>
              <w:right w:val="nil"/>
            </w:tcBorders>
            <w:shd w:val="clear" w:color="auto" w:fill="auto"/>
            <w:noWrap/>
            <w:vAlign w:val="center"/>
            <w:hideMark/>
          </w:tcPr>
          <w:p w14:paraId="2F116161"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9</w:t>
            </w:r>
          </w:p>
        </w:tc>
        <w:tc>
          <w:tcPr>
            <w:tcW w:w="802" w:type="dxa"/>
            <w:tcBorders>
              <w:top w:val="nil"/>
              <w:left w:val="nil"/>
              <w:bottom w:val="nil"/>
              <w:right w:val="nil"/>
            </w:tcBorders>
            <w:shd w:val="clear" w:color="auto" w:fill="auto"/>
            <w:noWrap/>
            <w:vAlign w:val="center"/>
            <w:hideMark/>
          </w:tcPr>
          <w:p w14:paraId="48D1937D" w14:textId="150C1272"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3099</w:t>
            </w:r>
          </w:p>
        </w:tc>
        <w:tc>
          <w:tcPr>
            <w:tcW w:w="630" w:type="dxa"/>
            <w:tcBorders>
              <w:top w:val="nil"/>
              <w:left w:val="nil"/>
              <w:bottom w:val="nil"/>
            </w:tcBorders>
            <w:vAlign w:val="center"/>
          </w:tcPr>
          <w:p w14:paraId="2B1406AA" w14:textId="77777777" w:rsidR="00F26890" w:rsidRPr="0084045A" w:rsidRDefault="00F26890"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6.09</w:t>
            </w:r>
          </w:p>
        </w:tc>
      </w:tr>
      <w:tr w:rsidR="00F26890" w:rsidRPr="0084045A" w14:paraId="6513B461" w14:textId="77777777" w:rsidTr="00512905">
        <w:trPr>
          <w:trHeight w:val="348"/>
          <w:jc w:val="center"/>
        </w:trPr>
        <w:tc>
          <w:tcPr>
            <w:tcW w:w="1000" w:type="dxa"/>
            <w:tcBorders>
              <w:top w:val="nil"/>
              <w:bottom w:val="nil"/>
              <w:right w:val="nil"/>
            </w:tcBorders>
            <w:shd w:val="clear" w:color="auto" w:fill="auto"/>
            <w:noWrap/>
            <w:vAlign w:val="center"/>
            <w:hideMark/>
          </w:tcPr>
          <w:p w14:paraId="3DBC59ED" w14:textId="3696713C" w:rsidR="00F26890" w:rsidRPr="0084045A" w:rsidRDefault="00F26890"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18</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49</w:t>
            </w:r>
          </w:p>
        </w:tc>
        <w:tc>
          <w:tcPr>
            <w:tcW w:w="713" w:type="dxa"/>
            <w:tcBorders>
              <w:top w:val="nil"/>
              <w:left w:val="nil"/>
              <w:bottom w:val="nil"/>
              <w:right w:val="nil"/>
            </w:tcBorders>
            <w:shd w:val="clear" w:color="auto" w:fill="auto"/>
            <w:noWrap/>
            <w:vAlign w:val="center"/>
            <w:hideMark/>
          </w:tcPr>
          <w:p w14:paraId="7DD2B508" w14:textId="4482DB45"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1562</w:t>
            </w:r>
          </w:p>
        </w:tc>
        <w:tc>
          <w:tcPr>
            <w:tcW w:w="713" w:type="dxa"/>
            <w:tcBorders>
              <w:top w:val="nil"/>
              <w:left w:val="nil"/>
              <w:bottom w:val="nil"/>
              <w:right w:val="nil"/>
            </w:tcBorders>
            <w:shd w:val="clear" w:color="auto" w:fill="auto"/>
            <w:noWrap/>
            <w:vAlign w:val="center"/>
            <w:hideMark/>
          </w:tcPr>
          <w:p w14:paraId="1777EF3E" w14:textId="6B22C30D" w:rsidR="00F26890" w:rsidRPr="0084045A" w:rsidRDefault="00F26890" w:rsidP="00E31A7B">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2057</w:t>
            </w:r>
          </w:p>
        </w:tc>
        <w:tc>
          <w:tcPr>
            <w:tcW w:w="571" w:type="dxa"/>
            <w:tcBorders>
              <w:top w:val="nil"/>
              <w:left w:val="nil"/>
              <w:bottom w:val="nil"/>
              <w:right w:val="nil"/>
            </w:tcBorders>
            <w:shd w:val="clear" w:color="auto" w:fill="auto"/>
            <w:noWrap/>
            <w:vAlign w:val="center"/>
            <w:hideMark/>
          </w:tcPr>
          <w:p w14:paraId="6F21D066" w14:textId="2FA1B386" w:rsidR="00F26890" w:rsidRPr="0084045A" w:rsidRDefault="00F26890" w:rsidP="00E31A7B">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3733</w:t>
            </w:r>
          </w:p>
        </w:tc>
        <w:tc>
          <w:tcPr>
            <w:tcW w:w="714" w:type="dxa"/>
            <w:tcBorders>
              <w:top w:val="nil"/>
              <w:left w:val="nil"/>
              <w:bottom w:val="nil"/>
              <w:right w:val="nil"/>
            </w:tcBorders>
            <w:shd w:val="clear" w:color="auto" w:fill="auto"/>
            <w:noWrap/>
            <w:vAlign w:val="center"/>
            <w:hideMark/>
          </w:tcPr>
          <w:p w14:paraId="7F44BFB4" w14:textId="6970E170" w:rsidR="00F26890" w:rsidRPr="0084045A" w:rsidRDefault="00F26890" w:rsidP="00E31A7B">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1558</w:t>
            </w:r>
          </w:p>
        </w:tc>
        <w:tc>
          <w:tcPr>
            <w:tcW w:w="714" w:type="dxa"/>
            <w:tcBorders>
              <w:top w:val="nil"/>
              <w:left w:val="nil"/>
              <w:bottom w:val="nil"/>
              <w:right w:val="nil"/>
            </w:tcBorders>
            <w:shd w:val="clear" w:color="auto" w:fill="auto"/>
            <w:noWrap/>
            <w:vAlign w:val="center"/>
            <w:hideMark/>
          </w:tcPr>
          <w:p w14:paraId="0B7B56E7" w14:textId="2A8563A6"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4605</w:t>
            </w:r>
          </w:p>
        </w:tc>
        <w:tc>
          <w:tcPr>
            <w:tcW w:w="571" w:type="dxa"/>
            <w:tcBorders>
              <w:top w:val="nil"/>
              <w:left w:val="nil"/>
              <w:bottom w:val="nil"/>
              <w:right w:val="nil"/>
            </w:tcBorders>
            <w:shd w:val="clear" w:color="auto" w:fill="auto"/>
            <w:noWrap/>
            <w:vAlign w:val="center"/>
            <w:hideMark/>
          </w:tcPr>
          <w:p w14:paraId="15C18ECC" w14:textId="5A4CA89A" w:rsidR="00F26890" w:rsidRPr="0084045A" w:rsidRDefault="00F26890" w:rsidP="00E31A7B">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1360</w:t>
            </w:r>
          </w:p>
        </w:tc>
        <w:tc>
          <w:tcPr>
            <w:tcW w:w="714" w:type="dxa"/>
            <w:tcBorders>
              <w:top w:val="nil"/>
              <w:left w:val="nil"/>
              <w:bottom w:val="nil"/>
              <w:right w:val="nil"/>
            </w:tcBorders>
            <w:shd w:val="clear" w:color="auto" w:fill="auto"/>
            <w:noWrap/>
            <w:vAlign w:val="center"/>
            <w:hideMark/>
          </w:tcPr>
          <w:p w14:paraId="3D8FE866" w14:textId="49ECF8DB" w:rsidR="00F26890" w:rsidRPr="0084045A" w:rsidRDefault="00F26890" w:rsidP="00E31A7B">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4468</w:t>
            </w:r>
          </w:p>
        </w:tc>
        <w:tc>
          <w:tcPr>
            <w:tcW w:w="713" w:type="dxa"/>
            <w:tcBorders>
              <w:top w:val="nil"/>
              <w:left w:val="nil"/>
              <w:bottom w:val="nil"/>
              <w:right w:val="nil"/>
            </w:tcBorders>
            <w:shd w:val="clear" w:color="auto" w:fill="auto"/>
            <w:noWrap/>
            <w:vAlign w:val="center"/>
            <w:hideMark/>
          </w:tcPr>
          <w:p w14:paraId="54D3650C" w14:textId="2313CC64"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2621</w:t>
            </w:r>
          </w:p>
        </w:tc>
        <w:tc>
          <w:tcPr>
            <w:tcW w:w="714" w:type="dxa"/>
            <w:tcBorders>
              <w:top w:val="nil"/>
              <w:left w:val="nil"/>
              <w:bottom w:val="nil"/>
              <w:right w:val="nil"/>
            </w:tcBorders>
            <w:shd w:val="clear" w:color="auto" w:fill="auto"/>
            <w:noWrap/>
            <w:vAlign w:val="center"/>
            <w:hideMark/>
          </w:tcPr>
          <w:p w14:paraId="4CD86EF3" w14:textId="4994E235"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1823</w:t>
            </w:r>
          </w:p>
        </w:tc>
        <w:tc>
          <w:tcPr>
            <w:tcW w:w="514" w:type="dxa"/>
            <w:tcBorders>
              <w:top w:val="nil"/>
              <w:left w:val="nil"/>
              <w:bottom w:val="nil"/>
              <w:right w:val="nil"/>
            </w:tcBorders>
            <w:shd w:val="clear" w:color="auto" w:fill="auto"/>
            <w:noWrap/>
            <w:vAlign w:val="center"/>
            <w:hideMark/>
          </w:tcPr>
          <w:p w14:paraId="26254834"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89</w:t>
            </w:r>
          </w:p>
        </w:tc>
        <w:tc>
          <w:tcPr>
            <w:tcW w:w="802" w:type="dxa"/>
            <w:tcBorders>
              <w:top w:val="nil"/>
              <w:left w:val="nil"/>
              <w:bottom w:val="nil"/>
              <w:right w:val="nil"/>
            </w:tcBorders>
            <w:shd w:val="clear" w:color="auto" w:fill="auto"/>
            <w:noWrap/>
            <w:vAlign w:val="center"/>
            <w:hideMark/>
          </w:tcPr>
          <w:p w14:paraId="7F4FCA41"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23,876</w:t>
            </w:r>
          </w:p>
        </w:tc>
        <w:tc>
          <w:tcPr>
            <w:tcW w:w="630" w:type="dxa"/>
            <w:tcBorders>
              <w:top w:val="nil"/>
              <w:left w:val="nil"/>
              <w:bottom w:val="nil"/>
            </w:tcBorders>
            <w:vAlign w:val="center"/>
          </w:tcPr>
          <w:p w14:paraId="330F17E0" w14:textId="77777777" w:rsidR="00F26890" w:rsidRPr="0084045A" w:rsidRDefault="00F26890"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46.91</w:t>
            </w:r>
          </w:p>
        </w:tc>
      </w:tr>
      <w:tr w:rsidR="00F26890" w:rsidRPr="0084045A" w14:paraId="75C7D828" w14:textId="77777777" w:rsidTr="00AD1583">
        <w:trPr>
          <w:trHeight w:val="348"/>
          <w:jc w:val="center"/>
        </w:trPr>
        <w:tc>
          <w:tcPr>
            <w:tcW w:w="1000" w:type="dxa"/>
            <w:tcBorders>
              <w:top w:val="nil"/>
              <w:bottom w:val="nil"/>
              <w:right w:val="nil"/>
            </w:tcBorders>
            <w:shd w:val="clear" w:color="auto" w:fill="auto"/>
            <w:noWrap/>
            <w:vAlign w:val="center"/>
            <w:hideMark/>
          </w:tcPr>
          <w:p w14:paraId="3FFBDC6F" w14:textId="0239D341" w:rsidR="00F26890" w:rsidRPr="0084045A" w:rsidRDefault="00F26890"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50</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59</w:t>
            </w:r>
          </w:p>
        </w:tc>
        <w:tc>
          <w:tcPr>
            <w:tcW w:w="713" w:type="dxa"/>
            <w:tcBorders>
              <w:top w:val="nil"/>
              <w:left w:val="nil"/>
              <w:bottom w:val="nil"/>
              <w:right w:val="nil"/>
            </w:tcBorders>
            <w:shd w:val="clear" w:color="auto" w:fill="auto"/>
            <w:noWrap/>
            <w:vAlign w:val="center"/>
            <w:hideMark/>
          </w:tcPr>
          <w:p w14:paraId="3C445715"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284</w:t>
            </w:r>
          </w:p>
        </w:tc>
        <w:tc>
          <w:tcPr>
            <w:tcW w:w="713" w:type="dxa"/>
            <w:tcBorders>
              <w:top w:val="nil"/>
              <w:left w:val="nil"/>
              <w:bottom w:val="nil"/>
              <w:right w:val="nil"/>
            </w:tcBorders>
            <w:shd w:val="clear" w:color="auto" w:fill="auto"/>
            <w:noWrap/>
            <w:vAlign w:val="center"/>
            <w:hideMark/>
          </w:tcPr>
          <w:p w14:paraId="24CD826B"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305</w:t>
            </w:r>
          </w:p>
        </w:tc>
        <w:tc>
          <w:tcPr>
            <w:tcW w:w="571" w:type="dxa"/>
            <w:tcBorders>
              <w:top w:val="nil"/>
              <w:left w:val="nil"/>
              <w:bottom w:val="nil"/>
              <w:right w:val="nil"/>
            </w:tcBorders>
            <w:shd w:val="clear" w:color="auto" w:fill="auto"/>
            <w:noWrap/>
            <w:vAlign w:val="center"/>
            <w:hideMark/>
          </w:tcPr>
          <w:p w14:paraId="7B1108C7"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722</w:t>
            </w:r>
          </w:p>
        </w:tc>
        <w:tc>
          <w:tcPr>
            <w:tcW w:w="714" w:type="dxa"/>
            <w:tcBorders>
              <w:top w:val="nil"/>
              <w:left w:val="nil"/>
              <w:bottom w:val="nil"/>
              <w:right w:val="nil"/>
            </w:tcBorders>
            <w:shd w:val="clear" w:color="auto" w:fill="auto"/>
            <w:noWrap/>
            <w:vAlign w:val="center"/>
            <w:hideMark/>
          </w:tcPr>
          <w:p w14:paraId="578AA630"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307</w:t>
            </w:r>
          </w:p>
        </w:tc>
        <w:tc>
          <w:tcPr>
            <w:tcW w:w="714" w:type="dxa"/>
            <w:tcBorders>
              <w:top w:val="nil"/>
              <w:left w:val="nil"/>
              <w:bottom w:val="nil"/>
              <w:right w:val="nil"/>
            </w:tcBorders>
            <w:shd w:val="clear" w:color="auto" w:fill="auto"/>
            <w:noWrap/>
            <w:vAlign w:val="center"/>
            <w:hideMark/>
          </w:tcPr>
          <w:p w14:paraId="7D166EDA" w14:textId="7F6A1F34"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1228</w:t>
            </w:r>
          </w:p>
        </w:tc>
        <w:tc>
          <w:tcPr>
            <w:tcW w:w="571" w:type="dxa"/>
            <w:tcBorders>
              <w:top w:val="nil"/>
              <w:left w:val="nil"/>
              <w:bottom w:val="nil"/>
              <w:right w:val="nil"/>
            </w:tcBorders>
            <w:shd w:val="clear" w:color="auto" w:fill="auto"/>
            <w:noWrap/>
            <w:vAlign w:val="center"/>
            <w:hideMark/>
          </w:tcPr>
          <w:p w14:paraId="60A7A538"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334</w:t>
            </w:r>
          </w:p>
        </w:tc>
        <w:tc>
          <w:tcPr>
            <w:tcW w:w="714" w:type="dxa"/>
            <w:tcBorders>
              <w:top w:val="nil"/>
              <w:left w:val="nil"/>
              <w:bottom w:val="nil"/>
              <w:right w:val="nil"/>
            </w:tcBorders>
            <w:shd w:val="clear" w:color="auto" w:fill="auto"/>
            <w:noWrap/>
            <w:vAlign w:val="center"/>
            <w:hideMark/>
          </w:tcPr>
          <w:p w14:paraId="1A7A3149" w14:textId="253C0FBF"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1209</w:t>
            </w:r>
          </w:p>
        </w:tc>
        <w:tc>
          <w:tcPr>
            <w:tcW w:w="713" w:type="dxa"/>
            <w:tcBorders>
              <w:top w:val="nil"/>
              <w:left w:val="nil"/>
              <w:bottom w:val="nil"/>
              <w:right w:val="nil"/>
            </w:tcBorders>
            <w:shd w:val="clear" w:color="auto" w:fill="auto"/>
            <w:noWrap/>
            <w:vAlign w:val="center"/>
            <w:hideMark/>
          </w:tcPr>
          <w:p w14:paraId="5CC16C20"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839</w:t>
            </w:r>
          </w:p>
        </w:tc>
        <w:tc>
          <w:tcPr>
            <w:tcW w:w="714" w:type="dxa"/>
            <w:tcBorders>
              <w:top w:val="nil"/>
              <w:left w:val="nil"/>
              <w:bottom w:val="nil"/>
              <w:right w:val="nil"/>
            </w:tcBorders>
            <w:shd w:val="clear" w:color="auto" w:fill="auto"/>
            <w:noWrap/>
            <w:vAlign w:val="center"/>
            <w:hideMark/>
          </w:tcPr>
          <w:p w14:paraId="035DE0B8"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463</w:t>
            </w:r>
          </w:p>
        </w:tc>
        <w:tc>
          <w:tcPr>
            <w:tcW w:w="514" w:type="dxa"/>
            <w:tcBorders>
              <w:top w:val="nil"/>
              <w:left w:val="nil"/>
              <w:bottom w:val="nil"/>
              <w:right w:val="nil"/>
            </w:tcBorders>
            <w:shd w:val="clear" w:color="auto" w:fill="auto"/>
            <w:noWrap/>
            <w:vAlign w:val="center"/>
            <w:hideMark/>
          </w:tcPr>
          <w:p w14:paraId="4382A532"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34</w:t>
            </w:r>
          </w:p>
        </w:tc>
        <w:tc>
          <w:tcPr>
            <w:tcW w:w="802" w:type="dxa"/>
            <w:tcBorders>
              <w:top w:val="nil"/>
              <w:left w:val="nil"/>
              <w:bottom w:val="nil"/>
              <w:right w:val="nil"/>
            </w:tcBorders>
            <w:shd w:val="clear" w:color="auto" w:fill="auto"/>
            <w:noWrap/>
            <w:vAlign w:val="center"/>
            <w:hideMark/>
          </w:tcPr>
          <w:p w14:paraId="06084B68" w14:textId="0C34D48D"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5725</w:t>
            </w:r>
          </w:p>
        </w:tc>
        <w:tc>
          <w:tcPr>
            <w:tcW w:w="630" w:type="dxa"/>
            <w:tcBorders>
              <w:top w:val="nil"/>
              <w:left w:val="nil"/>
              <w:bottom w:val="nil"/>
            </w:tcBorders>
            <w:vAlign w:val="center"/>
          </w:tcPr>
          <w:p w14:paraId="074178E7" w14:textId="77777777" w:rsidR="00F26890" w:rsidRPr="0084045A" w:rsidRDefault="00F26890"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11.25</w:t>
            </w:r>
          </w:p>
        </w:tc>
      </w:tr>
      <w:tr w:rsidR="00F26890" w:rsidRPr="0084045A" w14:paraId="2A4BE03F" w14:textId="77777777" w:rsidTr="00AD1583">
        <w:trPr>
          <w:trHeight w:val="348"/>
          <w:jc w:val="center"/>
        </w:trPr>
        <w:tc>
          <w:tcPr>
            <w:tcW w:w="1000" w:type="dxa"/>
            <w:tcBorders>
              <w:top w:val="nil"/>
              <w:bottom w:val="single" w:sz="4" w:space="0" w:color="auto"/>
              <w:right w:val="nil"/>
            </w:tcBorders>
            <w:shd w:val="clear" w:color="auto" w:fill="auto"/>
            <w:noWrap/>
            <w:vAlign w:val="center"/>
            <w:hideMark/>
          </w:tcPr>
          <w:p w14:paraId="0EBC771D" w14:textId="61CAE79B" w:rsidR="00F26890"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w:t>
            </w:r>
            <w:r w:rsidR="00F26890" w:rsidRPr="0084045A">
              <w:rPr>
                <w:rFonts w:ascii="Arial" w:eastAsia="Times New Roman" w:hAnsi="Arial" w:cs="Arial"/>
                <w:b/>
                <w:bCs/>
                <w:noProof/>
                <w:color w:val="000000"/>
                <w:sz w:val="16"/>
                <w:szCs w:val="16"/>
                <w:lang w:val="en-GB" w:eastAsia="es-MX"/>
              </w:rPr>
              <w:t>60</w:t>
            </w:r>
          </w:p>
        </w:tc>
        <w:tc>
          <w:tcPr>
            <w:tcW w:w="713" w:type="dxa"/>
            <w:tcBorders>
              <w:top w:val="nil"/>
              <w:left w:val="nil"/>
              <w:bottom w:val="single" w:sz="4" w:space="0" w:color="auto"/>
              <w:right w:val="nil"/>
            </w:tcBorders>
            <w:shd w:val="clear" w:color="auto" w:fill="auto"/>
            <w:noWrap/>
            <w:vAlign w:val="center"/>
            <w:hideMark/>
          </w:tcPr>
          <w:p w14:paraId="6F323B52"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201</w:t>
            </w:r>
          </w:p>
        </w:tc>
        <w:tc>
          <w:tcPr>
            <w:tcW w:w="713" w:type="dxa"/>
            <w:tcBorders>
              <w:top w:val="nil"/>
              <w:left w:val="nil"/>
              <w:bottom w:val="single" w:sz="4" w:space="0" w:color="auto"/>
              <w:right w:val="nil"/>
            </w:tcBorders>
            <w:shd w:val="clear" w:color="auto" w:fill="auto"/>
            <w:noWrap/>
            <w:vAlign w:val="center"/>
            <w:hideMark/>
          </w:tcPr>
          <w:p w14:paraId="751AA3EF"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398</w:t>
            </w:r>
          </w:p>
        </w:tc>
        <w:tc>
          <w:tcPr>
            <w:tcW w:w="571" w:type="dxa"/>
            <w:tcBorders>
              <w:top w:val="nil"/>
              <w:left w:val="nil"/>
              <w:bottom w:val="single" w:sz="4" w:space="0" w:color="auto"/>
              <w:right w:val="nil"/>
            </w:tcBorders>
            <w:shd w:val="clear" w:color="auto" w:fill="auto"/>
            <w:noWrap/>
            <w:vAlign w:val="center"/>
            <w:hideMark/>
          </w:tcPr>
          <w:p w14:paraId="1A0FFE70"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513</w:t>
            </w:r>
          </w:p>
        </w:tc>
        <w:tc>
          <w:tcPr>
            <w:tcW w:w="714" w:type="dxa"/>
            <w:tcBorders>
              <w:top w:val="nil"/>
              <w:left w:val="nil"/>
              <w:bottom w:val="single" w:sz="4" w:space="0" w:color="auto"/>
              <w:right w:val="nil"/>
            </w:tcBorders>
            <w:shd w:val="clear" w:color="auto" w:fill="auto"/>
            <w:noWrap/>
            <w:vAlign w:val="center"/>
            <w:hideMark/>
          </w:tcPr>
          <w:p w14:paraId="72A0D6D7"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378</w:t>
            </w:r>
          </w:p>
        </w:tc>
        <w:tc>
          <w:tcPr>
            <w:tcW w:w="714" w:type="dxa"/>
            <w:tcBorders>
              <w:top w:val="nil"/>
              <w:left w:val="nil"/>
              <w:bottom w:val="single" w:sz="4" w:space="0" w:color="auto"/>
              <w:right w:val="nil"/>
            </w:tcBorders>
            <w:shd w:val="clear" w:color="auto" w:fill="auto"/>
            <w:noWrap/>
            <w:vAlign w:val="center"/>
            <w:hideMark/>
          </w:tcPr>
          <w:p w14:paraId="1F5EF33D" w14:textId="402422F7" w:rsidR="00F26890" w:rsidRPr="0084045A" w:rsidRDefault="00F26890" w:rsidP="00E31A7B">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1096</w:t>
            </w:r>
          </w:p>
        </w:tc>
        <w:tc>
          <w:tcPr>
            <w:tcW w:w="571" w:type="dxa"/>
            <w:tcBorders>
              <w:top w:val="nil"/>
              <w:left w:val="nil"/>
              <w:bottom w:val="single" w:sz="4" w:space="0" w:color="auto"/>
              <w:right w:val="nil"/>
            </w:tcBorders>
            <w:shd w:val="clear" w:color="auto" w:fill="auto"/>
            <w:noWrap/>
            <w:vAlign w:val="center"/>
            <w:hideMark/>
          </w:tcPr>
          <w:p w14:paraId="18A62BD3"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575</w:t>
            </w:r>
          </w:p>
        </w:tc>
        <w:tc>
          <w:tcPr>
            <w:tcW w:w="714" w:type="dxa"/>
            <w:tcBorders>
              <w:top w:val="nil"/>
              <w:left w:val="nil"/>
              <w:bottom w:val="single" w:sz="4" w:space="0" w:color="auto"/>
              <w:right w:val="nil"/>
            </w:tcBorders>
            <w:shd w:val="clear" w:color="auto" w:fill="auto"/>
            <w:noWrap/>
            <w:vAlign w:val="center"/>
            <w:hideMark/>
          </w:tcPr>
          <w:p w14:paraId="39EC0E20" w14:textId="455E28A9"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1370</w:t>
            </w:r>
          </w:p>
        </w:tc>
        <w:tc>
          <w:tcPr>
            <w:tcW w:w="713" w:type="dxa"/>
            <w:tcBorders>
              <w:top w:val="nil"/>
              <w:left w:val="nil"/>
              <w:bottom w:val="single" w:sz="4" w:space="0" w:color="auto"/>
              <w:right w:val="nil"/>
            </w:tcBorders>
            <w:shd w:val="clear" w:color="auto" w:fill="auto"/>
            <w:noWrap/>
            <w:vAlign w:val="center"/>
            <w:hideMark/>
          </w:tcPr>
          <w:p w14:paraId="2FE6BE9D" w14:textId="484AA772" w:rsidR="00F26890" w:rsidRPr="0084045A" w:rsidRDefault="00F26890" w:rsidP="00E31A7B">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1135</w:t>
            </w:r>
          </w:p>
        </w:tc>
        <w:tc>
          <w:tcPr>
            <w:tcW w:w="714" w:type="dxa"/>
            <w:tcBorders>
              <w:top w:val="nil"/>
              <w:left w:val="nil"/>
              <w:bottom w:val="single" w:sz="4" w:space="0" w:color="auto"/>
              <w:right w:val="nil"/>
            </w:tcBorders>
            <w:shd w:val="clear" w:color="auto" w:fill="auto"/>
            <w:noWrap/>
            <w:vAlign w:val="center"/>
            <w:hideMark/>
          </w:tcPr>
          <w:p w14:paraId="422B5079"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857</w:t>
            </w:r>
          </w:p>
        </w:tc>
        <w:tc>
          <w:tcPr>
            <w:tcW w:w="514" w:type="dxa"/>
            <w:tcBorders>
              <w:top w:val="nil"/>
              <w:left w:val="nil"/>
              <w:bottom w:val="single" w:sz="4" w:space="0" w:color="auto"/>
              <w:right w:val="nil"/>
            </w:tcBorders>
            <w:shd w:val="clear" w:color="auto" w:fill="auto"/>
            <w:noWrap/>
            <w:vAlign w:val="center"/>
            <w:hideMark/>
          </w:tcPr>
          <w:p w14:paraId="12BAF7B8" w14:textId="77777777" w:rsidR="00F26890" w:rsidRPr="0084045A" w:rsidRDefault="00F26890"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39</w:t>
            </w:r>
          </w:p>
        </w:tc>
        <w:tc>
          <w:tcPr>
            <w:tcW w:w="802" w:type="dxa"/>
            <w:tcBorders>
              <w:top w:val="nil"/>
              <w:left w:val="nil"/>
              <w:bottom w:val="single" w:sz="4" w:space="0" w:color="auto"/>
              <w:right w:val="nil"/>
            </w:tcBorders>
            <w:shd w:val="clear" w:color="auto" w:fill="auto"/>
            <w:noWrap/>
            <w:vAlign w:val="center"/>
            <w:hideMark/>
          </w:tcPr>
          <w:p w14:paraId="29BE0571" w14:textId="7306A843"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6562</w:t>
            </w:r>
          </w:p>
        </w:tc>
        <w:tc>
          <w:tcPr>
            <w:tcW w:w="630" w:type="dxa"/>
            <w:tcBorders>
              <w:top w:val="nil"/>
              <w:left w:val="nil"/>
              <w:bottom w:val="single" w:sz="4" w:space="0" w:color="auto"/>
            </w:tcBorders>
            <w:vAlign w:val="center"/>
          </w:tcPr>
          <w:p w14:paraId="79E39158" w14:textId="77777777" w:rsidR="00F26890" w:rsidRPr="0084045A" w:rsidRDefault="00F26890"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12.89</w:t>
            </w:r>
          </w:p>
        </w:tc>
      </w:tr>
      <w:tr w:rsidR="00F26890" w:rsidRPr="0084045A" w14:paraId="578C554D" w14:textId="77777777" w:rsidTr="00AD1583">
        <w:trPr>
          <w:trHeight w:val="348"/>
          <w:jc w:val="center"/>
        </w:trPr>
        <w:tc>
          <w:tcPr>
            <w:tcW w:w="1000" w:type="dxa"/>
            <w:tcBorders>
              <w:top w:val="single" w:sz="4" w:space="0" w:color="auto"/>
              <w:right w:val="nil"/>
            </w:tcBorders>
            <w:shd w:val="clear" w:color="auto" w:fill="auto"/>
            <w:noWrap/>
            <w:vAlign w:val="center"/>
            <w:hideMark/>
          </w:tcPr>
          <w:p w14:paraId="3BE68D5B"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TOTAL</w:t>
            </w:r>
          </w:p>
        </w:tc>
        <w:tc>
          <w:tcPr>
            <w:tcW w:w="713" w:type="dxa"/>
            <w:tcBorders>
              <w:top w:val="single" w:sz="4" w:space="0" w:color="auto"/>
              <w:left w:val="nil"/>
              <w:right w:val="nil"/>
            </w:tcBorders>
            <w:shd w:val="clear" w:color="auto" w:fill="auto"/>
            <w:noWrap/>
            <w:vAlign w:val="center"/>
            <w:hideMark/>
          </w:tcPr>
          <w:p w14:paraId="16C9A5F1" w14:textId="61720919"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2893</w:t>
            </w:r>
          </w:p>
        </w:tc>
        <w:tc>
          <w:tcPr>
            <w:tcW w:w="713" w:type="dxa"/>
            <w:tcBorders>
              <w:top w:val="single" w:sz="4" w:space="0" w:color="auto"/>
              <w:left w:val="nil"/>
              <w:right w:val="nil"/>
            </w:tcBorders>
            <w:shd w:val="clear" w:color="auto" w:fill="auto"/>
            <w:noWrap/>
            <w:vAlign w:val="center"/>
            <w:hideMark/>
          </w:tcPr>
          <w:p w14:paraId="50EFC5C6" w14:textId="6ED40089" w:rsidR="00F26890" w:rsidRPr="0084045A" w:rsidRDefault="00F26890" w:rsidP="00E31A7B">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4329</w:t>
            </w:r>
          </w:p>
        </w:tc>
        <w:tc>
          <w:tcPr>
            <w:tcW w:w="571" w:type="dxa"/>
            <w:tcBorders>
              <w:top w:val="single" w:sz="4" w:space="0" w:color="auto"/>
              <w:left w:val="nil"/>
              <w:right w:val="nil"/>
            </w:tcBorders>
            <w:shd w:val="clear" w:color="auto" w:fill="auto"/>
            <w:noWrap/>
            <w:vAlign w:val="center"/>
            <w:hideMark/>
          </w:tcPr>
          <w:p w14:paraId="198311C0" w14:textId="56257CA8" w:rsidR="00F26890" w:rsidRPr="0084045A" w:rsidRDefault="00F26890" w:rsidP="00E31A7B">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7044</w:t>
            </w:r>
          </w:p>
        </w:tc>
        <w:tc>
          <w:tcPr>
            <w:tcW w:w="714" w:type="dxa"/>
            <w:tcBorders>
              <w:top w:val="single" w:sz="4" w:space="0" w:color="auto"/>
              <w:left w:val="nil"/>
              <w:right w:val="nil"/>
            </w:tcBorders>
            <w:shd w:val="clear" w:color="auto" w:fill="auto"/>
            <w:noWrap/>
            <w:vAlign w:val="center"/>
            <w:hideMark/>
          </w:tcPr>
          <w:p w14:paraId="544CBDE7" w14:textId="772C20A7" w:rsidR="00F26890" w:rsidRPr="0084045A" w:rsidRDefault="00F26890" w:rsidP="00E31A7B">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3519</w:t>
            </w:r>
          </w:p>
        </w:tc>
        <w:tc>
          <w:tcPr>
            <w:tcW w:w="714" w:type="dxa"/>
            <w:tcBorders>
              <w:top w:val="single" w:sz="4" w:space="0" w:color="auto"/>
              <w:left w:val="nil"/>
              <w:right w:val="nil"/>
            </w:tcBorders>
            <w:shd w:val="clear" w:color="auto" w:fill="auto"/>
            <w:noWrap/>
            <w:vAlign w:val="center"/>
            <w:hideMark/>
          </w:tcPr>
          <w:p w14:paraId="1F1E27E1" w14:textId="72EDAEE3" w:rsidR="00F26890" w:rsidRPr="0084045A" w:rsidRDefault="00F26890" w:rsidP="00E31A7B">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8994</w:t>
            </w:r>
          </w:p>
        </w:tc>
        <w:tc>
          <w:tcPr>
            <w:tcW w:w="571" w:type="dxa"/>
            <w:tcBorders>
              <w:top w:val="single" w:sz="4" w:space="0" w:color="auto"/>
              <w:left w:val="nil"/>
              <w:right w:val="nil"/>
            </w:tcBorders>
            <w:shd w:val="clear" w:color="auto" w:fill="auto"/>
            <w:noWrap/>
            <w:vAlign w:val="center"/>
            <w:hideMark/>
          </w:tcPr>
          <w:p w14:paraId="62EC97DC" w14:textId="235B1CD9" w:rsidR="00F26890" w:rsidRPr="0084045A" w:rsidRDefault="00F26890" w:rsidP="00E31A7B">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3242</w:t>
            </w:r>
          </w:p>
        </w:tc>
        <w:tc>
          <w:tcPr>
            <w:tcW w:w="714" w:type="dxa"/>
            <w:tcBorders>
              <w:top w:val="single" w:sz="4" w:space="0" w:color="auto"/>
              <w:left w:val="nil"/>
              <w:right w:val="nil"/>
            </w:tcBorders>
            <w:shd w:val="clear" w:color="auto" w:fill="auto"/>
            <w:noWrap/>
            <w:vAlign w:val="center"/>
            <w:hideMark/>
          </w:tcPr>
          <w:p w14:paraId="298ACACF" w14:textId="796E7756" w:rsidR="00F26890" w:rsidRPr="0084045A" w:rsidRDefault="00F26890" w:rsidP="00E31A7B">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9635</w:t>
            </w:r>
          </w:p>
        </w:tc>
        <w:tc>
          <w:tcPr>
            <w:tcW w:w="713" w:type="dxa"/>
            <w:tcBorders>
              <w:top w:val="single" w:sz="4" w:space="0" w:color="auto"/>
              <w:left w:val="nil"/>
              <w:right w:val="nil"/>
            </w:tcBorders>
            <w:shd w:val="clear" w:color="auto" w:fill="auto"/>
            <w:noWrap/>
            <w:vAlign w:val="center"/>
            <w:hideMark/>
          </w:tcPr>
          <w:p w14:paraId="4C9332A7" w14:textId="1DE51B86" w:rsidR="00F26890" w:rsidRPr="0084045A" w:rsidRDefault="00F26890" w:rsidP="00E31A7B">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6469</w:t>
            </w:r>
          </w:p>
        </w:tc>
        <w:tc>
          <w:tcPr>
            <w:tcW w:w="714" w:type="dxa"/>
            <w:tcBorders>
              <w:top w:val="single" w:sz="4" w:space="0" w:color="auto"/>
              <w:left w:val="nil"/>
              <w:right w:val="nil"/>
            </w:tcBorders>
            <w:shd w:val="clear" w:color="auto" w:fill="auto"/>
            <w:noWrap/>
            <w:vAlign w:val="center"/>
            <w:hideMark/>
          </w:tcPr>
          <w:p w14:paraId="460B0723" w14:textId="795DB220" w:rsidR="00F26890" w:rsidRPr="0084045A" w:rsidRDefault="00F26890" w:rsidP="00E31A7B">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4525</w:t>
            </w:r>
          </w:p>
        </w:tc>
        <w:tc>
          <w:tcPr>
            <w:tcW w:w="514" w:type="dxa"/>
            <w:tcBorders>
              <w:top w:val="single" w:sz="4" w:space="0" w:color="auto"/>
              <w:left w:val="nil"/>
              <w:right w:val="nil"/>
            </w:tcBorders>
            <w:shd w:val="clear" w:color="auto" w:fill="auto"/>
            <w:noWrap/>
            <w:vAlign w:val="center"/>
            <w:hideMark/>
          </w:tcPr>
          <w:p w14:paraId="301D94B8"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250</w:t>
            </w:r>
          </w:p>
        </w:tc>
        <w:tc>
          <w:tcPr>
            <w:tcW w:w="802" w:type="dxa"/>
            <w:tcBorders>
              <w:top w:val="single" w:sz="4" w:space="0" w:color="auto"/>
              <w:left w:val="nil"/>
              <w:right w:val="nil"/>
            </w:tcBorders>
            <w:shd w:val="clear" w:color="auto" w:fill="auto"/>
            <w:noWrap/>
            <w:vAlign w:val="center"/>
            <w:hideMark/>
          </w:tcPr>
          <w:p w14:paraId="79DF29DC"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50,900</w:t>
            </w:r>
          </w:p>
        </w:tc>
        <w:tc>
          <w:tcPr>
            <w:tcW w:w="630" w:type="dxa"/>
            <w:tcBorders>
              <w:top w:val="single" w:sz="4" w:space="0" w:color="auto"/>
              <w:left w:val="nil"/>
            </w:tcBorders>
            <w:vAlign w:val="center"/>
          </w:tcPr>
          <w:p w14:paraId="0155E705" w14:textId="77777777" w:rsidR="00F26890" w:rsidRPr="0084045A" w:rsidRDefault="00F26890"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100.00</w:t>
            </w:r>
          </w:p>
        </w:tc>
      </w:tr>
    </w:tbl>
    <w:p w14:paraId="3DB14470" w14:textId="77777777" w:rsidR="00F26890" w:rsidRPr="0084045A" w:rsidRDefault="00F26890" w:rsidP="005A74BE">
      <w:pPr>
        <w:spacing w:after="0" w:line="240" w:lineRule="auto"/>
        <w:jc w:val="both"/>
        <w:rPr>
          <w:rFonts w:ascii="Arial" w:hAnsi="Arial" w:cs="Arial"/>
          <w:noProof/>
          <w:color w:val="000000" w:themeColor="text1"/>
          <w:lang w:val="en-GB"/>
        </w:rPr>
      </w:pPr>
    </w:p>
    <w:p w14:paraId="549B5D58" w14:textId="77777777" w:rsidR="00F26890" w:rsidRPr="0084045A" w:rsidRDefault="00F26890" w:rsidP="00F26890">
      <w:pPr>
        <w:spacing w:after="0" w:line="480" w:lineRule="auto"/>
        <w:ind w:right="-235"/>
        <w:jc w:val="right"/>
        <w:rPr>
          <w:rFonts w:ascii="Arial" w:hAnsi="Arial" w:cs="Arial"/>
          <w:noProof/>
          <w:color w:val="000000" w:themeColor="text1"/>
          <w:sz w:val="20"/>
          <w:lang w:val="en-GB"/>
        </w:rPr>
      </w:pPr>
      <w:r w:rsidRPr="0084045A">
        <w:rPr>
          <w:rFonts w:ascii="Arial" w:hAnsi="Arial" w:cs="Arial"/>
          <w:i/>
          <w:noProof/>
          <w:color w:val="000000" w:themeColor="text1"/>
          <w:sz w:val="20"/>
          <w:lang w:val="en-GB"/>
        </w:rPr>
        <w:t>Source:</w:t>
      </w:r>
      <w:r w:rsidRPr="0084045A">
        <w:rPr>
          <w:rFonts w:ascii="Arial" w:hAnsi="Arial" w:cs="Arial"/>
          <w:noProof/>
          <w:color w:val="000000" w:themeColor="text1"/>
          <w:sz w:val="20"/>
          <w:lang w:val="en-GB"/>
        </w:rPr>
        <w:t xml:space="preserve"> SISVEFLU</w:t>
      </w:r>
    </w:p>
    <w:p w14:paraId="6758DEF2" w14:textId="77777777" w:rsidR="00F26890" w:rsidRPr="0084045A" w:rsidRDefault="00F26890" w:rsidP="00F26890">
      <w:pPr>
        <w:spacing w:after="0" w:line="480" w:lineRule="auto"/>
        <w:jc w:val="both"/>
        <w:rPr>
          <w:rFonts w:ascii="Arial" w:hAnsi="Arial" w:cs="Arial"/>
          <w:noProof/>
          <w:color w:val="000000" w:themeColor="text1"/>
          <w:lang w:val="en-GB"/>
        </w:rPr>
      </w:pPr>
    </w:p>
    <w:p w14:paraId="66A2C0FA" w14:textId="77777777" w:rsidR="00C939A8" w:rsidRPr="0084045A" w:rsidRDefault="00C939A8" w:rsidP="00132EE1">
      <w:pPr>
        <w:spacing w:after="0" w:line="480" w:lineRule="auto"/>
        <w:rPr>
          <w:rFonts w:ascii="Arial" w:hAnsi="Arial" w:cs="Arial"/>
          <w:noProof/>
          <w:color w:val="000000" w:themeColor="text1"/>
          <w:lang w:val="en-GB"/>
        </w:rPr>
        <w:sectPr w:rsidR="00C939A8" w:rsidRPr="0084045A" w:rsidSect="00645F53">
          <w:footnotePr>
            <w:numRestart w:val="eachPage"/>
          </w:footnotePr>
          <w:pgSz w:w="12240" w:h="15840"/>
          <w:pgMar w:top="1417" w:right="1701" w:bottom="1417" w:left="1701" w:header="708" w:footer="708" w:gutter="0"/>
          <w:cols w:space="708"/>
          <w:docGrid w:linePitch="360"/>
        </w:sectPr>
      </w:pPr>
    </w:p>
    <w:p w14:paraId="429AC273" w14:textId="3ED556B2" w:rsidR="00EE72A9" w:rsidRPr="0084045A" w:rsidRDefault="00EE72A9" w:rsidP="00512905">
      <w:pPr>
        <w:pStyle w:val="Ttulo2"/>
        <w:rPr>
          <w:noProof/>
          <w:lang w:val="en-GB"/>
        </w:rPr>
      </w:pPr>
      <w:r w:rsidRPr="0084045A">
        <w:rPr>
          <w:noProof/>
          <w:lang w:val="en-GB"/>
        </w:rPr>
        <w:lastRenderedPageBreak/>
        <w:t>Table S</w:t>
      </w:r>
      <w:r w:rsidR="00EF2803" w:rsidRPr="0084045A">
        <w:rPr>
          <w:noProof/>
          <w:lang w:val="en-GB"/>
        </w:rPr>
        <w:t>5</w:t>
      </w:r>
      <w:r w:rsidRPr="0084045A">
        <w:rPr>
          <w:noProof/>
          <w:lang w:val="en-GB"/>
        </w:rPr>
        <w:t>.2</w:t>
      </w:r>
      <w:r w:rsidR="004A1075" w:rsidRPr="0084045A">
        <w:rPr>
          <w:noProof/>
          <w:lang w:val="en-GB"/>
        </w:rPr>
        <w:t>.</w:t>
      </w:r>
      <w:r w:rsidRPr="0084045A">
        <w:rPr>
          <w:noProof/>
          <w:lang w:val="en-GB"/>
        </w:rPr>
        <w:t xml:space="preserve"> Estimated influenza cases by age group and season</w:t>
      </w:r>
    </w:p>
    <w:tbl>
      <w:tblPr>
        <w:tblW w:w="11231"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20"/>
        <w:gridCol w:w="1030"/>
        <w:gridCol w:w="1030"/>
        <w:gridCol w:w="1030"/>
        <w:gridCol w:w="1030"/>
        <w:gridCol w:w="1030"/>
        <w:gridCol w:w="1030"/>
        <w:gridCol w:w="1030"/>
        <w:gridCol w:w="1030"/>
        <w:gridCol w:w="1030"/>
        <w:gridCol w:w="941"/>
      </w:tblGrid>
      <w:tr w:rsidR="00EE72A9" w:rsidRPr="0084045A" w14:paraId="5A7048E1" w14:textId="77777777" w:rsidTr="00512905">
        <w:trPr>
          <w:cantSplit/>
          <w:trHeight w:val="1045"/>
        </w:trPr>
        <w:tc>
          <w:tcPr>
            <w:tcW w:w="1020" w:type="dxa"/>
            <w:tcBorders>
              <w:bottom w:val="single" w:sz="4" w:space="0" w:color="auto"/>
            </w:tcBorders>
            <w:shd w:val="clear" w:color="auto" w:fill="auto"/>
            <w:noWrap/>
            <w:vAlign w:val="center"/>
            <w:hideMark/>
          </w:tcPr>
          <w:p w14:paraId="46229B15" w14:textId="4E4FA7AF"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Age group</w:t>
            </w:r>
            <w:r w:rsidR="002229F4" w:rsidRPr="0084045A">
              <w:rPr>
                <w:rFonts w:ascii="Arial" w:eastAsia="Times New Roman" w:hAnsi="Arial" w:cs="Arial"/>
                <w:b/>
                <w:bCs/>
                <w:noProof/>
                <w:color w:val="000000"/>
                <w:sz w:val="16"/>
                <w:szCs w:val="16"/>
                <w:lang w:val="en-GB" w:eastAsia="es-MX"/>
              </w:rPr>
              <w:t>, years</w:t>
            </w:r>
          </w:p>
        </w:tc>
        <w:tc>
          <w:tcPr>
            <w:tcW w:w="1030" w:type="dxa"/>
            <w:tcBorders>
              <w:bottom w:val="single" w:sz="4" w:space="0" w:color="auto"/>
            </w:tcBorders>
            <w:shd w:val="clear" w:color="auto" w:fill="auto"/>
            <w:noWrap/>
            <w:textDirection w:val="btLr"/>
            <w:vAlign w:val="center"/>
            <w:hideMark/>
          </w:tcPr>
          <w:p w14:paraId="38A43E49" w14:textId="6C613860"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2010</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2011</w:t>
            </w:r>
          </w:p>
        </w:tc>
        <w:tc>
          <w:tcPr>
            <w:tcW w:w="1030" w:type="dxa"/>
            <w:tcBorders>
              <w:bottom w:val="single" w:sz="4" w:space="0" w:color="auto"/>
            </w:tcBorders>
            <w:shd w:val="clear" w:color="auto" w:fill="auto"/>
            <w:noWrap/>
            <w:textDirection w:val="btLr"/>
            <w:vAlign w:val="center"/>
            <w:hideMark/>
          </w:tcPr>
          <w:p w14:paraId="0FF63F34" w14:textId="29005B6E"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2011</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2012</w:t>
            </w:r>
          </w:p>
        </w:tc>
        <w:tc>
          <w:tcPr>
            <w:tcW w:w="1030" w:type="dxa"/>
            <w:tcBorders>
              <w:bottom w:val="single" w:sz="4" w:space="0" w:color="auto"/>
            </w:tcBorders>
            <w:shd w:val="clear" w:color="auto" w:fill="auto"/>
            <w:noWrap/>
            <w:textDirection w:val="btLr"/>
            <w:vAlign w:val="center"/>
            <w:hideMark/>
          </w:tcPr>
          <w:p w14:paraId="74E368B5" w14:textId="0DC062A1"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2012</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2013</w:t>
            </w:r>
          </w:p>
        </w:tc>
        <w:tc>
          <w:tcPr>
            <w:tcW w:w="1030" w:type="dxa"/>
            <w:tcBorders>
              <w:bottom w:val="single" w:sz="4" w:space="0" w:color="auto"/>
            </w:tcBorders>
            <w:shd w:val="clear" w:color="auto" w:fill="auto"/>
            <w:noWrap/>
            <w:textDirection w:val="btLr"/>
            <w:vAlign w:val="center"/>
            <w:hideMark/>
          </w:tcPr>
          <w:p w14:paraId="5334D825" w14:textId="289481E6"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2013</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2014</w:t>
            </w:r>
          </w:p>
        </w:tc>
        <w:tc>
          <w:tcPr>
            <w:tcW w:w="1030" w:type="dxa"/>
            <w:tcBorders>
              <w:bottom w:val="single" w:sz="4" w:space="0" w:color="auto"/>
            </w:tcBorders>
            <w:shd w:val="clear" w:color="auto" w:fill="auto"/>
            <w:noWrap/>
            <w:textDirection w:val="btLr"/>
            <w:vAlign w:val="center"/>
            <w:hideMark/>
          </w:tcPr>
          <w:p w14:paraId="2D54EEF7" w14:textId="64480C00"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2014</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2015</w:t>
            </w:r>
          </w:p>
        </w:tc>
        <w:tc>
          <w:tcPr>
            <w:tcW w:w="1030" w:type="dxa"/>
            <w:tcBorders>
              <w:bottom w:val="single" w:sz="4" w:space="0" w:color="auto"/>
            </w:tcBorders>
            <w:shd w:val="clear" w:color="auto" w:fill="auto"/>
            <w:noWrap/>
            <w:textDirection w:val="btLr"/>
            <w:vAlign w:val="center"/>
            <w:hideMark/>
          </w:tcPr>
          <w:p w14:paraId="2E60464F" w14:textId="3B0145B9"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2015</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2016</w:t>
            </w:r>
          </w:p>
        </w:tc>
        <w:tc>
          <w:tcPr>
            <w:tcW w:w="1030" w:type="dxa"/>
            <w:tcBorders>
              <w:bottom w:val="single" w:sz="4" w:space="0" w:color="auto"/>
            </w:tcBorders>
            <w:shd w:val="clear" w:color="auto" w:fill="auto"/>
            <w:noWrap/>
            <w:textDirection w:val="btLr"/>
            <w:vAlign w:val="center"/>
            <w:hideMark/>
          </w:tcPr>
          <w:p w14:paraId="3E76109A" w14:textId="3ADCAF5C"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2016</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2017</w:t>
            </w:r>
          </w:p>
        </w:tc>
        <w:tc>
          <w:tcPr>
            <w:tcW w:w="1030" w:type="dxa"/>
            <w:tcBorders>
              <w:bottom w:val="single" w:sz="4" w:space="0" w:color="auto"/>
            </w:tcBorders>
            <w:shd w:val="clear" w:color="auto" w:fill="auto"/>
            <w:noWrap/>
            <w:textDirection w:val="btLr"/>
            <w:vAlign w:val="center"/>
            <w:hideMark/>
          </w:tcPr>
          <w:p w14:paraId="5267BDDC" w14:textId="3F403E81"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2017</w:t>
            </w:r>
            <w:r w:rsidR="001B1B04"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2018</w:t>
            </w:r>
          </w:p>
        </w:tc>
        <w:tc>
          <w:tcPr>
            <w:tcW w:w="1030" w:type="dxa"/>
            <w:tcBorders>
              <w:bottom w:val="single" w:sz="4" w:space="0" w:color="auto"/>
            </w:tcBorders>
            <w:shd w:val="clear" w:color="auto" w:fill="auto"/>
            <w:noWrap/>
            <w:textDirection w:val="btLr"/>
            <w:vAlign w:val="center"/>
            <w:hideMark/>
          </w:tcPr>
          <w:p w14:paraId="70EB798F" w14:textId="1EAAABCA"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2018</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2019</w:t>
            </w:r>
          </w:p>
        </w:tc>
        <w:tc>
          <w:tcPr>
            <w:tcW w:w="941" w:type="dxa"/>
            <w:tcBorders>
              <w:bottom w:val="single" w:sz="4" w:space="0" w:color="auto"/>
            </w:tcBorders>
            <w:shd w:val="clear" w:color="auto" w:fill="auto"/>
            <w:noWrap/>
            <w:vAlign w:val="center"/>
            <w:hideMark/>
          </w:tcPr>
          <w:p w14:paraId="14A35E95"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TOTAL</w:t>
            </w:r>
          </w:p>
        </w:tc>
      </w:tr>
      <w:tr w:rsidR="00EE72A9" w:rsidRPr="0084045A" w14:paraId="6C899131" w14:textId="77777777" w:rsidTr="00512905">
        <w:trPr>
          <w:trHeight w:val="348"/>
        </w:trPr>
        <w:tc>
          <w:tcPr>
            <w:tcW w:w="1020" w:type="dxa"/>
            <w:tcBorders>
              <w:bottom w:val="nil"/>
              <w:right w:val="nil"/>
            </w:tcBorders>
            <w:shd w:val="clear" w:color="auto" w:fill="auto"/>
            <w:noWrap/>
            <w:vAlign w:val="center"/>
            <w:hideMark/>
          </w:tcPr>
          <w:p w14:paraId="20A8B5E8" w14:textId="148D1E75"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0</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4</w:t>
            </w:r>
          </w:p>
        </w:tc>
        <w:tc>
          <w:tcPr>
            <w:tcW w:w="1030" w:type="dxa"/>
            <w:tcBorders>
              <w:left w:val="nil"/>
              <w:bottom w:val="nil"/>
              <w:right w:val="nil"/>
            </w:tcBorders>
            <w:shd w:val="clear" w:color="auto" w:fill="auto"/>
            <w:noWrap/>
            <w:vAlign w:val="center"/>
          </w:tcPr>
          <w:p w14:paraId="03575AC7"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1,541,921</w:t>
            </w:r>
          </w:p>
        </w:tc>
        <w:tc>
          <w:tcPr>
            <w:tcW w:w="1030" w:type="dxa"/>
            <w:tcBorders>
              <w:left w:val="nil"/>
              <w:bottom w:val="nil"/>
              <w:right w:val="nil"/>
            </w:tcBorders>
            <w:shd w:val="clear" w:color="auto" w:fill="auto"/>
            <w:noWrap/>
            <w:vAlign w:val="center"/>
          </w:tcPr>
          <w:p w14:paraId="4942416F"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526,212</w:t>
            </w:r>
          </w:p>
        </w:tc>
        <w:tc>
          <w:tcPr>
            <w:tcW w:w="1030" w:type="dxa"/>
            <w:tcBorders>
              <w:left w:val="nil"/>
              <w:bottom w:val="nil"/>
              <w:right w:val="nil"/>
            </w:tcBorders>
            <w:shd w:val="clear" w:color="auto" w:fill="auto"/>
            <w:noWrap/>
            <w:vAlign w:val="center"/>
          </w:tcPr>
          <w:p w14:paraId="0DD5218F"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1,991,434</w:t>
            </w:r>
          </w:p>
        </w:tc>
        <w:tc>
          <w:tcPr>
            <w:tcW w:w="1030" w:type="dxa"/>
            <w:tcBorders>
              <w:left w:val="nil"/>
              <w:bottom w:val="nil"/>
              <w:right w:val="nil"/>
            </w:tcBorders>
            <w:shd w:val="clear" w:color="auto" w:fill="auto"/>
            <w:noWrap/>
            <w:vAlign w:val="center"/>
          </w:tcPr>
          <w:p w14:paraId="44752372"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1,417,562</w:t>
            </w:r>
          </w:p>
        </w:tc>
        <w:tc>
          <w:tcPr>
            <w:tcW w:w="1030" w:type="dxa"/>
            <w:tcBorders>
              <w:left w:val="nil"/>
              <w:bottom w:val="nil"/>
              <w:right w:val="nil"/>
            </w:tcBorders>
            <w:shd w:val="clear" w:color="auto" w:fill="auto"/>
            <w:noWrap/>
            <w:vAlign w:val="center"/>
          </w:tcPr>
          <w:p w14:paraId="5CDDA49A"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1,794,872</w:t>
            </w:r>
          </w:p>
        </w:tc>
        <w:tc>
          <w:tcPr>
            <w:tcW w:w="1030" w:type="dxa"/>
            <w:tcBorders>
              <w:left w:val="nil"/>
              <w:bottom w:val="nil"/>
              <w:right w:val="nil"/>
            </w:tcBorders>
            <w:shd w:val="clear" w:color="auto" w:fill="auto"/>
            <w:noWrap/>
            <w:vAlign w:val="center"/>
          </w:tcPr>
          <w:p w14:paraId="3E00A021"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1,275,233</w:t>
            </w:r>
          </w:p>
        </w:tc>
        <w:tc>
          <w:tcPr>
            <w:tcW w:w="1030" w:type="dxa"/>
            <w:tcBorders>
              <w:left w:val="nil"/>
              <w:bottom w:val="nil"/>
              <w:right w:val="nil"/>
            </w:tcBorders>
            <w:shd w:val="clear" w:color="auto" w:fill="auto"/>
            <w:noWrap/>
            <w:vAlign w:val="center"/>
          </w:tcPr>
          <w:p w14:paraId="390BF951"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1,268,274</w:t>
            </w:r>
          </w:p>
        </w:tc>
        <w:tc>
          <w:tcPr>
            <w:tcW w:w="1030" w:type="dxa"/>
            <w:tcBorders>
              <w:left w:val="nil"/>
              <w:bottom w:val="nil"/>
              <w:right w:val="nil"/>
            </w:tcBorders>
            <w:shd w:val="clear" w:color="auto" w:fill="auto"/>
            <w:noWrap/>
            <w:vAlign w:val="center"/>
          </w:tcPr>
          <w:p w14:paraId="1B685E69"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2,197,168</w:t>
            </w:r>
          </w:p>
        </w:tc>
        <w:tc>
          <w:tcPr>
            <w:tcW w:w="1030" w:type="dxa"/>
            <w:tcBorders>
              <w:left w:val="nil"/>
              <w:bottom w:val="nil"/>
              <w:right w:val="nil"/>
            </w:tcBorders>
            <w:shd w:val="clear" w:color="auto" w:fill="auto"/>
            <w:noWrap/>
            <w:vAlign w:val="center"/>
          </w:tcPr>
          <w:p w14:paraId="0DFAAEA6"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1,476,442</w:t>
            </w:r>
          </w:p>
        </w:tc>
        <w:tc>
          <w:tcPr>
            <w:tcW w:w="941" w:type="dxa"/>
            <w:tcBorders>
              <w:left w:val="nil"/>
              <w:bottom w:val="nil"/>
            </w:tcBorders>
            <w:shd w:val="clear" w:color="auto" w:fill="auto"/>
            <w:noWrap/>
            <w:vAlign w:val="center"/>
          </w:tcPr>
          <w:p w14:paraId="650ADB3D"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13,489,116</w:t>
            </w:r>
          </w:p>
        </w:tc>
      </w:tr>
      <w:tr w:rsidR="00EE72A9" w:rsidRPr="0084045A" w14:paraId="2A794B07" w14:textId="77777777" w:rsidTr="00512905">
        <w:trPr>
          <w:trHeight w:val="348"/>
        </w:trPr>
        <w:tc>
          <w:tcPr>
            <w:tcW w:w="1020" w:type="dxa"/>
            <w:tcBorders>
              <w:top w:val="nil"/>
              <w:bottom w:val="nil"/>
              <w:right w:val="nil"/>
            </w:tcBorders>
            <w:shd w:val="clear" w:color="auto" w:fill="auto"/>
            <w:noWrap/>
            <w:vAlign w:val="center"/>
            <w:hideMark/>
          </w:tcPr>
          <w:p w14:paraId="7494036D" w14:textId="04D61938" w:rsidR="00EE72A9" w:rsidRPr="0084045A" w:rsidRDefault="00EE72A9" w:rsidP="00417A17">
            <w:pPr>
              <w:spacing w:after="0" w:line="480" w:lineRule="auto"/>
              <w:jc w:val="center"/>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5</w:t>
            </w:r>
            <w:r w:rsidR="00C939A8"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11</w:t>
            </w:r>
          </w:p>
        </w:tc>
        <w:tc>
          <w:tcPr>
            <w:tcW w:w="1030" w:type="dxa"/>
            <w:tcBorders>
              <w:top w:val="nil"/>
              <w:left w:val="nil"/>
              <w:bottom w:val="nil"/>
              <w:right w:val="nil"/>
            </w:tcBorders>
            <w:shd w:val="clear" w:color="auto" w:fill="auto"/>
            <w:noWrap/>
            <w:vAlign w:val="center"/>
          </w:tcPr>
          <w:p w14:paraId="6D546BE6" w14:textId="77777777" w:rsidR="00EE72A9" w:rsidRPr="0084045A" w:rsidRDefault="00EE72A9" w:rsidP="00417A17">
            <w:pPr>
              <w:spacing w:after="0" w:line="480" w:lineRule="auto"/>
              <w:jc w:val="center"/>
              <w:rPr>
                <w:rFonts w:ascii="Arial" w:eastAsia="Times New Roman" w:hAnsi="Arial" w:cs="Arial"/>
                <w:noProof/>
                <w:sz w:val="16"/>
                <w:szCs w:val="16"/>
                <w:lang w:val="en-GB" w:eastAsia="es-MX"/>
              </w:rPr>
            </w:pPr>
            <w:r w:rsidRPr="0084045A">
              <w:rPr>
                <w:rFonts w:ascii="Arial" w:hAnsi="Arial" w:cs="Arial"/>
                <w:noProof/>
                <w:sz w:val="16"/>
                <w:szCs w:val="16"/>
                <w:lang w:val="en-GB"/>
              </w:rPr>
              <w:t>1,291,012</w:t>
            </w:r>
          </w:p>
        </w:tc>
        <w:tc>
          <w:tcPr>
            <w:tcW w:w="1030" w:type="dxa"/>
            <w:tcBorders>
              <w:top w:val="nil"/>
              <w:left w:val="nil"/>
              <w:bottom w:val="nil"/>
              <w:right w:val="nil"/>
            </w:tcBorders>
            <w:shd w:val="clear" w:color="auto" w:fill="auto"/>
            <w:noWrap/>
            <w:vAlign w:val="center"/>
          </w:tcPr>
          <w:p w14:paraId="5ABC47C5" w14:textId="77777777" w:rsidR="00EE72A9" w:rsidRPr="0084045A" w:rsidRDefault="00EE72A9" w:rsidP="00417A17">
            <w:pPr>
              <w:spacing w:after="0" w:line="480" w:lineRule="auto"/>
              <w:jc w:val="center"/>
              <w:rPr>
                <w:rFonts w:ascii="Arial" w:eastAsia="Times New Roman" w:hAnsi="Arial" w:cs="Arial"/>
                <w:noProof/>
                <w:sz w:val="16"/>
                <w:szCs w:val="16"/>
                <w:lang w:val="en-GB" w:eastAsia="es-MX"/>
              </w:rPr>
            </w:pPr>
            <w:r w:rsidRPr="0084045A">
              <w:rPr>
                <w:rFonts w:ascii="Arial" w:hAnsi="Arial" w:cs="Arial"/>
                <w:noProof/>
                <w:sz w:val="16"/>
                <w:szCs w:val="16"/>
                <w:lang w:val="en-GB"/>
              </w:rPr>
              <w:t>583,585</w:t>
            </w:r>
          </w:p>
        </w:tc>
        <w:tc>
          <w:tcPr>
            <w:tcW w:w="1030" w:type="dxa"/>
            <w:tcBorders>
              <w:top w:val="nil"/>
              <w:left w:val="nil"/>
              <w:bottom w:val="nil"/>
              <w:right w:val="nil"/>
            </w:tcBorders>
            <w:shd w:val="clear" w:color="auto" w:fill="auto"/>
            <w:noWrap/>
            <w:vAlign w:val="center"/>
          </w:tcPr>
          <w:p w14:paraId="041A3C18" w14:textId="77777777" w:rsidR="00EE72A9" w:rsidRPr="0084045A" w:rsidRDefault="00EE72A9" w:rsidP="00417A17">
            <w:pPr>
              <w:spacing w:after="0" w:line="480" w:lineRule="auto"/>
              <w:jc w:val="center"/>
              <w:rPr>
                <w:rFonts w:ascii="Arial" w:eastAsia="Times New Roman" w:hAnsi="Arial" w:cs="Arial"/>
                <w:noProof/>
                <w:sz w:val="16"/>
                <w:szCs w:val="16"/>
                <w:lang w:val="en-GB" w:eastAsia="es-MX"/>
              </w:rPr>
            </w:pPr>
            <w:r w:rsidRPr="0084045A">
              <w:rPr>
                <w:rFonts w:ascii="Arial" w:hAnsi="Arial" w:cs="Arial"/>
                <w:noProof/>
                <w:sz w:val="16"/>
                <w:szCs w:val="16"/>
                <w:lang w:val="en-GB"/>
              </w:rPr>
              <w:t>1,952,068</w:t>
            </w:r>
          </w:p>
        </w:tc>
        <w:tc>
          <w:tcPr>
            <w:tcW w:w="1030" w:type="dxa"/>
            <w:tcBorders>
              <w:top w:val="nil"/>
              <w:left w:val="nil"/>
              <w:bottom w:val="nil"/>
              <w:right w:val="nil"/>
            </w:tcBorders>
            <w:shd w:val="clear" w:color="auto" w:fill="auto"/>
            <w:noWrap/>
            <w:vAlign w:val="center"/>
          </w:tcPr>
          <w:p w14:paraId="7D800AEE" w14:textId="77777777" w:rsidR="00EE72A9" w:rsidRPr="0084045A" w:rsidRDefault="00EE72A9" w:rsidP="00417A17">
            <w:pPr>
              <w:spacing w:after="0" w:line="480" w:lineRule="auto"/>
              <w:jc w:val="center"/>
              <w:rPr>
                <w:rFonts w:ascii="Arial" w:eastAsia="Times New Roman" w:hAnsi="Arial" w:cs="Arial"/>
                <w:noProof/>
                <w:sz w:val="16"/>
                <w:szCs w:val="16"/>
                <w:lang w:val="en-GB" w:eastAsia="es-MX"/>
              </w:rPr>
            </w:pPr>
            <w:r w:rsidRPr="0084045A">
              <w:rPr>
                <w:rFonts w:ascii="Arial" w:hAnsi="Arial" w:cs="Arial"/>
                <w:noProof/>
                <w:sz w:val="16"/>
                <w:szCs w:val="16"/>
                <w:lang w:val="en-GB"/>
              </w:rPr>
              <w:t>1,164,843</w:t>
            </w:r>
          </w:p>
        </w:tc>
        <w:tc>
          <w:tcPr>
            <w:tcW w:w="1030" w:type="dxa"/>
            <w:tcBorders>
              <w:top w:val="nil"/>
              <w:left w:val="nil"/>
              <w:bottom w:val="nil"/>
              <w:right w:val="nil"/>
            </w:tcBorders>
            <w:shd w:val="clear" w:color="auto" w:fill="auto"/>
            <w:noWrap/>
            <w:vAlign w:val="center"/>
          </w:tcPr>
          <w:p w14:paraId="34303EBA" w14:textId="77777777" w:rsidR="00EE72A9" w:rsidRPr="0084045A" w:rsidRDefault="00EE72A9" w:rsidP="00417A17">
            <w:pPr>
              <w:spacing w:after="0" w:line="480" w:lineRule="auto"/>
              <w:jc w:val="center"/>
              <w:rPr>
                <w:rFonts w:ascii="Arial" w:eastAsia="Times New Roman" w:hAnsi="Arial" w:cs="Arial"/>
                <w:noProof/>
                <w:sz w:val="16"/>
                <w:szCs w:val="16"/>
                <w:lang w:val="en-GB" w:eastAsia="es-MX"/>
              </w:rPr>
            </w:pPr>
            <w:r w:rsidRPr="0084045A">
              <w:rPr>
                <w:rFonts w:ascii="Arial" w:hAnsi="Arial" w:cs="Arial"/>
                <w:noProof/>
                <w:sz w:val="16"/>
                <w:szCs w:val="16"/>
                <w:lang w:val="en-GB"/>
              </w:rPr>
              <w:t>1,865,513</w:t>
            </w:r>
          </w:p>
        </w:tc>
        <w:tc>
          <w:tcPr>
            <w:tcW w:w="1030" w:type="dxa"/>
            <w:tcBorders>
              <w:top w:val="nil"/>
              <w:left w:val="nil"/>
              <w:bottom w:val="nil"/>
              <w:right w:val="nil"/>
            </w:tcBorders>
            <w:shd w:val="clear" w:color="auto" w:fill="auto"/>
            <w:noWrap/>
            <w:vAlign w:val="center"/>
          </w:tcPr>
          <w:p w14:paraId="39E33F8F" w14:textId="77777777" w:rsidR="00EE72A9" w:rsidRPr="0084045A" w:rsidRDefault="00EE72A9" w:rsidP="00417A17">
            <w:pPr>
              <w:spacing w:after="0" w:line="480" w:lineRule="auto"/>
              <w:jc w:val="center"/>
              <w:rPr>
                <w:rFonts w:ascii="Arial" w:eastAsia="Times New Roman" w:hAnsi="Arial" w:cs="Arial"/>
                <w:noProof/>
                <w:sz w:val="16"/>
                <w:szCs w:val="16"/>
                <w:lang w:val="en-GB" w:eastAsia="es-MX"/>
              </w:rPr>
            </w:pPr>
            <w:r w:rsidRPr="0084045A">
              <w:rPr>
                <w:rFonts w:ascii="Arial" w:hAnsi="Arial" w:cs="Arial"/>
                <w:noProof/>
                <w:sz w:val="16"/>
                <w:szCs w:val="16"/>
                <w:lang w:val="en-GB"/>
              </w:rPr>
              <w:t>1,266,616</w:t>
            </w:r>
          </w:p>
        </w:tc>
        <w:tc>
          <w:tcPr>
            <w:tcW w:w="1030" w:type="dxa"/>
            <w:tcBorders>
              <w:top w:val="nil"/>
              <w:left w:val="nil"/>
              <w:bottom w:val="nil"/>
              <w:right w:val="nil"/>
            </w:tcBorders>
            <w:shd w:val="clear" w:color="auto" w:fill="auto"/>
            <w:noWrap/>
            <w:vAlign w:val="center"/>
          </w:tcPr>
          <w:p w14:paraId="5E0A308E" w14:textId="77777777" w:rsidR="00EE72A9" w:rsidRPr="0084045A" w:rsidRDefault="00EE72A9" w:rsidP="00417A17">
            <w:pPr>
              <w:spacing w:after="0" w:line="480" w:lineRule="auto"/>
              <w:jc w:val="center"/>
              <w:rPr>
                <w:rFonts w:ascii="Arial" w:eastAsia="Times New Roman" w:hAnsi="Arial" w:cs="Arial"/>
                <w:noProof/>
                <w:sz w:val="16"/>
                <w:szCs w:val="16"/>
                <w:lang w:val="en-GB" w:eastAsia="es-MX"/>
              </w:rPr>
            </w:pPr>
            <w:r w:rsidRPr="0084045A">
              <w:rPr>
                <w:rFonts w:ascii="Arial" w:hAnsi="Arial" w:cs="Arial"/>
                <w:noProof/>
                <w:sz w:val="16"/>
                <w:szCs w:val="16"/>
                <w:lang w:val="en-GB"/>
              </w:rPr>
              <w:t>1,729,655</w:t>
            </w:r>
          </w:p>
        </w:tc>
        <w:tc>
          <w:tcPr>
            <w:tcW w:w="1030" w:type="dxa"/>
            <w:tcBorders>
              <w:top w:val="nil"/>
              <w:left w:val="nil"/>
              <w:bottom w:val="nil"/>
              <w:right w:val="nil"/>
            </w:tcBorders>
            <w:shd w:val="clear" w:color="auto" w:fill="auto"/>
            <w:noWrap/>
            <w:vAlign w:val="center"/>
          </w:tcPr>
          <w:p w14:paraId="47F5AF19" w14:textId="77777777" w:rsidR="00EE72A9" w:rsidRPr="0084045A" w:rsidRDefault="00EE72A9" w:rsidP="00417A17">
            <w:pPr>
              <w:spacing w:after="0" w:line="480" w:lineRule="auto"/>
              <w:jc w:val="center"/>
              <w:rPr>
                <w:rFonts w:ascii="Arial" w:eastAsia="Times New Roman" w:hAnsi="Arial" w:cs="Arial"/>
                <w:noProof/>
                <w:sz w:val="16"/>
                <w:szCs w:val="16"/>
                <w:lang w:val="en-GB" w:eastAsia="es-MX"/>
              </w:rPr>
            </w:pPr>
            <w:r w:rsidRPr="0084045A">
              <w:rPr>
                <w:rFonts w:ascii="Arial" w:hAnsi="Arial" w:cs="Arial"/>
                <w:noProof/>
                <w:sz w:val="16"/>
                <w:szCs w:val="16"/>
                <w:lang w:val="en-GB"/>
              </w:rPr>
              <w:t>2,176,925</w:t>
            </w:r>
          </w:p>
        </w:tc>
        <w:tc>
          <w:tcPr>
            <w:tcW w:w="1030" w:type="dxa"/>
            <w:tcBorders>
              <w:top w:val="nil"/>
              <w:left w:val="nil"/>
              <w:bottom w:val="nil"/>
              <w:right w:val="nil"/>
            </w:tcBorders>
            <w:shd w:val="clear" w:color="auto" w:fill="auto"/>
            <w:noWrap/>
            <w:vAlign w:val="center"/>
          </w:tcPr>
          <w:p w14:paraId="374B210F" w14:textId="77777777" w:rsidR="00EE72A9" w:rsidRPr="0084045A" w:rsidRDefault="00EE72A9" w:rsidP="00417A17">
            <w:pPr>
              <w:spacing w:after="0" w:line="480" w:lineRule="auto"/>
              <w:jc w:val="center"/>
              <w:rPr>
                <w:rFonts w:ascii="Arial" w:eastAsia="Times New Roman" w:hAnsi="Arial" w:cs="Arial"/>
                <w:noProof/>
                <w:sz w:val="16"/>
                <w:szCs w:val="16"/>
                <w:lang w:val="en-GB" w:eastAsia="es-MX"/>
              </w:rPr>
            </w:pPr>
            <w:r w:rsidRPr="0084045A">
              <w:rPr>
                <w:rFonts w:ascii="Arial" w:hAnsi="Arial" w:cs="Arial"/>
                <w:noProof/>
                <w:sz w:val="16"/>
                <w:szCs w:val="16"/>
                <w:lang w:val="en-GB"/>
              </w:rPr>
              <w:t>1,491,125</w:t>
            </w:r>
          </w:p>
        </w:tc>
        <w:tc>
          <w:tcPr>
            <w:tcW w:w="941" w:type="dxa"/>
            <w:tcBorders>
              <w:top w:val="nil"/>
              <w:left w:val="nil"/>
              <w:bottom w:val="nil"/>
            </w:tcBorders>
            <w:shd w:val="clear" w:color="auto" w:fill="auto"/>
            <w:noWrap/>
            <w:vAlign w:val="center"/>
          </w:tcPr>
          <w:p w14:paraId="58400128" w14:textId="77777777" w:rsidR="00EE72A9" w:rsidRPr="0084045A" w:rsidRDefault="00EE72A9" w:rsidP="00417A17">
            <w:pPr>
              <w:spacing w:after="0" w:line="480" w:lineRule="auto"/>
              <w:jc w:val="center"/>
              <w:rPr>
                <w:rFonts w:ascii="Arial" w:eastAsia="Times New Roman" w:hAnsi="Arial" w:cs="Arial"/>
                <w:b/>
                <w:bCs/>
                <w:noProof/>
                <w:sz w:val="16"/>
                <w:szCs w:val="16"/>
                <w:lang w:val="en-GB" w:eastAsia="es-MX"/>
              </w:rPr>
            </w:pPr>
            <w:r w:rsidRPr="0084045A">
              <w:rPr>
                <w:rFonts w:ascii="Arial" w:hAnsi="Arial" w:cs="Arial"/>
                <w:b/>
                <w:bCs/>
                <w:noProof/>
                <w:sz w:val="16"/>
                <w:szCs w:val="16"/>
                <w:lang w:val="en-GB"/>
              </w:rPr>
              <w:t>13,521,341</w:t>
            </w:r>
          </w:p>
        </w:tc>
      </w:tr>
      <w:tr w:rsidR="00EE72A9" w:rsidRPr="0084045A" w14:paraId="3519E5A7" w14:textId="77777777" w:rsidTr="00512905">
        <w:trPr>
          <w:trHeight w:val="348"/>
        </w:trPr>
        <w:tc>
          <w:tcPr>
            <w:tcW w:w="1020" w:type="dxa"/>
            <w:tcBorders>
              <w:top w:val="nil"/>
              <w:bottom w:val="nil"/>
              <w:right w:val="nil"/>
            </w:tcBorders>
            <w:shd w:val="clear" w:color="auto" w:fill="auto"/>
            <w:noWrap/>
            <w:vAlign w:val="center"/>
            <w:hideMark/>
          </w:tcPr>
          <w:p w14:paraId="0A4009D0" w14:textId="24921AFD"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12</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17</w:t>
            </w:r>
          </w:p>
        </w:tc>
        <w:tc>
          <w:tcPr>
            <w:tcW w:w="1030" w:type="dxa"/>
            <w:tcBorders>
              <w:top w:val="nil"/>
              <w:left w:val="nil"/>
              <w:bottom w:val="nil"/>
              <w:right w:val="nil"/>
            </w:tcBorders>
            <w:shd w:val="clear" w:color="auto" w:fill="auto"/>
            <w:noWrap/>
            <w:vAlign w:val="center"/>
          </w:tcPr>
          <w:p w14:paraId="55C521DD"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1,100,268</w:t>
            </w:r>
          </w:p>
        </w:tc>
        <w:tc>
          <w:tcPr>
            <w:tcW w:w="1030" w:type="dxa"/>
            <w:tcBorders>
              <w:top w:val="nil"/>
              <w:left w:val="nil"/>
              <w:bottom w:val="nil"/>
              <w:right w:val="nil"/>
            </w:tcBorders>
            <w:shd w:val="clear" w:color="auto" w:fill="auto"/>
            <w:noWrap/>
            <w:vAlign w:val="center"/>
          </w:tcPr>
          <w:p w14:paraId="06B1090F"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496,595</w:t>
            </w:r>
          </w:p>
        </w:tc>
        <w:tc>
          <w:tcPr>
            <w:tcW w:w="1030" w:type="dxa"/>
            <w:tcBorders>
              <w:top w:val="nil"/>
              <w:left w:val="nil"/>
              <w:bottom w:val="nil"/>
              <w:right w:val="nil"/>
            </w:tcBorders>
            <w:shd w:val="clear" w:color="auto" w:fill="auto"/>
            <w:noWrap/>
            <w:vAlign w:val="center"/>
          </w:tcPr>
          <w:p w14:paraId="50B53BE5"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1,658,823</w:t>
            </w:r>
          </w:p>
        </w:tc>
        <w:tc>
          <w:tcPr>
            <w:tcW w:w="1030" w:type="dxa"/>
            <w:tcBorders>
              <w:top w:val="nil"/>
              <w:left w:val="nil"/>
              <w:bottom w:val="nil"/>
              <w:right w:val="nil"/>
            </w:tcBorders>
            <w:shd w:val="clear" w:color="auto" w:fill="auto"/>
            <w:noWrap/>
            <w:vAlign w:val="center"/>
          </w:tcPr>
          <w:p w14:paraId="53C7A9EA"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989,697</w:t>
            </w:r>
          </w:p>
        </w:tc>
        <w:tc>
          <w:tcPr>
            <w:tcW w:w="1030" w:type="dxa"/>
            <w:tcBorders>
              <w:top w:val="nil"/>
              <w:left w:val="nil"/>
              <w:bottom w:val="nil"/>
              <w:right w:val="nil"/>
            </w:tcBorders>
            <w:shd w:val="clear" w:color="auto" w:fill="auto"/>
            <w:noWrap/>
            <w:vAlign w:val="center"/>
          </w:tcPr>
          <w:p w14:paraId="2DCE5B2A"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1,586,659</w:t>
            </w:r>
          </w:p>
        </w:tc>
        <w:tc>
          <w:tcPr>
            <w:tcW w:w="1030" w:type="dxa"/>
            <w:tcBorders>
              <w:top w:val="nil"/>
              <w:left w:val="nil"/>
              <w:bottom w:val="nil"/>
              <w:right w:val="nil"/>
            </w:tcBorders>
            <w:shd w:val="clear" w:color="auto" w:fill="auto"/>
            <w:noWrap/>
            <w:vAlign w:val="center"/>
          </w:tcPr>
          <w:p w14:paraId="608C15F9"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1,080,209</w:t>
            </w:r>
          </w:p>
        </w:tc>
        <w:tc>
          <w:tcPr>
            <w:tcW w:w="1030" w:type="dxa"/>
            <w:tcBorders>
              <w:top w:val="nil"/>
              <w:left w:val="nil"/>
              <w:bottom w:val="nil"/>
              <w:right w:val="nil"/>
            </w:tcBorders>
            <w:shd w:val="clear" w:color="auto" w:fill="auto"/>
            <w:noWrap/>
            <w:vAlign w:val="center"/>
          </w:tcPr>
          <w:p w14:paraId="7933E8BD"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1,480,577</w:t>
            </w:r>
          </w:p>
        </w:tc>
        <w:tc>
          <w:tcPr>
            <w:tcW w:w="1030" w:type="dxa"/>
            <w:tcBorders>
              <w:top w:val="nil"/>
              <w:left w:val="nil"/>
              <w:bottom w:val="nil"/>
              <w:right w:val="nil"/>
            </w:tcBorders>
            <w:shd w:val="clear" w:color="auto" w:fill="auto"/>
            <w:noWrap/>
            <w:vAlign w:val="center"/>
          </w:tcPr>
          <w:p w14:paraId="5774A174"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1,869,632</w:t>
            </w:r>
          </w:p>
        </w:tc>
        <w:tc>
          <w:tcPr>
            <w:tcW w:w="1030" w:type="dxa"/>
            <w:tcBorders>
              <w:top w:val="nil"/>
              <w:left w:val="nil"/>
              <w:bottom w:val="nil"/>
              <w:right w:val="nil"/>
            </w:tcBorders>
            <w:shd w:val="clear" w:color="auto" w:fill="auto"/>
            <w:noWrap/>
            <w:vAlign w:val="center"/>
          </w:tcPr>
          <w:p w14:paraId="3062D6A7"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1,283,742</w:t>
            </w:r>
          </w:p>
        </w:tc>
        <w:tc>
          <w:tcPr>
            <w:tcW w:w="941" w:type="dxa"/>
            <w:tcBorders>
              <w:top w:val="nil"/>
              <w:left w:val="nil"/>
              <w:bottom w:val="nil"/>
            </w:tcBorders>
            <w:shd w:val="clear" w:color="auto" w:fill="auto"/>
            <w:noWrap/>
            <w:vAlign w:val="center"/>
          </w:tcPr>
          <w:p w14:paraId="5AD193A4"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11,546,202</w:t>
            </w:r>
          </w:p>
        </w:tc>
      </w:tr>
      <w:tr w:rsidR="00EE72A9" w:rsidRPr="0084045A" w14:paraId="1F9C9BAB" w14:textId="77777777" w:rsidTr="00512905">
        <w:trPr>
          <w:trHeight w:val="348"/>
        </w:trPr>
        <w:tc>
          <w:tcPr>
            <w:tcW w:w="1020" w:type="dxa"/>
            <w:tcBorders>
              <w:top w:val="nil"/>
              <w:bottom w:val="nil"/>
              <w:right w:val="nil"/>
            </w:tcBorders>
            <w:shd w:val="clear" w:color="auto" w:fill="auto"/>
            <w:noWrap/>
            <w:vAlign w:val="center"/>
            <w:hideMark/>
          </w:tcPr>
          <w:p w14:paraId="3D8C00CC" w14:textId="142224BE"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18</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49</w:t>
            </w:r>
          </w:p>
        </w:tc>
        <w:tc>
          <w:tcPr>
            <w:tcW w:w="1030" w:type="dxa"/>
            <w:tcBorders>
              <w:top w:val="nil"/>
              <w:left w:val="nil"/>
              <w:bottom w:val="nil"/>
              <w:right w:val="nil"/>
            </w:tcBorders>
            <w:shd w:val="clear" w:color="auto" w:fill="auto"/>
            <w:noWrap/>
            <w:vAlign w:val="center"/>
          </w:tcPr>
          <w:p w14:paraId="3F0776BD"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2,982,160</w:t>
            </w:r>
          </w:p>
        </w:tc>
        <w:tc>
          <w:tcPr>
            <w:tcW w:w="1030" w:type="dxa"/>
            <w:tcBorders>
              <w:top w:val="nil"/>
              <w:left w:val="nil"/>
              <w:bottom w:val="nil"/>
              <w:right w:val="nil"/>
            </w:tcBorders>
            <w:shd w:val="clear" w:color="auto" w:fill="auto"/>
            <w:noWrap/>
            <w:vAlign w:val="center"/>
          </w:tcPr>
          <w:p w14:paraId="1C630854"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1,421,706</w:t>
            </w:r>
          </w:p>
        </w:tc>
        <w:tc>
          <w:tcPr>
            <w:tcW w:w="1030" w:type="dxa"/>
            <w:tcBorders>
              <w:top w:val="nil"/>
              <w:left w:val="nil"/>
              <w:bottom w:val="nil"/>
              <w:right w:val="nil"/>
            </w:tcBorders>
            <w:shd w:val="clear" w:color="auto" w:fill="auto"/>
            <w:noWrap/>
            <w:vAlign w:val="center"/>
          </w:tcPr>
          <w:p w14:paraId="1E4345ED"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4,716,432</w:t>
            </w:r>
          </w:p>
        </w:tc>
        <w:tc>
          <w:tcPr>
            <w:tcW w:w="1030" w:type="dxa"/>
            <w:tcBorders>
              <w:top w:val="nil"/>
              <w:left w:val="nil"/>
              <w:bottom w:val="nil"/>
              <w:right w:val="nil"/>
            </w:tcBorders>
            <w:shd w:val="clear" w:color="auto" w:fill="auto"/>
            <w:noWrap/>
            <w:vAlign w:val="center"/>
          </w:tcPr>
          <w:p w14:paraId="15DE4C8C"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5,471,988</w:t>
            </w:r>
          </w:p>
        </w:tc>
        <w:tc>
          <w:tcPr>
            <w:tcW w:w="1030" w:type="dxa"/>
            <w:tcBorders>
              <w:top w:val="nil"/>
              <w:left w:val="nil"/>
              <w:bottom w:val="nil"/>
              <w:right w:val="nil"/>
            </w:tcBorders>
            <w:shd w:val="clear" w:color="auto" w:fill="auto"/>
            <w:noWrap/>
            <w:vAlign w:val="center"/>
          </w:tcPr>
          <w:p w14:paraId="0C2B5A39"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3,646,289</w:t>
            </w:r>
          </w:p>
        </w:tc>
        <w:tc>
          <w:tcPr>
            <w:tcW w:w="1030" w:type="dxa"/>
            <w:tcBorders>
              <w:top w:val="nil"/>
              <w:left w:val="nil"/>
              <w:bottom w:val="nil"/>
              <w:right w:val="nil"/>
            </w:tcBorders>
            <w:shd w:val="clear" w:color="auto" w:fill="auto"/>
            <w:noWrap/>
            <w:vAlign w:val="center"/>
          </w:tcPr>
          <w:p w14:paraId="7630FB7E"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4,320,570</w:t>
            </w:r>
          </w:p>
        </w:tc>
        <w:tc>
          <w:tcPr>
            <w:tcW w:w="1030" w:type="dxa"/>
            <w:tcBorders>
              <w:top w:val="nil"/>
              <w:left w:val="nil"/>
              <w:bottom w:val="nil"/>
              <w:right w:val="nil"/>
            </w:tcBorders>
            <w:shd w:val="clear" w:color="auto" w:fill="auto"/>
            <w:noWrap/>
            <w:vAlign w:val="center"/>
          </w:tcPr>
          <w:p w14:paraId="502D1938"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3,679,992</w:t>
            </w:r>
          </w:p>
        </w:tc>
        <w:tc>
          <w:tcPr>
            <w:tcW w:w="1030" w:type="dxa"/>
            <w:tcBorders>
              <w:top w:val="nil"/>
              <w:left w:val="nil"/>
              <w:bottom w:val="nil"/>
              <w:right w:val="nil"/>
            </w:tcBorders>
            <w:shd w:val="clear" w:color="auto" w:fill="auto"/>
            <w:noWrap/>
            <w:vAlign w:val="center"/>
          </w:tcPr>
          <w:p w14:paraId="6D2D4A57"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6,247,656</w:t>
            </w:r>
          </w:p>
        </w:tc>
        <w:tc>
          <w:tcPr>
            <w:tcW w:w="1030" w:type="dxa"/>
            <w:tcBorders>
              <w:top w:val="nil"/>
              <w:left w:val="nil"/>
              <w:bottom w:val="nil"/>
              <w:right w:val="nil"/>
            </w:tcBorders>
            <w:shd w:val="clear" w:color="auto" w:fill="auto"/>
            <w:noWrap/>
            <w:vAlign w:val="center"/>
          </w:tcPr>
          <w:p w14:paraId="7D89D301"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4,245,921</w:t>
            </w:r>
          </w:p>
        </w:tc>
        <w:tc>
          <w:tcPr>
            <w:tcW w:w="941" w:type="dxa"/>
            <w:tcBorders>
              <w:top w:val="nil"/>
              <w:left w:val="nil"/>
              <w:bottom w:val="nil"/>
            </w:tcBorders>
            <w:shd w:val="clear" w:color="auto" w:fill="auto"/>
            <w:noWrap/>
            <w:vAlign w:val="center"/>
          </w:tcPr>
          <w:p w14:paraId="2B70C0AE"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36,732,715</w:t>
            </w:r>
          </w:p>
        </w:tc>
      </w:tr>
      <w:tr w:rsidR="00EE72A9" w:rsidRPr="0084045A" w14:paraId="74794562" w14:textId="77777777" w:rsidTr="00512905">
        <w:trPr>
          <w:trHeight w:val="348"/>
        </w:trPr>
        <w:tc>
          <w:tcPr>
            <w:tcW w:w="1020" w:type="dxa"/>
            <w:tcBorders>
              <w:top w:val="nil"/>
              <w:bottom w:val="nil"/>
              <w:right w:val="nil"/>
            </w:tcBorders>
            <w:shd w:val="clear" w:color="auto" w:fill="auto"/>
            <w:noWrap/>
            <w:vAlign w:val="center"/>
            <w:hideMark/>
          </w:tcPr>
          <w:p w14:paraId="560CBB66" w14:textId="7CE855C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50</w:t>
            </w:r>
            <w:r w:rsidR="00C939A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59</w:t>
            </w:r>
          </w:p>
        </w:tc>
        <w:tc>
          <w:tcPr>
            <w:tcW w:w="1030" w:type="dxa"/>
            <w:tcBorders>
              <w:top w:val="nil"/>
              <w:left w:val="nil"/>
              <w:bottom w:val="nil"/>
              <w:right w:val="nil"/>
            </w:tcBorders>
            <w:shd w:val="clear" w:color="auto" w:fill="auto"/>
            <w:noWrap/>
            <w:vAlign w:val="center"/>
          </w:tcPr>
          <w:p w14:paraId="417E0E72"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777,680</w:t>
            </w:r>
          </w:p>
        </w:tc>
        <w:tc>
          <w:tcPr>
            <w:tcW w:w="1030" w:type="dxa"/>
            <w:tcBorders>
              <w:top w:val="nil"/>
              <w:left w:val="nil"/>
              <w:bottom w:val="nil"/>
              <w:right w:val="nil"/>
            </w:tcBorders>
            <w:shd w:val="clear" w:color="auto" w:fill="auto"/>
            <w:noWrap/>
            <w:vAlign w:val="center"/>
          </w:tcPr>
          <w:p w14:paraId="1BFD15D1"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312,180</w:t>
            </w:r>
          </w:p>
        </w:tc>
        <w:tc>
          <w:tcPr>
            <w:tcW w:w="1030" w:type="dxa"/>
            <w:tcBorders>
              <w:top w:val="nil"/>
              <w:left w:val="nil"/>
              <w:bottom w:val="nil"/>
              <w:right w:val="nil"/>
            </w:tcBorders>
            <w:shd w:val="clear" w:color="auto" w:fill="auto"/>
            <w:noWrap/>
            <w:vAlign w:val="center"/>
          </w:tcPr>
          <w:p w14:paraId="573AA3B4"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1,308,217</w:t>
            </w:r>
          </w:p>
        </w:tc>
        <w:tc>
          <w:tcPr>
            <w:tcW w:w="1030" w:type="dxa"/>
            <w:tcBorders>
              <w:top w:val="nil"/>
              <w:left w:val="nil"/>
              <w:bottom w:val="nil"/>
              <w:right w:val="nil"/>
            </w:tcBorders>
            <w:shd w:val="clear" w:color="auto" w:fill="auto"/>
            <w:noWrap/>
            <w:vAlign w:val="center"/>
          </w:tcPr>
          <w:p w14:paraId="7FA713BE"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1,445,898</w:t>
            </w:r>
          </w:p>
        </w:tc>
        <w:tc>
          <w:tcPr>
            <w:tcW w:w="1030" w:type="dxa"/>
            <w:tcBorders>
              <w:top w:val="nil"/>
              <w:left w:val="nil"/>
              <w:bottom w:val="nil"/>
              <w:right w:val="nil"/>
            </w:tcBorders>
            <w:shd w:val="clear" w:color="auto" w:fill="auto"/>
            <w:noWrap/>
            <w:vAlign w:val="center"/>
          </w:tcPr>
          <w:p w14:paraId="47AD5AAE"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1,267,128</w:t>
            </w:r>
          </w:p>
        </w:tc>
        <w:tc>
          <w:tcPr>
            <w:tcW w:w="1030" w:type="dxa"/>
            <w:tcBorders>
              <w:top w:val="nil"/>
              <w:left w:val="nil"/>
              <w:bottom w:val="nil"/>
              <w:right w:val="nil"/>
            </w:tcBorders>
            <w:shd w:val="clear" w:color="auto" w:fill="auto"/>
            <w:noWrap/>
            <w:vAlign w:val="center"/>
          </w:tcPr>
          <w:p w14:paraId="607CAC63"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1,259,132</w:t>
            </w:r>
          </w:p>
        </w:tc>
        <w:tc>
          <w:tcPr>
            <w:tcW w:w="1030" w:type="dxa"/>
            <w:tcBorders>
              <w:top w:val="nil"/>
              <w:left w:val="nil"/>
              <w:bottom w:val="nil"/>
              <w:right w:val="nil"/>
            </w:tcBorders>
            <w:shd w:val="clear" w:color="auto" w:fill="auto"/>
            <w:noWrap/>
            <w:vAlign w:val="center"/>
          </w:tcPr>
          <w:p w14:paraId="29EE3060"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1,581,055</w:t>
            </w:r>
          </w:p>
        </w:tc>
        <w:tc>
          <w:tcPr>
            <w:tcW w:w="1030" w:type="dxa"/>
            <w:tcBorders>
              <w:top w:val="nil"/>
              <w:left w:val="nil"/>
              <w:bottom w:val="nil"/>
              <w:right w:val="nil"/>
            </w:tcBorders>
            <w:shd w:val="clear" w:color="auto" w:fill="auto"/>
            <w:noWrap/>
            <w:vAlign w:val="center"/>
          </w:tcPr>
          <w:p w14:paraId="31C2A79F"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2,928,240</w:t>
            </w:r>
          </w:p>
        </w:tc>
        <w:tc>
          <w:tcPr>
            <w:tcW w:w="1030" w:type="dxa"/>
            <w:tcBorders>
              <w:top w:val="nil"/>
              <w:left w:val="nil"/>
              <w:bottom w:val="nil"/>
              <w:right w:val="nil"/>
            </w:tcBorders>
            <w:shd w:val="clear" w:color="auto" w:fill="auto"/>
            <w:noWrap/>
            <w:vAlign w:val="center"/>
          </w:tcPr>
          <w:p w14:paraId="13A542F3"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1,515,030</w:t>
            </w:r>
          </w:p>
        </w:tc>
        <w:tc>
          <w:tcPr>
            <w:tcW w:w="941" w:type="dxa"/>
            <w:tcBorders>
              <w:top w:val="nil"/>
              <w:left w:val="nil"/>
              <w:bottom w:val="nil"/>
            </w:tcBorders>
            <w:shd w:val="clear" w:color="auto" w:fill="auto"/>
            <w:noWrap/>
            <w:vAlign w:val="center"/>
          </w:tcPr>
          <w:p w14:paraId="460622FE"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12,394,559</w:t>
            </w:r>
          </w:p>
        </w:tc>
      </w:tr>
      <w:tr w:rsidR="00EE72A9" w:rsidRPr="0084045A" w14:paraId="73A2EC4C" w14:textId="77777777" w:rsidTr="00512905">
        <w:trPr>
          <w:trHeight w:val="348"/>
        </w:trPr>
        <w:tc>
          <w:tcPr>
            <w:tcW w:w="1020" w:type="dxa"/>
            <w:tcBorders>
              <w:top w:val="nil"/>
              <w:right w:val="nil"/>
            </w:tcBorders>
            <w:shd w:val="clear" w:color="auto" w:fill="auto"/>
            <w:noWrap/>
            <w:vAlign w:val="center"/>
            <w:hideMark/>
          </w:tcPr>
          <w:p w14:paraId="6B67BC02" w14:textId="782F9B71"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≥60</w:t>
            </w:r>
          </w:p>
        </w:tc>
        <w:tc>
          <w:tcPr>
            <w:tcW w:w="1030" w:type="dxa"/>
            <w:tcBorders>
              <w:top w:val="nil"/>
              <w:left w:val="nil"/>
              <w:right w:val="nil"/>
            </w:tcBorders>
            <w:shd w:val="clear" w:color="auto" w:fill="auto"/>
            <w:noWrap/>
            <w:vAlign w:val="center"/>
          </w:tcPr>
          <w:p w14:paraId="05A478DD"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582,078</w:t>
            </w:r>
          </w:p>
        </w:tc>
        <w:tc>
          <w:tcPr>
            <w:tcW w:w="1030" w:type="dxa"/>
            <w:tcBorders>
              <w:top w:val="nil"/>
              <w:left w:val="nil"/>
              <w:right w:val="nil"/>
            </w:tcBorders>
            <w:shd w:val="clear" w:color="auto" w:fill="auto"/>
            <w:noWrap/>
            <w:vAlign w:val="center"/>
          </w:tcPr>
          <w:p w14:paraId="11BD6B90"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275,863</w:t>
            </w:r>
          </w:p>
        </w:tc>
        <w:tc>
          <w:tcPr>
            <w:tcW w:w="1030" w:type="dxa"/>
            <w:tcBorders>
              <w:top w:val="nil"/>
              <w:left w:val="nil"/>
              <w:right w:val="nil"/>
            </w:tcBorders>
            <w:shd w:val="clear" w:color="auto" w:fill="auto"/>
            <w:noWrap/>
            <w:vAlign w:val="center"/>
          </w:tcPr>
          <w:p w14:paraId="2AD42C69"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1,176,698</w:t>
            </w:r>
          </w:p>
        </w:tc>
        <w:tc>
          <w:tcPr>
            <w:tcW w:w="1030" w:type="dxa"/>
            <w:tcBorders>
              <w:top w:val="nil"/>
              <w:left w:val="nil"/>
              <w:right w:val="nil"/>
            </w:tcBorders>
            <w:shd w:val="clear" w:color="auto" w:fill="auto"/>
            <w:noWrap/>
            <w:vAlign w:val="center"/>
          </w:tcPr>
          <w:p w14:paraId="28B87B5B"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791,211</w:t>
            </w:r>
          </w:p>
        </w:tc>
        <w:tc>
          <w:tcPr>
            <w:tcW w:w="1030" w:type="dxa"/>
            <w:tcBorders>
              <w:top w:val="nil"/>
              <w:left w:val="nil"/>
              <w:right w:val="nil"/>
            </w:tcBorders>
            <w:shd w:val="clear" w:color="auto" w:fill="auto"/>
            <w:noWrap/>
            <w:vAlign w:val="center"/>
          </w:tcPr>
          <w:p w14:paraId="48612946"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1,253,279</w:t>
            </w:r>
          </w:p>
        </w:tc>
        <w:tc>
          <w:tcPr>
            <w:tcW w:w="1030" w:type="dxa"/>
            <w:tcBorders>
              <w:top w:val="nil"/>
              <w:left w:val="nil"/>
              <w:right w:val="nil"/>
            </w:tcBorders>
            <w:shd w:val="clear" w:color="auto" w:fill="auto"/>
            <w:noWrap/>
            <w:vAlign w:val="center"/>
          </w:tcPr>
          <w:p w14:paraId="52794CC1"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727,139</w:t>
            </w:r>
          </w:p>
        </w:tc>
        <w:tc>
          <w:tcPr>
            <w:tcW w:w="1030" w:type="dxa"/>
            <w:tcBorders>
              <w:top w:val="nil"/>
              <w:left w:val="nil"/>
              <w:right w:val="nil"/>
            </w:tcBorders>
            <w:shd w:val="clear" w:color="auto" w:fill="auto"/>
            <w:noWrap/>
            <w:vAlign w:val="center"/>
          </w:tcPr>
          <w:p w14:paraId="1282584A"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1,335,003</w:t>
            </w:r>
          </w:p>
        </w:tc>
        <w:tc>
          <w:tcPr>
            <w:tcW w:w="1030" w:type="dxa"/>
            <w:tcBorders>
              <w:top w:val="nil"/>
              <w:left w:val="nil"/>
              <w:right w:val="nil"/>
            </w:tcBorders>
            <w:shd w:val="clear" w:color="auto" w:fill="auto"/>
            <w:noWrap/>
            <w:vAlign w:val="center"/>
          </w:tcPr>
          <w:p w14:paraId="2D81CFFF"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2,329,457</w:t>
            </w:r>
          </w:p>
        </w:tc>
        <w:tc>
          <w:tcPr>
            <w:tcW w:w="1030" w:type="dxa"/>
            <w:tcBorders>
              <w:top w:val="nil"/>
              <w:left w:val="nil"/>
              <w:right w:val="nil"/>
            </w:tcBorders>
            <w:shd w:val="clear" w:color="auto" w:fill="auto"/>
            <w:noWrap/>
            <w:vAlign w:val="center"/>
          </w:tcPr>
          <w:p w14:paraId="68153D8E" w14:textId="77777777" w:rsidR="00EE72A9" w:rsidRPr="0084045A" w:rsidRDefault="00EE72A9" w:rsidP="00417A17">
            <w:pPr>
              <w:spacing w:after="0" w:line="480" w:lineRule="auto"/>
              <w:jc w:val="center"/>
              <w:rPr>
                <w:rFonts w:ascii="Arial" w:eastAsia="Times New Roman" w:hAnsi="Arial" w:cs="Arial"/>
                <w:noProof/>
                <w:color w:val="000000"/>
                <w:sz w:val="16"/>
                <w:szCs w:val="16"/>
                <w:lang w:val="en-GB" w:eastAsia="es-MX"/>
              </w:rPr>
            </w:pPr>
            <w:r w:rsidRPr="0084045A">
              <w:rPr>
                <w:rFonts w:ascii="Arial" w:hAnsi="Arial" w:cs="Arial"/>
                <w:noProof/>
                <w:color w:val="000000"/>
                <w:sz w:val="16"/>
                <w:szCs w:val="16"/>
                <w:lang w:val="en-GB"/>
              </w:rPr>
              <w:t>1,211,712</w:t>
            </w:r>
          </w:p>
        </w:tc>
        <w:tc>
          <w:tcPr>
            <w:tcW w:w="941" w:type="dxa"/>
            <w:tcBorders>
              <w:top w:val="nil"/>
              <w:left w:val="nil"/>
            </w:tcBorders>
            <w:shd w:val="clear" w:color="auto" w:fill="auto"/>
            <w:noWrap/>
            <w:vAlign w:val="center"/>
          </w:tcPr>
          <w:p w14:paraId="11E75B36"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9,682,439</w:t>
            </w:r>
          </w:p>
        </w:tc>
      </w:tr>
      <w:tr w:rsidR="00EE72A9" w:rsidRPr="0084045A" w14:paraId="5461833C" w14:textId="77777777" w:rsidTr="00512905">
        <w:trPr>
          <w:trHeight w:val="348"/>
        </w:trPr>
        <w:tc>
          <w:tcPr>
            <w:tcW w:w="1020" w:type="dxa"/>
            <w:shd w:val="clear" w:color="auto" w:fill="auto"/>
            <w:noWrap/>
            <w:vAlign w:val="center"/>
            <w:hideMark/>
          </w:tcPr>
          <w:p w14:paraId="4C501CF7"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TOTAL</w:t>
            </w:r>
          </w:p>
        </w:tc>
        <w:tc>
          <w:tcPr>
            <w:tcW w:w="1030" w:type="dxa"/>
            <w:shd w:val="clear" w:color="auto" w:fill="auto"/>
            <w:noWrap/>
            <w:vAlign w:val="center"/>
          </w:tcPr>
          <w:p w14:paraId="38740539"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8,275,119</w:t>
            </w:r>
          </w:p>
        </w:tc>
        <w:tc>
          <w:tcPr>
            <w:tcW w:w="1030" w:type="dxa"/>
            <w:shd w:val="clear" w:color="auto" w:fill="auto"/>
            <w:noWrap/>
            <w:vAlign w:val="center"/>
          </w:tcPr>
          <w:p w14:paraId="55F93F36"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3,616,140</w:t>
            </w:r>
          </w:p>
        </w:tc>
        <w:tc>
          <w:tcPr>
            <w:tcW w:w="1030" w:type="dxa"/>
            <w:shd w:val="clear" w:color="auto" w:fill="auto"/>
            <w:noWrap/>
            <w:vAlign w:val="center"/>
          </w:tcPr>
          <w:p w14:paraId="55FADCD9"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12,803,672</w:t>
            </w:r>
          </w:p>
        </w:tc>
        <w:tc>
          <w:tcPr>
            <w:tcW w:w="1030" w:type="dxa"/>
            <w:shd w:val="clear" w:color="auto" w:fill="auto"/>
            <w:noWrap/>
            <w:vAlign w:val="center"/>
          </w:tcPr>
          <w:p w14:paraId="13F74FB2"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11,281,198</w:t>
            </w:r>
          </w:p>
        </w:tc>
        <w:tc>
          <w:tcPr>
            <w:tcW w:w="1030" w:type="dxa"/>
            <w:shd w:val="clear" w:color="auto" w:fill="auto"/>
            <w:noWrap/>
            <w:vAlign w:val="center"/>
          </w:tcPr>
          <w:p w14:paraId="11B9117F"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11,413,739</w:t>
            </w:r>
          </w:p>
        </w:tc>
        <w:tc>
          <w:tcPr>
            <w:tcW w:w="1030" w:type="dxa"/>
            <w:shd w:val="clear" w:color="auto" w:fill="auto"/>
            <w:noWrap/>
            <w:vAlign w:val="center"/>
          </w:tcPr>
          <w:p w14:paraId="03E0E099"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9,928,898</w:t>
            </w:r>
          </w:p>
        </w:tc>
        <w:tc>
          <w:tcPr>
            <w:tcW w:w="1030" w:type="dxa"/>
            <w:shd w:val="clear" w:color="auto" w:fill="auto"/>
            <w:noWrap/>
            <w:vAlign w:val="center"/>
          </w:tcPr>
          <w:p w14:paraId="65150E8B"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11,074,556</w:t>
            </w:r>
          </w:p>
        </w:tc>
        <w:tc>
          <w:tcPr>
            <w:tcW w:w="1030" w:type="dxa"/>
            <w:shd w:val="clear" w:color="auto" w:fill="auto"/>
            <w:noWrap/>
            <w:vAlign w:val="center"/>
          </w:tcPr>
          <w:p w14:paraId="73DBD6D7"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17,749,078</w:t>
            </w:r>
          </w:p>
        </w:tc>
        <w:tc>
          <w:tcPr>
            <w:tcW w:w="1030" w:type="dxa"/>
            <w:shd w:val="clear" w:color="auto" w:fill="auto"/>
            <w:noWrap/>
            <w:vAlign w:val="center"/>
          </w:tcPr>
          <w:p w14:paraId="53CDE8F8"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11,223,972</w:t>
            </w:r>
          </w:p>
        </w:tc>
        <w:tc>
          <w:tcPr>
            <w:tcW w:w="941" w:type="dxa"/>
            <w:shd w:val="clear" w:color="auto" w:fill="auto"/>
            <w:noWrap/>
            <w:vAlign w:val="center"/>
          </w:tcPr>
          <w:p w14:paraId="1D6F5D78"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hAnsi="Arial" w:cs="Arial"/>
                <w:b/>
                <w:bCs/>
                <w:noProof/>
                <w:color w:val="000000"/>
                <w:sz w:val="16"/>
                <w:szCs w:val="16"/>
                <w:lang w:val="en-GB"/>
              </w:rPr>
              <w:t>97,366,372</w:t>
            </w:r>
          </w:p>
        </w:tc>
      </w:tr>
      <w:tr w:rsidR="00EE72A9" w:rsidRPr="0084045A" w14:paraId="5E96BD5E" w14:textId="77777777" w:rsidTr="00512905">
        <w:trPr>
          <w:trHeight w:val="348"/>
        </w:trPr>
        <w:tc>
          <w:tcPr>
            <w:tcW w:w="1020" w:type="dxa"/>
            <w:shd w:val="clear" w:color="auto" w:fill="auto"/>
            <w:noWrap/>
            <w:vAlign w:val="center"/>
          </w:tcPr>
          <w:p w14:paraId="3BF468F1"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Population</w:t>
            </w:r>
          </w:p>
        </w:tc>
        <w:tc>
          <w:tcPr>
            <w:tcW w:w="1030" w:type="dxa"/>
            <w:shd w:val="clear" w:color="auto" w:fill="auto"/>
            <w:noWrap/>
            <w:vAlign w:val="center"/>
          </w:tcPr>
          <w:p w14:paraId="2A6ABEB8"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114,551,762</w:t>
            </w:r>
          </w:p>
        </w:tc>
        <w:tc>
          <w:tcPr>
            <w:tcW w:w="1030" w:type="dxa"/>
            <w:shd w:val="clear" w:color="auto" w:fill="auto"/>
            <w:noWrap/>
            <w:vAlign w:val="center"/>
          </w:tcPr>
          <w:p w14:paraId="5C23522A"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116,179,714</w:t>
            </w:r>
          </w:p>
        </w:tc>
        <w:tc>
          <w:tcPr>
            <w:tcW w:w="1030" w:type="dxa"/>
            <w:shd w:val="clear" w:color="auto" w:fill="auto"/>
            <w:noWrap/>
            <w:vAlign w:val="center"/>
          </w:tcPr>
          <w:p w14:paraId="5213ED5F"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117,688,241</w:t>
            </w:r>
          </w:p>
        </w:tc>
        <w:tc>
          <w:tcPr>
            <w:tcW w:w="1030" w:type="dxa"/>
            <w:shd w:val="clear" w:color="auto" w:fill="auto"/>
            <w:noWrap/>
            <w:vAlign w:val="center"/>
          </w:tcPr>
          <w:p w14:paraId="618646BA"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119,216,240</w:t>
            </w:r>
          </w:p>
        </w:tc>
        <w:tc>
          <w:tcPr>
            <w:tcW w:w="1030" w:type="dxa"/>
            <w:shd w:val="clear" w:color="auto" w:fill="auto"/>
            <w:noWrap/>
            <w:vAlign w:val="center"/>
          </w:tcPr>
          <w:p w14:paraId="77543904"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120,653,293</w:t>
            </w:r>
          </w:p>
        </w:tc>
        <w:tc>
          <w:tcPr>
            <w:tcW w:w="1030" w:type="dxa"/>
            <w:shd w:val="clear" w:color="auto" w:fill="auto"/>
            <w:noWrap/>
            <w:vAlign w:val="center"/>
          </w:tcPr>
          <w:p w14:paraId="751C3A6C"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122,038,924</w:t>
            </w:r>
          </w:p>
        </w:tc>
        <w:tc>
          <w:tcPr>
            <w:tcW w:w="1030" w:type="dxa"/>
            <w:shd w:val="clear" w:color="auto" w:fill="auto"/>
            <w:noWrap/>
            <w:vAlign w:val="center"/>
          </w:tcPr>
          <w:p w14:paraId="56FA37B2"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123,388,002</w:t>
            </w:r>
          </w:p>
        </w:tc>
        <w:tc>
          <w:tcPr>
            <w:tcW w:w="1030" w:type="dxa"/>
            <w:shd w:val="clear" w:color="auto" w:fill="auto"/>
            <w:noWrap/>
            <w:vAlign w:val="center"/>
          </w:tcPr>
          <w:p w14:paraId="5837883F"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124,692,044</w:t>
            </w:r>
          </w:p>
        </w:tc>
        <w:tc>
          <w:tcPr>
            <w:tcW w:w="1030" w:type="dxa"/>
            <w:shd w:val="clear" w:color="auto" w:fill="auto"/>
            <w:noWrap/>
            <w:vAlign w:val="center"/>
          </w:tcPr>
          <w:p w14:paraId="6572B7E5"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125,960,168</w:t>
            </w:r>
          </w:p>
        </w:tc>
        <w:tc>
          <w:tcPr>
            <w:tcW w:w="941" w:type="dxa"/>
            <w:shd w:val="clear" w:color="auto" w:fill="000000" w:themeFill="text1"/>
            <w:noWrap/>
            <w:vAlign w:val="center"/>
          </w:tcPr>
          <w:p w14:paraId="7D05B251" w14:textId="77777777" w:rsidR="00EE72A9" w:rsidRPr="0084045A" w:rsidRDefault="00EE72A9" w:rsidP="00417A17">
            <w:pPr>
              <w:spacing w:after="0" w:line="480" w:lineRule="auto"/>
              <w:jc w:val="center"/>
              <w:rPr>
                <w:rFonts w:ascii="Arial" w:hAnsi="Arial" w:cs="Arial"/>
                <w:b/>
                <w:bCs/>
                <w:noProof/>
                <w:color w:val="000000"/>
                <w:sz w:val="16"/>
                <w:szCs w:val="16"/>
                <w:lang w:val="en-GB"/>
              </w:rPr>
            </w:pPr>
          </w:p>
        </w:tc>
      </w:tr>
      <w:tr w:rsidR="00EE72A9" w:rsidRPr="0084045A" w14:paraId="418A9B70" w14:textId="77777777" w:rsidTr="00512905">
        <w:trPr>
          <w:trHeight w:val="348"/>
        </w:trPr>
        <w:tc>
          <w:tcPr>
            <w:tcW w:w="1020" w:type="dxa"/>
            <w:shd w:val="clear" w:color="auto" w:fill="auto"/>
            <w:noWrap/>
            <w:vAlign w:val="center"/>
          </w:tcPr>
          <w:p w14:paraId="57EBA75F" w14:textId="77777777" w:rsidR="00EE72A9" w:rsidRPr="0084045A" w:rsidRDefault="00EE72A9" w:rsidP="00417A17">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Attack rate (%)</w:t>
            </w:r>
          </w:p>
        </w:tc>
        <w:tc>
          <w:tcPr>
            <w:tcW w:w="1030" w:type="dxa"/>
            <w:shd w:val="clear" w:color="auto" w:fill="auto"/>
            <w:noWrap/>
            <w:vAlign w:val="center"/>
          </w:tcPr>
          <w:p w14:paraId="0680DAC1"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7.22</w:t>
            </w:r>
          </w:p>
        </w:tc>
        <w:tc>
          <w:tcPr>
            <w:tcW w:w="1030" w:type="dxa"/>
            <w:shd w:val="clear" w:color="auto" w:fill="auto"/>
            <w:noWrap/>
            <w:vAlign w:val="center"/>
          </w:tcPr>
          <w:p w14:paraId="1854DF87"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3.11</w:t>
            </w:r>
          </w:p>
        </w:tc>
        <w:tc>
          <w:tcPr>
            <w:tcW w:w="1030" w:type="dxa"/>
            <w:shd w:val="clear" w:color="auto" w:fill="auto"/>
            <w:noWrap/>
            <w:vAlign w:val="center"/>
          </w:tcPr>
          <w:p w14:paraId="0B10077A"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10.88</w:t>
            </w:r>
          </w:p>
        </w:tc>
        <w:tc>
          <w:tcPr>
            <w:tcW w:w="1030" w:type="dxa"/>
            <w:shd w:val="clear" w:color="auto" w:fill="auto"/>
            <w:noWrap/>
            <w:vAlign w:val="center"/>
          </w:tcPr>
          <w:p w14:paraId="00FB871A"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9.46</w:t>
            </w:r>
          </w:p>
        </w:tc>
        <w:tc>
          <w:tcPr>
            <w:tcW w:w="1030" w:type="dxa"/>
            <w:shd w:val="clear" w:color="auto" w:fill="auto"/>
            <w:noWrap/>
            <w:vAlign w:val="center"/>
          </w:tcPr>
          <w:p w14:paraId="4C7A9143"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9.46</w:t>
            </w:r>
          </w:p>
        </w:tc>
        <w:tc>
          <w:tcPr>
            <w:tcW w:w="1030" w:type="dxa"/>
            <w:shd w:val="clear" w:color="auto" w:fill="auto"/>
            <w:noWrap/>
            <w:vAlign w:val="center"/>
          </w:tcPr>
          <w:p w14:paraId="1523A69D"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8.14</w:t>
            </w:r>
          </w:p>
        </w:tc>
        <w:tc>
          <w:tcPr>
            <w:tcW w:w="1030" w:type="dxa"/>
            <w:shd w:val="clear" w:color="auto" w:fill="auto"/>
            <w:noWrap/>
            <w:vAlign w:val="center"/>
          </w:tcPr>
          <w:p w14:paraId="13BB89DD"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8.98</w:t>
            </w:r>
          </w:p>
        </w:tc>
        <w:tc>
          <w:tcPr>
            <w:tcW w:w="1030" w:type="dxa"/>
            <w:shd w:val="clear" w:color="auto" w:fill="auto"/>
            <w:noWrap/>
            <w:vAlign w:val="center"/>
          </w:tcPr>
          <w:p w14:paraId="1CA498F0"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14.23</w:t>
            </w:r>
          </w:p>
        </w:tc>
        <w:tc>
          <w:tcPr>
            <w:tcW w:w="1030" w:type="dxa"/>
            <w:shd w:val="clear" w:color="auto" w:fill="auto"/>
            <w:noWrap/>
            <w:vAlign w:val="center"/>
          </w:tcPr>
          <w:p w14:paraId="718BE4C2" w14:textId="77777777" w:rsidR="00EE72A9" w:rsidRPr="0084045A" w:rsidRDefault="00EE72A9" w:rsidP="00417A17">
            <w:pPr>
              <w:spacing w:after="0" w:line="480" w:lineRule="auto"/>
              <w:jc w:val="center"/>
              <w:rPr>
                <w:rFonts w:ascii="Arial" w:hAnsi="Arial" w:cs="Arial"/>
                <w:b/>
                <w:bCs/>
                <w:noProof/>
                <w:color w:val="000000"/>
                <w:sz w:val="16"/>
                <w:szCs w:val="16"/>
                <w:lang w:val="en-GB"/>
              </w:rPr>
            </w:pPr>
            <w:r w:rsidRPr="0084045A">
              <w:rPr>
                <w:rFonts w:ascii="Arial" w:hAnsi="Arial" w:cs="Arial"/>
                <w:b/>
                <w:bCs/>
                <w:noProof/>
                <w:color w:val="000000"/>
                <w:sz w:val="16"/>
                <w:szCs w:val="16"/>
                <w:lang w:val="en-GB"/>
              </w:rPr>
              <w:t>8.91</w:t>
            </w:r>
          </w:p>
        </w:tc>
        <w:tc>
          <w:tcPr>
            <w:tcW w:w="941" w:type="dxa"/>
            <w:shd w:val="clear" w:color="auto" w:fill="000000" w:themeFill="text1"/>
            <w:noWrap/>
            <w:vAlign w:val="center"/>
          </w:tcPr>
          <w:p w14:paraId="1ED3E1D0" w14:textId="77777777" w:rsidR="00EE72A9" w:rsidRPr="0084045A" w:rsidRDefault="00EE72A9" w:rsidP="00417A17">
            <w:pPr>
              <w:spacing w:after="0" w:line="480" w:lineRule="auto"/>
              <w:jc w:val="center"/>
              <w:rPr>
                <w:rFonts w:ascii="Arial" w:hAnsi="Arial" w:cs="Arial"/>
                <w:b/>
                <w:bCs/>
                <w:noProof/>
                <w:color w:val="000000"/>
                <w:sz w:val="16"/>
                <w:szCs w:val="16"/>
                <w:lang w:val="en-GB"/>
              </w:rPr>
            </w:pPr>
          </w:p>
        </w:tc>
      </w:tr>
    </w:tbl>
    <w:p w14:paraId="7D79FE56" w14:textId="77777777" w:rsidR="00EE72A9" w:rsidRPr="0084045A" w:rsidRDefault="00EE72A9" w:rsidP="00EE72A9">
      <w:pPr>
        <w:spacing w:after="0" w:line="480" w:lineRule="auto"/>
        <w:jc w:val="both"/>
        <w:rPr>
          <w:rFonts w:ascii="Arial" w:hAnsi="Arial" w:cs="Arial"/>
          <w:noProof/>
          <w:sz w:val="24"/>
          <w:szCs w:val="24"/>
          <w:lang w:val="en-GB"/>
        </w:rPr>
      </w:pPr>
    </w:p>
    <w:p w14:paraId="49C2948F" w14:textId="77777777" w:rsidR="00C939A8" w:rsidRPr="0084045A" w:rsidRDefault="00C939A8" w:rsidP="00132EE1">
      <w:pPr>
        <w:spacing w:after="0" w:line="480" w:lineRule="auto"/>
        <w:rPr>
          <w:rFonts w:ascii="Arial" w:hAnsi="Arial" w:cs="Arial"/>
          <w:b/>
          <w:noProof/>
          <w:color w:val="000000" w:themeColor="text1"/>
          <w:lang w:val="en-GB"/>
        </w:rPr>
        <w:sectPr w:rsidR="00C939A8" w:rsidRPr="0084045A" w:rsidSect="00512905">
          <w:pgSz w:w="15840" w:h="12240" w:orient="landscape"/>
          <w:pgMar w:top="1701" w:right="1418" w:bottom="1701" w:left="1418" w:header="709" w:footer="709" w:gutter="0"/>
          <w:cols w:space="708"/>
          <w:docGrid w:linePitch="360"/>
        </w:sectPr>
      </w:pPr>
    </w:p>
    <w:p w14:paraId="4FEFFB73" w14:textId="196BB84B" w:rsidR="009650F1" w:rsidRPr="0084045A" w:rsidRDefault="005A74BE" w:rsidP="00512905">
      <w:pPr>
        <w:pStyle w:val="Ttulo2"/>
        <w:rPr>
          <w:noProof/>
          <w:lang w:val="en-GB"/>
        </w:rPr>
      </w:pPr>
      <w:r w:rsidRPr="0084045A">
        <w:rPr>
          <w:noProof/>
          <w:lang w:val="en-GB"/>
        </w:rPr>
        <w:lastRenderedPageBreak/>
        <w:t>Table S</w:t>
      </w:r>
      <w:r w:rsidR="00EF2803" w:rsidRPr="0084045A">
        <w:rPr>
          <w:noProof/>
          <w:lang w:val="en-GB"/>
        </w:rPr>
        <w:t>5</w:t>
      </w:r>
      <w:r w:rsidRPr="0084045A">
        <w:rPr>
          <w:noProof/>
          <w:lang w:val="en-GB"/>
        </w:rPr>
        <w:t>.</w:t>
      </w:r>
      <w:r w:rsidR="00EE72A9" w:rsidRPr="0084045A">
        <w:rPr>
          <w:noProof/>
          <w:lang w:val="en-GB"/>
        </w:rPr>
        <w:t>3</w:t>
      </w:r>
      <w:r w:rsidR="004A1075" w:rsidRPr="0084045A">
        <w:rPr>
          <w:noProof/>
          <w:lang w:val="en-GB"/>
        </w:rPr>
        <w:t>.</w:t>
      </w:r>
      <w:r w:rsidRPr="0084045A">
        <w:rPr>
          <w:noProof/>
          <w:lang w:val="en-GB"/>
        </w:rPr>
        <w:t xml:space="preserve"> Incidence per 100,000 inhabitants by age group and season</w:t>
      </w:r>
    </w:p>
    <w:tbl>
      <w:tblPr>
        <w:tblW w:w="838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846"/>
        <w:gridCol w:w="567"/>
        <w:gridCol w:w="709"/>
        <w:gridCol w:w="708"/>
        <w:gridCol w:w="709"/>
        <w:gridCol w:w="709"/>
        <w:gridCol w:w="709"/>
        <w:gridCol w:w="708"/>
        <w:gridCol w:w="567"/>
        <w:gridCol w:w="709"/>
        <w:gridCol w:w="567"/>
        <w:gridCol w:w="878"/>
      </w:tblGrid>
      <w:tr w:rsidR="00F26890" w:rsidRPr="0084045A" w14:paraId="32D61F22" w14:textId="77777777" w:rsidTr="00512905">
        <w:trPr>
          <w:cantSplit/>
          <w:trHeight w:val="1134"/>
          <w:jc w:val="center"/>
        </w:trPr>
        <w:tc>
          <w:tcPr>
            <w:tcW w:w="846" w:type="dxa"/>
            <w:tcBorders>
              <w:bottom w:val="single" w:sz="4" w:space="0" w:color="auto"/>
            </w:tcBorders>
            <w:shd w:val="clear" w:color="auto" w:fill="auto"/>
            <w:noWrap/>
            <w:vAlign w:val="center"/>
            <w:hideMark/>
          </w:tcPr>
          <w:p w14:paraId="4A82D27E" w14:textId="3199B053" w:rsidR="00F26890" w:rsidRPr="0084045A" w:rsidRDefault="00C23EC8"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Age group</w:t>
            </w:r>
            <w:r w:rsidR="002229F4" w:rsidRPr="0084045A">
              <w:rPr>
                <w:rFonts w:ascii="Arial" w:eastAsia="Times New Roman" w:hAnsi="Arial" w:cs="Arial"/>
                <w:b/>
                <w:bCs/>
                <w:noProof/>
                <w:color w:val="000000"/>
                <w:sz w:val="16"/>
                <w:szCs w:val="16"/>
                <w:lang w:val="en-GB" w:eastAsia="es-MX"/>
              </w:rPr>
              <w:t>, years</w:t>
            </w:r>
          </w:p>
        </w:tc>
        <w:tc>
          <w:tcPr>
            <w:tcW w:w="567" w:type="dxa"/>
            <w:tcBorders>
              <w:bottom w:val="single" w:sz="4" w:space="0" w:color="auto"/>
            </w:tcBorders>
            <w:shd w:val="clear" w:color="auto" w:fill="auto"/>
            <w:noWrap/>
            <w:textDirection w:val="btLr"/>
            <w:vAlign w:val="center"/>
            <w:hideMark/>
          </w:tcPr>
          <w:p w14:paraId="17D1FC79" w14:textId="23BAD0D1" w:rsidR="00F26890" w:rsidRPr="0084045A" w:rsidRDefault="00F26890" w:rsidP="003F0904">
            <w:pPr>
              <w:spacing w:after="0" w:line="480" w:lineRule="auto"/>
              <w:ind w:left="113" w:right="113"/>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2009</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2010</w:t>
            </w:r>
          </w:p>
        </w:tc>
        <w:tc>
          <w:tcPr>
            <w:tcW w:w="709" w:type="dxa"/>
            <w:tcBorders>
              <w:bottom w:val="single" w:sz="4" w:space="0" w:color="auto"/>
            </w:tcBorders>
            <w:shd w:val="clear" w:color="auto" w:fill="auto"/>
            <w:noWrap/>
            <w:textDirection w:val="btLr"/>
            <w:vAlign w:val="center"/>
            <w:hideMark/>
          </w:tcPr>
          <w:p w14:paraId="6DCF797B" w14:textId="50E9A56F" w:rsidR="00F26890" w:rsidRPr="0084045A" w:rsidRDefault="00F26890" w:rsidP="003F0904">
            <w:pPr>
              <w:spacing w:after="0" w:line="480" w:lineRule="auto"/>
              <w:ind w:left="113" w:right="113"/>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2010</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2011</w:t>
            </w:r>
          </w:p>
        </w:tc>
        <w:tc>
          <w:tcPr>
            <w:tcW w:w="708" w:type="dxa"/>
            <w:tcBorders>
              <w:bottom w:val="single" w:sz="4" w:space="0" w:color="auto"/>
            </w:tcBorders>
            <w:shd w:val="clear" w:color="auto" w:fill="auto"/>
            <w:noWrap/>
            <w:textDirection w:val="btLr"/>
            <w:vAlign w:val="center"/>
            <w:hideMark/>
          </w:tcPr>
          <w:p w14:paraId="4B74677B" w14:textId="2E7C866A" w:rsidR="00F26890" w:rsidRPr="0084045A" w:rsidRDefault="00F26890" w:rsidP="003F0904">
            <w:pPr>
              <w:spacing w:after="0" w:line="480" w:lineRule="auto"/>
              <w:ind w:left="113" w:right="113"/>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2011</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2012</w:t>
            </w:r>
          </w:p>
        </w:tc>
        <w:tc>
          <w:tcPr>
            <w:tcW w:w="709" w:type="dxa"/>
            <w:tcBorders>
              <w:bottom w:val="single" w:sz="4" w:space="0" w:color="auto"/>
            </w:tcBorders>
            <w:shd w:val="clear" w:color="auto" w:fill="auto"/>
            <w:noWrap/>
            <w:textDirection w:val="btLr"/>
            <w:vAlign w:val="center"/>
            <w:hideMark/>
          </w:tcPr>
          <w:p w14:paraId="4BB2C701" w14:textId="7A3D6A58" w:rsidR="00F26890" w:rsidRPr="0084045A" w:rsidRDefault="00F26890" w:rsidP="003F0904">
            <w:pPr>
              <w:spacing w:after="0" w:line="480" w:lineRule="auto"/>
              <w:ind w:left="113" w:right="113"/>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2012</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2013</w:t>
            </w:r>
          </w:p>
        </w:tc>
        <w:tc>
          <w:tcPr>
            <w:tcW w:w="709" w:type="dxa"/>
            <w:tcBorders>
              <w:bottom w:val="single" w:sz="4" w:space="0" w:color="auto"/>
            </w:tcBorders>
            <w:shd w:val="clear" w:color="auto" w:fill="auto"/>
            <w:noWrap/>
            <w:textDirection w:val="btLr"/>
            <w:vAlign w:val="center"/>
            <w:hideMark/>
          </w:tcPr>
          <w:p w14:paraId="24894BBB" w14:textId="2125AA02" w:rsidR="00F26890" w:rsidRPr="0084045A" w:rsidRDefault="00F26890" w:rsidP="003F0904">
            <w:pPr>
              <w:spacing w:after="0" w:line="480" w:lineRule="auto"/>
              <w:ind w:left="113" w:right="113"/>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2013</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2014</w:t>
            </w:r>
          </w:p>
        </w:tc>
        <w:tc>
          <w:tcPr>
            <w:tcW w:w="709" w:type="dxa"/>
            <w:tcBorders>
              <w:bottom w:val="single" w:sz="4" w:space="0" w:color="auto"/>
            </w:tcBorders>
            <w:shd w:val="clear" w:color="auto" w:fill="auto"/>
            <w:noWrap/>
            <w:textDirection w:val="btLr"/>
            <w:vAlign w:val="center"/>
            <w:hideMark/>
          </w:tcPr>
          <w:p w14:paraId="422AFAA8" w14:textId="3CF7C1C1" w:rsidR="00F26890" w:rsidRPr="0084045A" w:rsidRDefault="00F26890" w:rsidP="003F0904">
            <w:pPr>
              <w:spacing w:after="0" w:line="480" w:lineRule="auto"/>
              <w:ind w:left="113" w:right="113"/>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2014</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2015</w:t>
            </w:r>
          </w:p>
        </w:tc>
        <w:tc>
          <w:tcPr>
            <w:tcW w:w="708" w:type="dxa"/>
            <w:tcBorders>
              <w:bottom w:val="single" w:sz="4" w:space="0" w:color="auto"/>
            </w:tcBorders>
            <w:shd w:val="clear" w:color="auto" w:fill="auto"/>
            <w:noWrap/>
            <w:textDirection w:val="btLr"/>
            <w:vAlign w:val="center"/>
            <w:hideMark/>
          </w:tcPr>
          <w:p w14:paraId="05DEE1F1" w14:textId="07D0D758" w:rsidR="00F26890" w:rsidRPr="0084045A" w:rsidRDefault="00F26890" w:rsidP="003F0904">
            <w:pPr>
              <w:spacing w:after="0" w:line="480" w:lineRule="auto"/>
              <w:ind w:left="113" w:right="113"/>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2015</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2016</w:t>
            </w:r>
          </w:p>
        </w:tc>
        <w:tc>
          <w:tcPr>
            <w:tcW w:w="567" w:type="dxa"/>
            <w:tcBorders>
              <w:bottom w:val="single" w:sz="4" w:space="0" w:color="auto"/>
            </w:tcBorders>
            <w:shd w:val="clear" w:color="auto" w:fill="auto"/>
            <w:noWrap/>
            <w:textDirection w:val="btLr"/>
            <w:vAlign w:val="center"/>
            <w:hideMark/>
          </w:tcPr>
          <w:p w14:paraId="528E8509" w14:textId="71E1F05B" w:rsidR="00F26890" w:rsidRPr="0084045A" w:rsidRDefault="00F26890" w:rsidP="003F0904">
            <w:pPr>
              <w:spacing w:after="0" w:line="480" w:lineRule="auto"/>
              <w:ind w:left="113" w:right="113"/>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2016</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2017</w:t>
            </w:r>
          </w:p>
        </w:tc>
        <w:tc>
          <w:tcPr>
            <w:tcW w:w="709" w:type="dxa"/>
            <w:tcBorders>
              <w:bottom w:val="single" w:sz="4" w:space="0" w:color="auto"/>
            </w:tcBorders>
            <w:shd w:val="clear" w:color="auto" w:fill="auto"/>
            <w:noWrap/>
            <w:textDirection w:val="btLr"/>
            <w:vAlign w:val="center"/>
            <w:hideMark/>
          </w:tcPr>
          <w:p w14:paraId="409283BC" w14:textId="03CEC567" w:rsidR="00F26890" w:rsidRPr="0084045A" w:rsidRDefault="00F26890" w:rsidP="003F0904">
            <w:pPr>
              <w:spacing w:after="0" w:line="480" w:lineRule="auto"/>
              <w:ind w:left="113" w:right="113"/>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2017</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2018</w:t>
            </w:r>
          </w:p>
        </w:tc>
        <w:tc>
          <w:tcPr>
            <w:tcW w:w="567" w:type="dxa"/>
            <w:tcBorders>
              <w:bottom w:val="single" w:sz="4" w:space="0" w:color="auto"/>
            </w:tcBorders>
            <w:shd w:val="clear" w:color="auto" w:fill="auto"/>
            <w:noWrap/>
            <w:textDirection w:val="btLr"/>
            <w:vAlign w:val="center"/>
            <w:hideMark/>
          </w:tcPr>
          <w:p w14:paraId="4FD4987D" w14:textId="2E77BAF0" w:rsidR="00F26890" w:rsidRPr="0084045A" w:rsidRDefault="00F26890" w:rsidP="003F0904">
            <w:pPr>
              <w:spacing w:after="0" w:line="480" w:lineRule="auto"/>
              <w:ind w:left="113" w:right="113"/>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2018</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2019</w:t>
            </w:r>
          </w:p>
        </w:tc>
        <w:tc>
          <w:tcPr>
            <w:tcW w:w="878" w:type="dxa"/>
            <w:tcBorders>
              <w:bottom w:val="single" w:sz="4" w:space="0" w:color="auto"/>
            </w:tcBorders>
            <w:shd w:val="clear" w:color="auto" w:fill="auto"/>
            <w:noWrap/>
            <w:vAlign w:val="center"/>
            <w:hideMark/>
          </w:tcPr>
          <w:p w14:paraId="29EAE168" w14:textId="7B197446" w:rsidR="00F26890" w:rsidRPr="0084045A" w:rsidRDefault="008C1BBF" w:rsidP="008C1BBF">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Average</w:t>
            </w:r>
          </w:p>
        </w:tc>
      </w:tr>
      <w:tr w:rsidR="00205869" w:rsidRPr="0084045A" w14:paraId="127EDCF2" w14:textId="77777777" w:rsidTr="00512905">
        <w:trPr>
          <w:trHeight w:val="300"/>
          <w:jc w:val="center"/>
        </w:trPr>
        <w:tc>
          <w:tcPr>
            <w:tcW w:w="846" w:type="dxa"/>
            <w:tcBorders>
              <w:bottom w:val="nil"/>
              <w:right w:val="nil"/>
            </w:tcBorders>
            <w:shd w:val="clear" w:color="auto" w:fill="auto"/>
            <w:noWrap/>
            <w:vAlign w:val="center"/>
            <w:hideMark/>
          </w:tcPr>
          <w:p w14:paraId="5B7538B6" w14:textId="7AD31A21" w:rsidR="00205869"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0</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4</w:t>
            </w:r>
          </w:p>
        </w:tc>
        <w:tc>
          <w:tcPr>
            <w:tcW w:w="567" w:type="dxa"/>
            <w:tcBorders>
              <w:left w:val="nil"/>
              <w:bottom w:val="nil"/>
              <w:right w:val="nil"/>
            </w:tcBorders>
            <w:shd w:val="clear" w:color="auto" w:fill="auto"/>
            <w:noWrap/>
            <w:vAlign w:val="center"/>
            <w:hideMark/>
          </w:tcPr>
          <w:p w14:paraId="3B0D8465"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3.40</w:t>
            </w:r>
          </w:p>
        </w:tc>
        <w:tc>
          <w:tcPr>
            <w:tcW w:w="709" w:type="dxa"/>
            <w:tcBorders>
              <w:left w:val="nil"/>
              <w:bottom w:val="nil"/>
              <w:right w:val="nil"/>
            </w:tcBorders>
            <w:shd w:val="clear" w:color="auto" w:fill="auto"/>
            <w:noWrap/>
            <w:vAlign w:val="center"/>
            <w:hideMark/>
          </w:tcPr>
          <w:p w14:paraId="109CEE36"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5.91</w:t>
            </w:r>
          </w:p>
        </w:tc>
        <w:tc>
          <w:tcPr>
            <w:tcW w:w="708" w:type="dxa"/>
            <w:tcBorders>
              <w:left w:val="nil"/>
              <w:bottom w:val="nil"/>
              <w:right w:val="nil"/>
            </w:tcBorders>
            <w:shd w:val="clear" w:color="auto" w:fill="auto"/>
            <w:noWrap/>
            <w:vAlign w:val="center"/>
            <w:hideMark/>
          </w:tcPr>
          <w:p w14:paraId="6F6B4716"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6.77</w:t>
            </w:r>
          </w:p>
        </w:tc>
        <w:tc>
          <w:tcPr>
            <w:tcW w:w="709" w:type="dxa"/>
            <w:tcBorders>
              <w:left w:val="nil"/>
              <w:bottom w:val="nil"/>
              <w:right w:val="nil"/>
            </w:tcBorders>
            <w:shd w:val="clear" w:color="auto" w:fill="auto"/>
            <w:noWrap/>
            <w:vAlign w:val="center"/>
            <w:hideMark/>
          </w:tcPr>
          <w:p w14:paraId="0192FD0C"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4.86</w:t>
            </w:r>
          </w:p>
        </w:tc>
        <w:tc>
          <w:tcPr>
            <w:tcW w:w="709" w:type="dxa"/>
            <w:tcBorders>
              <w:left w:val="nil"/>
              <w:bottom w:val="nil"/>
              <w:right w:val="nil"/>
            </w:tcBorders>
            <w:shd w:val="clear" w:color="auto" w:fill="auto"/>
            <w:noWrap/>
            <w:vAlign w:val="center"/>
            <w:hideMark/>
          </w:tcPr>
          <w:p w14:paraId="7F02781E"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8.51</w:t>
            </w:r>
          </w:p>
        </w:tc>
        <w:tc>
          <w:tcPr>
            <w:tcW w:w="709" w:type="dxa"/>
            <w:tcBorders>
              <w:left w:val="nil"/>
              <w:bottom w:val="nil"/>
              <w:right w:val="nil"/>
            </w:tcBorders>
            <w:shd w:val="clear" w:color="auto" w:fill="auto"/>
            <w:noWrap/>
            <w:vAlign w:val="center"/>
            <w:hideMark/>
          </w:tcPr>
          <w:p w14:paraId="1CC71109"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3.96</w:t>
            </w:r>
          </w:p>
        </w:tc>
        <w:tc>
          <w:tcPr>
            <w:tcW w:w="708" w:type="dxa"/>
            <w:tcBorders>
              <w:left w:val="nil"/>
              <w:bottom w:val="nil"/>
              <w:right w:val="nil"/>
            </w:tcBorders>
            <w:shd w:val="clear" w:color="auto" w:fill="auto"/>
            <w:noWrap/>
            <w:vAlign w:val="center"/>
            <w:hideMark/>
          </w:tcPr>
          <w:p w14:paraId="1BE54822"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10.37</w:t>
            </w:r>
          </w:p>
        </w:tc>
        <w:tc>
          <w:tcPr>
            <w:tcW w:w="567" w:type="dxa"/>
            <w:tcBorders>
              <w:left w:val="nil"/>
              <w:bottom w:val="nil"/>
              <w:right w:val="nil"/>
            </w:tcBorders>
            <w:shd w:val="clear" w:color="auto" w:fill="auto"/>
            <w:noWrap/>
            <w:vAlign w:val="center"/>
            <w:hideMark/>
          </w:tcPr>
          <w:p w14:paraId="460D0D3A"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8.14</w:t>
            </w:r>
          </w:p>
        </w:tc>
        <w:tc>
          <w:tcPr>
            <w:tcW w:w="709" w:type="dxa"/>
            <w:tcBorders>
              <w:left w:val="nil"/>
              <w:bottom w:val="nil"/>
              <w:right w:val="nil"/>
            </w:tcBorders>
            <w:shd w:val="clear" w:color="auto" w:fill="auto"/>
            <w:noWrap/>
            <w:vAlign w:val="center"/>
            <w:hideMark/>
          </w:tcPr>
          <w:p w14:paraId="7DC151D8"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6.32</w:t>
            </w:r>
          </w:p>
        </w:tc>
        <w:tc>
          <w:tcPr>
            <w:tcW w:w="567" w:type="dxa"/>
            <w:tcBorders>
              <w:left w:val="nil"/>
              <w:bottom w:val="nil"/>
              <w:right w:val="nil"/>
            </w:tcBorders>
            <w:shd w:val="clear" w:color="auto" w:fill="auto"/>
            <w:noWrap/>
            <w:vAlign w:val="center"/>
            <w:hideMark/>
          </w:tcPr>
          <w:p w14:paraId="7C6DBB42"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0.34</w:t>
            </w:r>
          </w:p>
        </w:tc>
        <w:tc>
          <w:tcPr>
            <w:tcW w:w="878" w:type="dxa"/>
            <w:tcBorders>
              <w:left w:val="nil"/>
              <w:bottom w:val="nil"/>
            </w:tcBorders>
            <w:shd w:val="clear" w:color="auto" w:fill="auto"/>
            <w:noWrap/>
            <w:vAlign w:val="center"/>
            <w:hideMark/>
          </w:tcPr>
          <w:p w14:paraId="18B5D37B" w14:textId="77777777" w:rsidR="00205869"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5.86</w:t>
            </w:r>
          </w:p>
        </w:tc>
      </w:tr>
      <w:tr w:rsidR="0054518C" w:rsidRPr="0084045A" w14:paraId="096EED43" w14:textId="77777777" w:rsidTr="00512905">
        <w:trPr>
          <w:trHeight w:val="300"/>
          <w:jc w:val="center"/>
        </w:trPr>
        <w:tc>
          <w:tcPr>
            <w:tcW w:w="846" w:type="dxa"/>
            <w:tcBorders>
              <w:top w:val="nil"/>
              <w:bottom w:val="nil"/>
              <w:right w:val="nil"/>
            </w:tcBorders>
            <w:shd w:val="clear" w:color="auto" w:fill="auto"/>
            <w:noWrap/>
            <w:vAlign w:val="center"/>
            <w:hideMark/>
          </w:tcPr>
          <w:p w14:paraId="27EED96D" w14:textId="1B481800" w:rsidR="00205869" w:rsidRPr="0084045A" w:rsidRDefault="00205869" w:rsidP="00205869">
            <w:pPr>
              <w:spacing w:after="0" w:line="480" w:lineRule="auto"/>
              <w:jc w:val="center"/>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5</w:t>
            </w:r>
            <w:r w:rsidR="00C23EC8"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11</w:t>
            </w:r>
          </w:p>
        </w:tc>
        <w:tc>
          <w:tcPr>
            <w:tcW w:w="567" w:type="dxa"/>
            <w:tcBorders>
              <w:top w:val="nil"/>
              <w:left w:val="nil"/>
              <w:bottom w:val="nil"/>
              <w:right w:val="nil"/>
            </w:tcBorders>
            <w:shd w:val="clear" w:color="auto" w:fill="auto"/>
            <w:noWrap/>
            <w:vAlign w:val="center"/>
            <w:hideMark/>
          </w:tcPr>
          <w:p w14:paraId="1117F634" w14:textId="77777777" w:rsidR="00205869" w:rsidRPr="0084045A" w:rsidRDefault="00205869" w:rsidP="00205869">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1.65</w:t>
            </w:r>
          </w:p>
        </w:tc>
        <w:tc>
          <w:tcPr>
            <w:tcW w:w="709" w:type="dxa"/>
            <w:tcBorders>
              <w:top w:val="nil"/>
              <w:left w:val="nil"/>
              <w:bottom w:val="nil"/>
              <w:right w:val="nil"/>
            </w:tcBorders>
            <w:shd w:val="clear" w:color="auto" w:fill="auto"/>
            <w:noWrap/>
            <w:vAlign w:val="center"/>
            <w:hideMark/>
          </w:tcPr>
          <w:p w14:paraId="5F4CE6EE" w14:textId="77777777" w:rsidR="00205869" w:rsidRPr="0084045A" w:rsidRDefault="00205869" w:rsidP="00205869">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3.75</w:t>
            </w:r>
          </w:p>
        </w:tc>
        <w:tc>
          <w:tcPr>
            <w:tcW w:w="708" w:type="dxa"/>
            <w:tcBorders>
              <w:top w:val="nil"/>
              <w:left w:val="nil"/>
              <w:bottom w:val="nil"/>
              <w:right w:val="nil"/>
            </w:tcBorders>
            <w:shd w:val="clear" w:color="auto" w:fill="auto"/>
            <w:noWrap/>
            <w:vAlign w:val="center"/>
            <w:hideMark/>
          </w:tcPr>
          <w:p w14:paraId="24442196" w14:textId="77777777" w:rsidR="00205869" w:rsidRPr="0084045A" w:rsidRDefault="00205869" w:rsidP="00205869">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4.81</w:t>
            </w:r>
          </w:p>
        </w:tc>
        <w:tc>
          <w:tcPr>
            <w:tcW w:w="709" w:type="dxa"/>
            <w:tcBorders>
              <w:top w:val="nil"/>
              <w:left w:val="nil"/>
              <w:bottom w:val="nil"/>
              <w:right w:val="nil"/>
            </w:tcBorders>
            <w:shd w:val="clear" w:color="auto" w:fill="auto"/>
            <w:noWrap/>
            <w:vAlign w:val="center"/>
            <w:hideMark/>
          </w:tcPr>
          <w:p w14:paraId="64C94B43" w14:textId="77777777" w:rsidR="00205869" w:rsidRPr="0084045A" w:rsidRDefault="00205869" w:rsidP="00205869">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2.89</w:t>
            </w:r>
          </w:p>
        </w:tc>
        <w:tc>
          <w:tcPr>
            <w:tcW w:w="709" w:type="dxa"/>
            <w:tcBorders>
              <w:top w:val="nil"/>
              <w:left w:val="nil"/>
              <w:bottom w:val="nil"/>
              <w:right w:val="nil"/>
            </w:tcBorders>
            <w:shd w:val="clear" w:color="auto" w:fill="auto"/>
            <w:noWrap/>
            <w:vAlign w:val="center"/>
            <w:hideMark/>
          </w:tcPr>
          <w:p w14:paraId="19592607" w14:textId="77777777" w:rsidR="00205869" w:rsidRPr="0084045A" w:rsidRDefault="00205869" w:rsidP="00205869">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4.17</w:t>
            </w:r>
          </w:p>
        </w:tc>
        <w:tc>
          <w:tcPr>
            <w:tcW w:w="709" w:type="dxa"/>
            <w:tcBorders>
              <w:top w:val="nil"/>
              <w:left w:val="nil"/>
              <w:bottom w:val="nil"/>
              <w:right w:val="nil"/>
            </w:tcBorders>
            <w:shd w:val="clear" w:color="auto" w:fill="auto"/>
            <w:noWrap/>
            <w:vAlign w:val="center"/>
            <w:hideMark/>
          </w:tcPr>
          <w:p w14:paraId="0C14A879" w14:textId="77777777" w:rsidR="00205869" w:rsidRPr="0084045A" w:rsidRDefault="00205869" w:rsidP="00205869">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1.97</w:t>
            </w:r>
          </w:p>
        </w:tc>
        <w:tc>
          <w:tcPr>
            <w:tcW w:w="708" w:type="dxa"/>
            <w:tcBorders>
              <w:top w:val="nil"/>
              <w:left w:val="nil"/>
              <w:bottom w:val="nil"/>
              <w:right w:val="nil"/>
            </w:tcBorders>
            <w:shd w:val="clear" w:color="auto" w:fill="auto"/>
            <w:noWrap/>
            <w:vAlign w:val="center"/>
            <w:hideMark/>
          </w:tcPr>
          <w:p w14:paraId="0F8FD9D7" w14:textId="77777777" w:rsidR="00205869" w:rsidRPr="0084045A" w:rsidRDefault="00205869" w:rsidP="00205869">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5.95</w:t>
            </w:r>
          </w:p>
        </w:tc>
        <w:tc>
          <w:tcPr>
            <w:tcW w:w="567" w:type="dxa"/>
            <w:tcBorders>
              <w:top w:val="nil"/>
              <w:left w:val="nil"/>
              <w:bottom w:val="nil"/>
              <w:right w:val="nil"/>
            </w:tcBorders>
            <w:shd w:val="clear" w:color="auto" w:fill="auto"/>
            <w:noWrap/>
            <w:vAlign w:val="center"/>
            <w:hideMark/>
          </w:tcPr>
          <w:p w14:paraId="1CA4C335" w14:textId="77777777" w:rsidR="00205869" w:rsidRPr="0084045A" w:rsidRDefault="00205869" w:rsidP="00205869">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4.23</w:t>
            </w:r>
          </w:p>
        </w:tc>
        <w:tc>
          <w:tcPr>
            <w:tcW w:w="709" w:type="dxa"/>
            <w:tcBorders>
              <w:top w:val="nil"/>
              <w:left w:val="nil"/>
              <w:bottom w:val="nil"/>
              <w:right w:val="nil"/>
            </w:tcBorders>
            <w:shd w:val="clear" w:color="auto" w:fill="auto"/>
            <w:noWrap/>
            <w:vAlign w:val="center"/>
            <w:hideMark/>
          </w:tcPr>
          <w:p w14:paraId="77E18145" w14:textId="77777777" w:rsidR="00205869" w:rsidRPr="0084045A" w:rsidRDefault="00205869" w:rsidP="00205869">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2.99</w:t>
            </w:r>
          </w:p>
        </w:tc>
        <w:tc>
          <w:tcPr>
            <w:tcW w:w="567" w:type="dxa"/>
            <w:tcBorders>
              <w:top w:val="nil"/>
              <w:left w:val="nil"/>
              <w:bottom w:val="nil"/>
              <w:right w:val="nil"/>
            </w:tcBorders>
            <w:shd w:val="clear" w:color="auto" w:fill="auto"/>
            <w:noWrap/>
            <w:vAlign w:val="center"/>
            <w:hideMark/>
          </w:tcPr>
          <w:p w14:paraId="21293D0A" w14:textId="77777777" w:rsidR="00205869" w:rsidRPr="0084045A" w:rsidRDefault="00205869" w:rsidP="00205869">
            <w:pPr>
              <w:spacing w:after="0" w:line="480" w:lineRule="auto"/>
              <w:jc w:val="center"/>
              <w:rPr>
                <w:rFonts w:ascii="Arial" w:eastAsia="Times New Roman" w:hAnsi="Arial" w:cs="Arial"/>
                <w:noProof/>
                <w:sz w:val="16"/>
                <w:szCs w:val="16"/>
                <w:lang w:val="en-GB" w:eastAsia="es-MX"/>
              </w:rPr>
            </w:pPr>
            <w:r w:rsidRPr="0084045A">
              <w:rPr>
                <w:rFonts w:ascii="Arial" w:eastAsia="Times New Roman" w:hAnsi="Arial" w:cs="Arial"/>
                <w:noProof/>
                <w:sz w:val="16"/>
                <w:szCs w:val="16"/>
                <w:lang w:val="en-GB" w:eastAsia="es-MX"/>
              </w:rPr>
              <w:t>0.27</w:t>
            </w:r>
          </w:p>
        </w:tc>
        <w:tc>
          <w:tcPr>
            <w:tcW w:w="878" w:type="dxa"/>
            <w:tcBorders>
              <w:top w:val="nil"/>
              <w:left w:val="nil"/>
              <w:bottom w:val="nil"/>
            </w:tcBorders>
            <w:shd w:val="clear" w:color="auto" w:fill="auto"/>
            <w:noWrap/>
            <w:vAlign w:val="center"/>
            <w:hideMark/>
          </w:tcPr>
          <w:p w14:paraId="46175D9B" w14:textId="77777777" w:rsidR="00205869" w:rsidRPr="0084045A" w:rsidRDefault="00205869" w:rsidP="00205869">
            <w:pPr>
              <w:spacing w:after="0" w:line="480" w:lineRule="auto"/>
              <w:jc w:val="center"/>
              <w:rPr>
                <w:rFonts w:ascii="Arial" w:eastAsia="Times New Roman" w:hAnsi="Arial" w:cs="Arial"/>
                <w:b/>
                <w:bCs/>
                <w:noProof/>
                <w:sz w:val="16"/>
                <w:szCs w:val="16"/>
                <w:lang w:val="en-GB" w:eastAsia="es-MX"/>
              </w:rPr>
            </w:pPr>
            <w:r w:rsidRPr="0084045A">
              <w:rPr>
                <w:rFonts w:ascii="Arial" w:eastAsia="Times New Roman" w:hAnsi="Arial" w:cs="Arial"/>
                <w:b/>
                <w:bCs/>
                <w:noProof/>
                <w:sz w:val="16"/>
                <w:szCs w:val="16"/>
                <w:lang w:val="en-GB" w:eastAsia="es-MX"/>
              </w:rPr>
              <w:t>3.27</w:t>
            </w:r>
          </w:p>
        </w:tc>
      </w:tr>
      <w:tr w:rsidR="00205869" w:rsidRPr="0084045A" w14:paraId="46D1422C" w14:textId="77777777" w:rsidTr="00512905">
        <w:trPr>
          <w:trHeight w:val="300"/>
          <w:jc w:val="center"/>
        </w:trPr>
        <w:tc>
          <w:tcPr>
            <w:tcW w:w="846" w:type="dxa"/>
            <w:tcBorders>
              <w:top w:val="nil"/>
              <w:bottom w:val="nil"/>
              <w:right w:val="nil"/>
            </w:tcBorders>
            <w:shd w:val="clear" w:color="auto" w:fill="auto"/>
            <w:noWrap/>
            <w:vAlign w:val="center"/>
            <w:hideMark/>
          </w:tcPr>
          <w:p w14:paraId="7F90D0AB" w14:textId="464E0F8D" w:rsidR="00205869"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12</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17</w:t>
            </w:r>
          </w:p>
        </w:tc>
        <w:tc>
          <w:tcPr>
            <w:tcW w:w="567" w:type="dxa"/>
            <w:tcBorders>
              <w:top w:val="nil"/>
              <w:left w:val="nil"/>
              <w:bottom w:val="nil"/>
              <w:right w:val="nil"/>
            </w:tcBorders>
            <w:shd w:val="clear" w:color="auto" w:fill="auto"/>
            <w:noWrap/>
            <w:vAlign w:val="center"/>
            <w:hideMark/>
          </w:tcPr>
          <w:p w14:paraId="71A22C33"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1.53</w:t>
            </w:r>
          </w:p>
        </w:tc>
        <w:tc>
          <w:tcPr>
            <w:tcW w:w="709" w:type="dxa"/>
            <w:tcBorders>
              <w:top w:val="nil"/>
              <w:left w:val="nil"/>
              <w:bottom w:val="nil"/>
              <w:right w:val="nil"/>
            </w:tcBorders>
            <w:shd w:val="clear" w:color="auto" w:fill="auto"/>
            <w:noWrap/>
            <w:vAlign w:val="center"/>
            <w:hideMark/>
          </w:tcPr>
          <w:p w14:paraId="758698EF"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2.37</w:t>
            </w:r>
          </w:p>
        </w:tc>
        <w:tc>
          <w:tcPr>
            <w:tcW w:w="708" w:type="dxa"/>
            <w:tcBorders>
              <w:top w:val="nil"/>
              <w:left w:val="nil"/>
              <w:bottom w:val="nil"/>
              <w:right w:val="nil"/>
            </w:tcBorders>
            <w:shd w:val="clear" w:color="auto" w:fill="auto"/>
            <w:noWrap/>
            <w:vAlign w:val="center"/>
            <w:hideMark/>
          </w:tcPr>
          <w:p w14:paraId="47A60521"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4.20</w:t>
            </w:r>
          </w:p>
        </w:tc>
        <w:tc>
          <w:tcPr>
            <w:tcW w:w="709" w:type="dxa"/>
            <w:tcBorders>
              <w:top w:val="nil"/>
              <w:left w:val="nil"/>
              <w:bottom w:val="nil"/>
              <w:right w:val="nil"/>
            </w:tcBorders>
            <w:shd w:val="clear" w:color="auto" w:fill="auto"/>
            <w:noWrap/>
            <w:vAlign w:val="center"/>
            <w:hideMark/>
          </w:tcPr>
          <w:p w14:paraId="471FAA04"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2.09</w:t>
            </w:r>
          </w:p>
        </w:tc>
        <w:tc>
          <w:tcPr>
            <w:tcW w:w="709" w:type="dxa"/>
            <w:tcBorders>
              <w:top w:val="nil"/>
              <w:left w:val="nil"/>
              <w:bottom w:val="nil"/>
              <w:right w:val="nil"/>
            </w:tcBorders>
            <w:shd w:val="clear" w:color="auto" w:fill="auto"/>
            <w:noWrap/>
            <w:vAlign w:val="center"/>
            <w:hideMark/>
          </w:tcPr>
          <w:p w14:paraId="24CA2BEE"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3.45</w:t>
            </w:r>
          </w:p>
        </w:tc>
        <w:tc>
          <w:tcPr>
            <w:tcW w:w="709" w:type="dxa"/>
            <w:tcBorders>
              <w:top w:val="nil"/>
              <w:left w:val="nil"/>
              <w:bottom w:val="nil"/>
              <w:right w:val="nil"/>
            </w:tcBorders>
            <w:shd w:val="clear" w:color="auto" w:fill="auto"/>
            <w:noWrap/>
            <w:vAlign w:val="center"/>
            <w:hideMark/>
          </w:tcPr>
          <w:p w14:paraId="7B040015"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1.67</w:t>
            </w:r>
          </w:p>
        </w:tc>
        <w:tc>
          <w:tcPr>
            <w:tcW w:w="708" w:type="dxa"/>
            <w:tcBorders>
              <w:top w:val="nil"/>
              <w:left w:val="nil"/>
              <w:bottom w:val="nil"/>
              <w:right w:val="nil"/>
            </w:tcBorders>
            <w:shd w:val="clear" w:color="auto" w:fill="auto"/>
            <w:noWrap/>
            <w:vAlign w:val="center"/>
            <w:hideMark/>
          </w:tcPr>
          <w:p w14:paraId="63840F6D"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3.80</w:t>
            </w:r>
          </w:p>
        </w:tc>
        <w:tc>
          <w:tcPr>
            <w:tcW w:w="567" w:type="dxa"/>
            <w:tcBorders>
              <w:top w:val="nil"/>
              <w:left w:val="nil"/>
              <w:bottom w:val="nil"/>
              <w:right w:val="nil"/>
            </w:tcBorders>
            <w:shd w:val="clear" w:color="auto" w:fill="auto"/>
            <w:noWrap/>
            <w:vAlign w:val="center"/>
            <w:hideMark/>
          </w:tcPr>
          <w:p w14:paraId="5C50B4B8"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2.36</w:t>
            </w:r>
          </w:p>
        </w:tc>
        <w:tc>
          <w:tcPr>
            <w:tcW w:w="709" w:type="dxa"/>
            <w:tcBorders>
              <w:top w:val="nil"/>
              <w:left w:val="nil"/>
              <w:bottom w:val="nil"/>
              <w:right w:val="nil"/>
            </w:tcBorders>
            <w:shd w:val="clear" w:color="auto" w:fill="auto"/>
            <w:noWrap/>
            <w:vAlign w:val="center"/>
            <w:hideMark/>
          </w:tcPr>
          <w:p w14:paraId="1F31D4CE"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1.65</w:t>
            </w:r>
          </w:p>
        </w:tc>
        <w:tc>
          <w:tcPr>
            <w:tcW w:w="567" w:type="dxa"/>
            <w:tcBorders>
              <w:top w:val="nil"/>
              <w:left w:val="nil"/>
              <w:bottom w:val="nil"/>
              <w:right w:val="nil"/>
            </w:tcBorders>
            <w:shd w:val="clear" w:color="auto" w:fill="auto"/>
            <w:noWrap/>
            <w:vAlign w:val="center"/>
            <w:hideMark/>
          </w:tcPr>
          <w:p w14:paraId="55BDB422"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0.07</w:t>
            </w:r>
          </w:p>
        </w:tc>
        <w:tc>
          <w:tcPr>
            <w:tcW w:w="878" w:type="dxa"/>
            <w:tcBorders>
              <w:top w:val="nil"/>
              <w:left w:val="nil"/>
              <w:bottom w:val="nil"/>
            </w:tcBorders>
            <w:shd w:val="clear" w:color="auto" w:fill="auto"/>
            <w:noWrap/>
            <w:vAlign w:val="center"/>
            <w:hideMark/>
          </w:tcPr>
          <w:p w14:paraId="69B45943" w14:textId="77777777" w:rsidR="00205869"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2.32</w:t>
            </w:r>
          </w:p>
        </w:tc>
      </w:tr>
      <w:tr w:rsidR="00205869" w:rsidRPr="0084045A" w14:paraId="5D4EF613" w14:textId="77777777" w:rsidTr="00512905">
        <w:trPr>
          <w:trHeight w:val="300"/>
          <w:jc w:val="center"/>
        </w:trPr>
        <w:tc>
          <w:tcPr>
            <w:tcW w:w="846" w:type="dxa"/>
            <w:tcBorders>
              <w:top w:val="nil"/>
              <w:bottom w:val="nil"/>
              <w:right w:val="nil"/>
            </w:tcBorders>
            <w:shd w:val="clear" w:color="auto" w:fill="auto"/>
            <w:noWrap/>
            <w:vAlign w:val="center"/>
            <w:hideMark/>
          </w:tcPr>
          <w:p w14:paraId="64E45BDD" w14:textId="250397C3" w:rsidR="00205869"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18</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49</w:t>
            </w:r>
          </w:p>
        </w:tc>
        <w:tc>
          <w:tcPr>
            <w:tcW w:w="567" w:type="dxa"/>
            <w:tcBorders>
              <w:top w:val="nil"/>
              <w:left w:val="nil"/>
              <w:bottom w:val="nil"/>
              <w:right w:val="nil"/>
            </w:tcBorders>
            <w:shd w:val="clear" w:color="auto" w:fill="auto"/>
            <w:noWrap/>
            <w:vAlign w:val="center"/>
            <w:hideMark/>
          </w:tcPr>
          <w:p w14:paraId="27A50ADF"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2.91</w:t>
            </w:r>
          </w:p>
        </w:tc>
        <w:tc>
          <w:tcPr>
            <w:tcW w:w="709" w:type="dxa"/>
            <w:tcBorders>
              <w:top w:val="nil"/>
              <w:left w:val="nil"/>
              <w:bottom w:val="nil"/>
              <w:right w:val="nil"/>
            </w:tcBorders>
            <w:shd w:val="clear" w:color="auto" w:fill="auto"/>
            <w:noWrap/>
            <w:vAlign w:val="center"/>
            <w:hideMark/>
          </w:tcPr>
          <w:p w14:paraId="019EE1D6"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3.77</w:t>
            </w:r>
          </w:p>
        </w:tc>
        <w:tc>
          <w:tcPr>
            <w:tcW w:w="708" w:type="dxa"/>
            <w:tcBorders>
              <w:top w:val="nil"/>
              <w:left w:val="nil"/>
              <w:bottom w:val="nil"/>
              <w:right w:val="nil"/>
            </w:tcBorders>
            <w:shd w:val="clear" w:color="auto" w:fill="auto"/>
            <w:noWrap/>
            <w:vAlign w:val="center"/>
            <w:hideMark/>
          </w:tcPr>
          <w:p w14:paraId="474A7388"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6.73</w:t>
            </w:r>
          </w:p>
        </w:tc>
        <w:tc>
          <w:tcPr>
            <w:tcW w:w="709" w:type="dxa"/>
            <w:tcBorders>
              <w:top w:val="nil"/>
              <w:left w:val="nil"/>
              <w:bottom w:val="nil"/>
              <w:right w:val="nil"/>
            </w:tcBorders>
            <w:shd w:val="clear" w:color="auto" w:fill="auto"/>
            <w:noWrap/>
            <w:vAlign w:val="center"/>
            <w:hideMark/>
          </w:tcPr>
          <w:p w14:paraId="0E3F095E"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2.77</w:t>
            </w:r>
          </w:p>
        </w:tc>
        <w:tc>
          <w:tcPr>
            <w:tcW w:w="709" w:type="dxa"/>
            <w:tcBorders>
              <w:top w:val="nil"/>
              <w:left w:val="nil"/>
              <w:bottom w:val="nil"/>
              <w:right w:val="nil"/>
            </w:tcBorders>
            <w:shd w:val="clear" w:color="auto" w:fill="auto"/>
            <w:noWrap/>
            <w:vAlign w:val="center"/>
            <w:hideMark/>
          </w:tcPr>
          <w:p w14:paraId="23571BBD"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8.07</w:t>
            </w:r>
          </w:p>
        </w:tc>
        <w:tc>
          <w:tcPr>
            <w:tcW w:w="709" w:type="dxa"/>
            <w:tcBorders>
              <w:top w:val="nil"/>
              <w:left w:val="nil"/>
              <w:bottom w:val="nil"/>
              <w:right w:val="nil"/>
            </w:tcBorders>
            <w:shd w:val="clear" w:color="auto" w:fill="auto"/>
            <w:noWrap/>
            <w:vAlign w:val="center"/>
            <w:hideMark/>
          </w:tcPr>
          <w:p w14:paraId="5FCFEB2A"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2.35</w:t>
            </w:r>
          </w:p>
        </w:tc>
        <w:tc>
          <w:tcPr>
            <w:tcW w:w="708" w:type="dxa"/>
            <w:tcBorders>
              <w:top w:val="nil"/>
              <w:left w:val="nil"/>
              <w:bottom w:val="nil"/>
              <w:right w:val="nil"/>
            </w:tcBorders>
            <w:shd w:val="clear" w:color="auto" w:fill="auto"/>
            <w:noWrap/>
            <w:vAlign w:val="center"/>
            <w:hideMark/>
          </w:tcPr>
          <w:p w14:paraId="467D8B5D"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7.64</w:t>
            </w:r>
          </w:p>
        </w:tc>
        <w:tc>
          <w:tcPr>
            <w:tcW w:w="567" w:type="dxa"/>
            <w:tcBorders>
              <w:top w:val="nil"/>
              <w:left w:val="nil"/>
              <w:bottom w:val="nil"/>
              <w:right w:val="nil"/>
            </w:tcBorders>
            <w:shd w:val="clear" w:color="auto" w:fill="auto"/>
            <w:noWrap/>
            <w:vAlign w:val="center"/>
            <w:hideMark/>
          </w:tcPr>
          <w:p w14:paraId="59585835"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4.44</w:t>
            </w:r>
          </w:p>
        </w:tc>
        <w:tc>
          <w:tcPr>
            <w:tcW w:w="709" w:type="dxa"/>
            <w:tcBorders>
              <w:top w:val="nil"/>
              <w:left w:val="nil"/>
              <w:bottom w:val="nil"/>
              <w:right w:val="nil"/>
            </w:tcBorders>
            <w:shd w:val="clear" w:color="auto" w:fill="auto"/>
            <w:noWrap/>
            <w:vAlign w:val="center"/>
            <w:hideMark/>
          </w:tcPr>
          <w:p w14:paraId="2D3CD8E6"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3.05</w:t>
            </w:r>
          </w:p>
        </w:tc>
        <w:tc>
          <w:tcPr>
            <w:tcW w:w="567" w:type="dxa"/>
            <w:tcBorders>
              <w:top w:val="nil"/>
              <w:left w:val="nil"/>
              <w:bottom w:val="nil"/>
              <w:right w:val="nil"/>
            </w:tcBorders>
            <w:shd w:val="clear" w:color="auto" w:fill="auto"/>
            <w:noWrap/>
            <w:vAlign w:val="center"/>
            <w:hideMark/>
          </w:tcPr>
          <w:p w14:paraId="1259BBC3"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0.15</w:t>
            </w:r>
          </w:p>
        </w:tc>
        <w:tc>
          <w:tcPr>
            <w:tcW w:w="878" w:type="dxa"/>
            <w:tcBorders>
              <w:top w:val="nil"/>
              <w:left w:val="nil"/>
              <w:bottom w:val="nil"/>
            </w:tcBorders>
            <w:shd w:val="clear" w:color="auto" w:fill="auto"/>
            <w:noWrap/>
            <w:vAlign w:val="center"/>
            <w:hideMark/>
          </w:tcPr>
          <w:p w14:paraId="1784D0E7" w14:textId="77777777" w:rsidR="00205869"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4.19</w:t>
            </w:r>
          </w:p>
        </w:tc>
      </w:tr>
      <w:tr w:rsidR="00205869" w:rsidRPr="0084045A" w14:paraId="2C364201" w14:textId="77777777" w:rsidTr="00512905">
        <w:trPr>
          <w:trHeight w:val="300"/>
          <w:jc w:val="center"/>
        </w:trPr>
        <w:tc>
          <w:tcPr>
            <w:tcW w:w="846" w:type="dxa"/>
            <w:tcBorders>
              <w:top w:val="nil"/>
              <w:bottom w:val="nil"/>
              <w:right w:val="nil"/>
            </w:tcBorders>
            <w:shd w:val="clear" w:color="auto" w:fill="auto"/>
            <w:noWrap/>
            <w:vAlign w:val="center"/>
            <w:hideMark/>
          </w:tcPr>
          <w:p w14:paraId="39430DAC" w14:textId="2D8C5D13" w:rsidR="00205869"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50</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59</w:t>
            </w:r>
          </w:p>
        </w:tc>
        <w:tc>
          <w:tcPr>
            <w:tcW w:w="567" w:type="dxa"/>
            <w:tcBorders>
              <w:top w:val="nil"/>
              <w:left w:val="nil"/>
              <w:bottom w:val="nil"/>
              <w:right w:val="nil"/>
            </w:tcBorders>
            <w:shd w:val="clear" w:color="auto" w:fill="auto"/>
            <w:noWrap/>
            <w:vAlign w:val="center"/>
            <w:hideMark/>
          </w:tcPr>
          <w:p w14:paraId="5C703FFF"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3.13</w:t>
            </w:r>
          </w:p>
        </w:tc>
        <w:tc>
          <w:tcPr>
            <w:tcW w:w="709" w:type="dxa"/>
            <w:tcBorders>
              <w:top w:val="nil"/>
              <w:left w:val="nil"/>
              <w:bottom w:val="nil"/>
              <w:right w:val="nil"/>
            </w:tcBorders>
            <w:shd w:val="clear" w:color="auto" w:fill="auto"/>
            <w:noWrap/>
            <w:vAlign w:val="center"/>
            <w:hideMark/>
          </w:tcPr>
          <w:p w14:paraId="59540289"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3.23</w:t>
            </w:r>
          </w:p>
        </w:tc>
        <w:tc>
          <w:tcPr>
            <w:tcW w:w="708" w:type="dxa"/>
            <w:tcBorders>
              <w:top w:val="nil"/>
              <w:left w:val="nil"/>
              <w:bottom w:val="nil"/>
              <w:right w:val="nil"/>
            </w:tcBorders>
            <w:shd w:val="clear" w:color="auto" w:fill="auto"/>
            <w:noWrap/>
            <w:vAlign w:val="center"/>
            <w:hideMark/>
          </w:tcPr>
          <w:p w14:paraId="06F22700"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7.36</w:t>
            </w:r>
          </w:p>
        </w:tc>
        <w:tc>
          <w:tcPr>
            <w:tcW w:w="709" w:type="dxa"/>
            <w:tcBorders>
              <w:top w:val="nil"/>
              <w:left w:val="nil"/>
              <w:bottom w:val="nil"/>
              <w:right w:val="nil"/>
            </w:tcBorders>
            <w:shd w:val="clear" w:color="auto" w:fill="auto"/>
            <w:noWrap/>
            <w:vAlign w:val="center"/>
            <w:hideMark/>
          </w:tcPr>
          <w:p w14:paraId="12CEEDB0"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3.02</w:t>
            </w:r>
          </w:p>
        </w:tc>
        <w:tc>
          <w:tcPr>
            <w:tcW w:w="709" w:type="dxa"/>
            <w:tcBorders>
              <w:top w:val="nil"/>
              <w:left w:val="nil"/>
              <w:bottom w:val="nil"/>
              <w:right w:val="nil"/>
            </w:tcBorders>
            <w:shd w:val="clear" w:color="auto" w:fill="auto"/>
            <w:noWrap/>
            <w:vAlign w:val="center"/>
            <w:hideMark/>
          </w:tcPr>
          <w:p w14:paraId="278145BE"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11.65</w:t>
            </w:r>
          </w:p>
        </w:tc>
        <w:tc>
          <w:tcPr>
            <w:tcW w:w="709" w:type="dxa"/>
            <w:tcBorders>
              <w:top w:val="nil"/>
              <w:left w:val="nil"/>
              <w:bottom w:val="nil"/>
              <w:right w:val="nil"/>
            </w:tcBorders>
            <w:shd w:val="clear" w:color="auto" w:fill="auto"/>
            <w:noWrap/>
            <w:vAlign w:val="center"/>
            <w:hideMark/>
          </w:tcPr>
          <w:p w14:paraId="255D4478"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3.06</w:t>
            </w:r>
          </w:p>
        </w:tc>
        <w:tc>
          <w:tcPr>
            <w:tcW w:w="708" w:type="dxa"/>
            <w:tcBorders>
              <w:top w:val="nil"/>
              <w:left w:val="nil"/>
              <w:bottom w:val="nil"/>
              <w:right w:val="nil"/>
            </w:tcBorders>
            <w:shd w:val="clear" w:color="auto" w:fill="auto"/>
            <w:noWrap/>
            <w:vAlign w:val="center"/>
            <w:hideMark/>
          </w:tcPr>
          <w:p w14:paraId="06187D26"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10.75</w:t>
            </w:r>
          </w:p>
        </w:tc>
        <w:tc>
          <w:tcPr>
            <w:tcW w:w="567" w:type="dxa"/>
            <w:tcBorders>
              <w:top w:val="nil"/>
              <w:left w:val="nil"/>
              <w:bottom w:val="nil"/>
              <w:right w:val="nil"/>
            </w:tcBorders>
            <w:shd w:val="clear" w:color="auto" w:fill="auto"/>
            <w:noWrap/>
            <w:vAlign w:val="center"/>
            <w:hideMark/>
          </w:tcPr>
          <w:p w14:paraId="7485CE34"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7.25</w:t>
            </w:r>
          </w:p>
        </w:tc>
        <w:tc>
          <w:tcPr>
            <w:tcW w:w="709" w:type="dxa"/>
            <w:tcBorders>
              <w:top w:val="nil"/>
              <w:left w:val="nil"/>
              <w:bottom w:val="nil"/>
              <w:right w:val="nil"/>
            </w:tcBorders>
            <w:shd w:val="clear" w:color="auto" w:fill="auto"/>
            <w:noWrap/>
            <w:vAlign w:val="center"/>
            <w:hideMark/>
          </w:tcPr>
          <w:p w14:paraId="4C4491F5"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3.89</w:t>
            </w:r>
          </w:p>
        </w:tc>
        <w:tc>
          <w:tcPr>
            <w:tcW w:w="567" w:type="dxa"/>
            <w:tcBorders>
              <w:top w:val="nil"/>
              <w:left w:val="nil"/>
              <w:bottom w:val="nil"/>
              <w:right w:val="nil"/>
            </w:tcBorders>
            <w:shd w:val="clear" w:color="auto" w:fill="auto"/>
            <w:noWrap/>
            <w:vAlign w:val="center"/>
            <w:hideMark/>
          </w:tcPr>
          <w:p w14:paraId="7DA04196"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0.28</w:t>
            </w:r>
          </w:p>
        </w:tc>
        <w:tc>
          <w:tcPr>
            <w:tcW w:w="878" w:type="dxa"/>
            <w:tcBorders>
              <w:top w:val="nil"/>
              <w:left w:val="nil"/>
              <w:bottom w:val="nil"/>
            </w:tcBorders>
            <w:shd w:val="clear" w:color="auto" w:fill="auto"/>
            <w:noWrap/>
            <w:vAlign w:val="center"/>
            <w:hideMark/>
          </w:tcPr>
          <w:p w14:paraId="080112AE" w14:textId="77777777" w:rsidR="00205869"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5.36</w:t>
            </w:r>
          </w:p>
        </w:tc>
      </w:tr>
      <w:tr w:rsidR="00205869" w:rsidRPr="0084045A" w14:paraId="2AB35B66" w14:textId="77777777" w:rsidTr="00512905">
        <w:trPr>
          <w:trHeight w:val="300"/>
          <w:jc w:val="center"/>
        </w:trPr>
        <w:tc>
          <w:tcPr>
            <w:tcW w:w="846" w:type="dxa"/>
            <w:tcBorders>
              <w:top w:val="nil"/>
              <w:bottom w:val="single" w:sz="4" w:space="0" w:color="auto"/>
              <w:right w:val="nil"/>
            </w:tcBorders>
            <w:shd w:val="clear" w:color="auto" w:fill="auto"/>
            <w:noWrap/>
            <w:vAlign w:val="center"/>
            <w:hideMark/>
          </w:tcPr>
          <w:p w14:paraId="388EDAF5" w14:textId="7CDB7392" w:rsidR="00205869"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≥60</w:t>
            </w:r>
          </w:p>
        </w:tc>
        <w:tc>
          <w:tcPr>
            <w:tcW w:w="567" w:type="dxa"/>
            <w:tcBorders>
              <w:top w:val="nil"/>
              <w:left w:val="nil"/>
              <w:bottom w:val="single" w:sz="4" w:space="0" w:color="auto"/>
              <w:right w:val="nil"/>
            </w:tcBorders>
            <w:shd w:val="clear" w:color="auto" w:fill="auto"/>
            <w:noWrap/>
            <w:vAlign w:val="center"/>
            <w:hideMark/>
          </w:tcPr>
          <w:p w14:paraId="5B72C47D"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2.03</w:t>
            </w:r>
          </w:p>
        </w:tc>
        <w:tc>
          <w:tcPr>
            <w:tcW w:w="709" w:type="dxa"/>
            <w:tcBorders>
              <w:top w:val="nil"/>
              <w:left w:val="nil"/>
              <w:bottom w:val="single" w:sz="4" w:space="0" w:color="auto"/>
              <w:right w:val="nil"/>
            </w:tcBorders>
            <w:shd w:val="clear" w:color="auto" w:fill="auto"/>
            <w:noWrap/>
            <w:vAlign w:val="center"/>
            <w:hideMark/>
          </w:tcPr>
          <w:p w14:paraId="5CE8E74B"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3.88</w:t>
            </w:r>
          </w:p>
        </w:tc>
        <w:tc>
          <w:tcPr>
            <w:tcW w:w="708" w:type="dxa"/>
            <w:tcBorders>
              <w:top w:val="nil"/>
              <w:left w:val="nil"/>
              <w:bottom w:val="single" w:sz="4" w:space="0" w:color="auto"/>
              <w:right w:val="nil"/>
            </w:tcBorders>
            <w:shd w:val="clear" w:color="auto" w:fill="auto"/>
            <w:noWrap/>
            <w:vAlign w:val="center"/>
            <w:hideMark/>
          </w:tcPr>
          <w:p w14:paraId="6DFE1A0F"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4.83</w:t>
            </w:r>
          </w:p>
        </w:tc>
        <w:tc>
          <w:tcPr>
            <w:tcW w:w="709" w:type="dxa"/>
            <w:tcBorders>
              <w:top w:val="nil"/>
              <w:left w:val="nil"/>
              <w:bottom w:val="single" w:sz="4" w:space="0" w:color="auto"/>
              <w:right w:val="nil"/>
            </w:tcBorders>
            <w:shd w:val="clear" w:color="auto" w:fill="auto"/>
            <w:noWrap/>
            <w:vAlign w:val="center"/>
            <w:hideMark/>
          </w:tcPr>
          <w:p w14:paraId="483AAE48"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3.44</w:t>
            </w:r>
          </w:p>
        </w:tc>
        <w:tc>
          <w:tcPr>
            <w:tcW w:w="709" w:type="dxa"/>
            <w:tcBorders>
              <w:top w:val="nil"/>
              <w:left w:val="nil"/>
              <w:bottom w:val="single" w:sz="4" w:space="0" w:color="auto"/>
              <w:right w:val="nil"/>
            </w:tcBorders>
            <w:shd w:val="clear" w:color="auto" w:fill="auto"/>
            <w:noWrap/>
            <w:vAlign w:val="center"/>
            <w:hideMark/>
          </w:tcPr>
          <w:p w14:paraId="0E3CCB50"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9.61</w:t>
            </w:r>
          </w:p>
        </w:tc>
        <w:tc>
          <w:tcPr>
            <w:tcW w:w="709" w:type="dxa"/>
            <w:tcBorders>
              <w:top w:val="nil"/>
              <w:left w:val="nil"/>
              <w:bottom w:val="single" w:sz="4" w:space="0" w:color="auto"/>
              <w:right w:val="nil"/>
            </w:tcBorders>
            <w:shd w:val="clear" w:color="auto" w:fill="auto"/>
            <w:noWrap/>
            <w:vAlign w:val="center"/>
            <w:hideMark/>
          </w:tcPr>
          <w:p w14:paraId="4D5076A8"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4.86</w:t>
            </w:r>
          </w:p>
        </w:tc>
        <w:tc>
          <w:tcPr>
            <w:tcW w:w="708" w:type="dxa"/>
            <w:tcBorders>
              <w:top w:val="nil"/>
              <w:left w:val="nil"/>
              <w:bottom w:val="single" w:sz="4" w:space="0" w:color="auto"/>
              <w:right w:val="nil"/>
            </w:tcBorders>
            <w:shd w:val="clear" w:color="auto" w:fill="auto"/>
            <w:noWrap/>
            <w:vAlign w:val="center"/>
            <w:hideMark/>
          </w:tcPr>
          <w:p w14:paraId="22E4E685"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11.18</w:t>
            </w:r>
          </w:p>
        </w:tc>
        <w:tc>
          <w:tcPr>
            <w:tcW w:w="567" w:type="dxa"/>
            <w:tcBorders>
              <w:top w:val="nil"/>
              <w:left w:val="nil"/>
              <w:bottom w:val="single" w:sz="4" w:space="0" w:color="auto"/>
              <w:right w:val="nil"/>
            </w:tcBorders>
            <w:shd w:val="clear" w:color="auto" w:fill="auto"/>
            <w:noWrap/>
            <w:vAlign w:val="center"/>
            <w:hideMark/>
          </w:tcPr>
          <w:p w14:paraId="426C4DD7"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8.93</w:t>
            </w:r>
          </w:p>
        </w:tc>
        <w:tc>
          <w:tcPr>
            <w:tcW w:w="709" w:type="dxa"/>
            <w:tcBorders>
              <w:top w:val="nil"/>
              <w:left w:val="nil"/>
              <w:bottom w:val="single" w:sz="4" w:space="0" w:color="auto"/>
              <w:right w:val="nil"/>
            </w:tcBorders>
            <w:shd w:val="clear" w:color="auto" w:fill="auto"/>
            <w:noWrap/>
            <w:vAlign w:val="center"/>
            <w:hideMark/>
          </w:tcPr>
          <w:p w14:paraId="4FF2FC8F"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6.50</w:t>
            </w:r>
          </w:p>
        </w:tc>
        <w:tc>
          <w:tcPr>
            <w:tcW w:w="567" w:type="dxa"/>
            <w:tcBorders>
              <w:top w:val="nil"/>
              <w:left w:val="nil"/>
              <w:bottom w:val="single" w:sz="4" w:space="0" w:color="auto"/>
              <w:right w:val="nil"/>
            </w:tcBorders>
            <w:shd w:val="clear" w:color="auto" w:fill="auto"/>
            <w:noWrap/>
            <w:vAlign w:val="center"/>
            <w:hideMark/>
          </w:tcPr>
          <w:p w14:paraId="37CFD06B" w14:textId="77777777" w:rsidR="00205869" w:rsidRPr="0084045A" w:rsidRDefault="00205869" w:rsidP="0020586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0.29</w:t>
            </w:r>
          </w:p>
        </w:tc>
        <w:tc>
          <w:tcPr>
            <w:tcW w:w="878" w:type="dxa"/>
            <w:tcBorders>
              <w:top w:val="nil"/>
              <w:left w:val="nil"/>
              <w:bottom w:val="single" w:sz="4" w:space="0" w:color="auto"/>
            </w:tcBorders>
            <w:shd w:val="clear" w:color="auto" w:fill="auto"/>
            <w:noWrap/>
            <w:vAlign w:val="center"/>
            <w:hideMark/>
          </w:tcPr>
          <w:p w14:paraId="3A7B63E0" w14:textId="77777777" w:rsidR="00205869" w:rsidRPr="0084045A" w:rsidRDefault="00205869" w:rsidP="00205869">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5.55</w:t>
            </w:r>
          </w:p>
        </w:tc>
      </w:tr>
      <w:tr w:rsidR="00F26890" w:rsidRPr="0084045A" w14:paraId="507A958D" w14:textId="77777777" w:rsidTr="00512905">
        <w:trPr>
          <w:trHeight w:val="300"/>
          <w:jc w:val="center"/>
        </w:trPr>
        <w:tc>
          <w:tcPr>
            <w:tcW w:w="846" w:type="dxa"/>
            <w:tcBorders>
              <w:top w:val="single" w:sz="4" w:space="0" w:color="auto"/>
              <w:right w:val="nil"/>
            </w:tcBorders>
            <w:shd w:val="clear" w:color="auto" w:fill="auto"/>
            <w:noWrap/>
            <w:vAlign w:val="center"/>
            <w:hideMark/>
          </w:tcPr>
          <w:p w14:paraId="3DC6156C"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TOTAL</w:t>
            </w:r>
          </w:p>
        </w:tc>
        <w:tc>
          <w:tcPr>
            <w:tcW w:w="567" w:type="dxa"/>
            <w:tcBorders>
              <w:top w:val="single" w:sz="4" w:space="0" w:color="auto"/>
              <w:left w:val="nil"/>
              <w:right w:val="nil"/>
            </w:tcBorders>
            <w:shd w:val="clear" w:color="auto" w:fill="auto"/>
            <w:noWrap/>
            <w:vAlign w:val="center"/>
            <w:hideMark/>
          </w:tcPr>
          <w:p w14:paraId="7330A101"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2.56</w:t>
            </w:r>
          </w:p>
        </w:tc>
        <w:tc>
          <w:tcPr>
            <w:tcW w:w="709" w:type="dxa"/>
            <w:tcBorders>
              <w:top w:val="single" w:sz="4" w:space="0" w:color="auto"/>
              <w:left w:val="nil"/>
              <w:right w:val="nil"/>
            </w:tcBorders>
            <w:shd w:val="clear" w:color="auto" w:fill="auto"/>
            <w:noWrap/>
            <w:vAlign w:val="center"/>
            <w:hideMark/>
          </w:tcPr>
          <w:p w14:paraId="2B9D9C39"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3.78</w:t>
            </w:r>
          </w:p>
        </w:tc>
        <w:tc>
          <w:tcPr>
            <w:tcW w:w="708" w:type="dxa"/>
            <w:tcBorders>
              <w:top w:val="single" w:sz="4" w:space="0" w:color="auto"/>
              <w:left w:val="nil"/>
              <w:right w:val="nil"/>
            </w:tcBorders>
            <w:shd w:val="clear" w:color="auto" w:fill="auto"/>
            <w:noWrap/>
            <w:vAlign w:val="center"/>
            <w:hideMark/>
          </w:tcPr>
          <w:p w14:paraId="587F1018"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6.06</w:t>
            </w:r>
          </w:p>
        </w:tc>
        <w:tc>
          <w:tcPr>
            <w:tcW w:w="709" w:type="dxa"/>
            <w:tcBorders>
              <w:top w:val="single" w:sz="4" w:space="0" w:color="auto"/>
              <w:left w:val="nil"/>
              <w:right w:val="nil"/>
            </w:tcBorders>
            <w:shd w:val="clear" w:color="auto" w:fill="auto"/>
            <w:noWrap/>
            <w:vAlign w:val="center"/>
            <w:hideMark/>
          </w:tcPr>
          <w:p w14:paraId="1D995D4F"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2.99</w:t>
            </w:r>
          </w:p>
        </w:tc>
        <w:tc>
          <w:tcPr>
            <w:tcW w:w="709" w:type="dxa"/>
            <w:tcBorders>
              <w:top w:val="single" w:sz="4" w:space="0" w:color="auto"/>
              <w:left w:val="nil"/>
              <w:right w:val="nil"/>
            </w:tcBorders>
            <w:shd w:val="clear" w:color="auto" w:fill="auto"/>
            <w:noWrap/>
            <w:vAlign w:val="center"/>
            <w:hideMark/>
          </w:tcPr>
          <w:p w14:paraId="1F9D6B74"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7.54</w:t>
            </w:r>
          </w:p>
        </w:tc>
        <w:tc>
          <w:tcPr>
            <w:tcW w:w="709" w:type="dxa"/>
            <w:tcBorders>
              <w:top w:val="single" w:sz="4" w:space="0" w:color="auto"/>
              <w:left w:val="nil"/>
              <w:right w:val="nil"/>
            </w:tcBorders>
            <w:shd w:val="clear" w:color="auto" w:fill="auto"/>
            <w:noWrap/>
            <w:vAlign w:val="center"/>
            <w:hideMark/>
          </w:tcPr>
          <w:p w14:paraId="75300D1D"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2.69</w:t>
            </w:r>
          </w:p>
        </w:tc>
        <w:tc>
          <w:tcPr>
            <w:tcW w:w="708" w:type="dxa"/>
            <w:tcBorders>
              <w:top w:val="single" w:sz="4" w:space="0" w:color="auto"/>
              <w:left w:val="nil"/>
              <w:right w:val="nil"/>
            </w:tcBorders>
            <w:shd w:val="clear" w:color="auto" w:fill="auto"/>
            <w:noWrap/>
            <w:vAlign w:val="center"/>
            <w:hideMark/>
          </w:tcPr>
          <w:p w14:paraId="4F7418C8"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7.90</w:t>
            </w:r>
          </w:p>
        </w:tc>
        <w:tc>
          <w:tcPr>
            <w:tcW w:w="567" w:type="dxa"/>
            <w:tcBorders>
              <w:top w:val="single" w:sz="4" w:space="0" w:color="auto"/>
              <w:left w:val="nil"/>
              <w:right w:val="nil"/>
            </w:tcBorders>
            <w:shd w:val="clear" w:color="auto" w:fill="auto"/>
            <w:noWrap/>
            <w:vAlign w:val="center"/>
            <w:hideMark/>
          </w:tcPr>
          <w:p w14:paraId="33E78540"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5.24</w:t>
            </w:r>
          </w:p>
        </w:tc>
        <w:tc>
          <w:tcPr>
            <w:tcW w:w="709" w:type="dxa"/>
            <w:tcBorders>
              <w:top w:val="single" w:sz="4" w:space="0" w:color="auto"/>
              <w:left w:val="nil"/>
              <w:right w:val="nil"/>
            </w:tcBorders>
            <w:shd w:val="clear" w:color="auto" w:fill="auto"/>
            <w:noWrap/>
            <w:vAlign w:val="center"/>
            <w:hideMark/>
          </w:tcPr>
          <w:p w14:paraId="53EFC4DC"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3.63</w:t>
            </w:r>
          </w:p>
        </w:tc>
        <w:tc>
          <w:tcPr>
            <w:tcW w:w="567" w:type="dxa"/>
            <w:tcBorders>
              <w:top w:val="single" w:sz="4" w:space="0" w:color="auto"/>
              <w:left w:val="nil"/>
              <w:right w:val="nil"/>
            </w:tcBorders>
            <w:shd w:val="clear" w:color="auto" w:fill="auto"/>
            <w:noWrap/>
            <w:vAlign w:val="center"/>
            <w:hideMark/>
          </w:tcPr>
          <w:p w14:paraId="3060193E"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0.20</w:t>
            </w:r>
          </w:p>
        </w:tc>
        <w:tc>
          <w:tcPr>
            <w:tcW w:w="878" w:type="dxa"/>
            <w:tcBorders>
              <w:top w:val="single" w:sz="4" w:space="0" w:color="auto"/>
              <w:left w:val="nil"/>
            </w:tcBorders>
            <w:shd w:val="clear" w:color="auto" w:fill="auto"/>
            <w:noWrap/>
            <w:vAlign w:val="center"/>
            <w:hideMark/>
          </w:tcPr>
          <w:p w14:paraId="71B539E2" w14:textId="77777777" w:rsidR="00F26890" w:rsidRPr="0084045A" w:rsidRDefault="00F26890" w:rsidP="003F0904">
            <w:pPr>
              <w:spacing w:after="0" w:line="480" w:lineRule="auto"/>
              <w:jc w:val="center"/>
              <w:rPr>
                <w:rFonts w:ascii="Arial" w:eastAsia="Times New Roman" w:hAnsi="Arial" w:cs="Arial"/>
                <w:b/>
                <w:bCs/>
                <w:noProof/>
                <w:color w:val="000000"/>
                <w:sz w:val="16"/>
                <w:szCs w:val="16"/>
                <w:lang w:val="en-GB" w:eastAsia="es-MX"/>
              </w:rPr>
            </w:pPr>
            <w:r w:rsidRPr="0084045A">
              <w:rPr>
                <w:rFonts w:ascii="Arial" w:eastAsia="Times New Roman" w:hAnsi="Arial" w:cs="Arial"/>
                <w:b/>
                <w:bCs/>
                <w:noProof/>
                <w:color w:val="000000"/>
                <w:sz w:val="16"/>
                <w:szCs w:val="16"/>
                <w:lang w:val="en-GB" w:eastAsia="es-MX"/>
              </w:rPr>
              <w:t>4.26</w:t>
            </w:r>
          </w:p>
        </w:tc>
      </w:tr>
    </w:tbl>
    <w:p w14:paraId="09C82535" w14:textId="77777777" w:rsidR="00F26890" w:rsidRPr="0084045A" w:rsidRDefault="00F26890" w:rsidP="00F26890">
      <w:pPr>
        <w:spacing w:after="0" w:line="480" w:lineRule="auto"/>
        <w:jc w:val="both"/>
        <w:rPr>
          <w:rFonts w:ascii="Arial" w:hAnsi="Arial" w:cs="Arial"/>
          <w:noProof/>
          <w:color w:val="000000" w:themeColor="text1"/>
          <w:lang w:val="en-GB"/>
        </w:rPr>
      </w:pPr>
    </w:p>
    <w:p w14:paraId="6CE43548" w14:textId="77777777" w:rsidR="008C1BBF" w:rsidRPr="0084045A" w:rsidRDefault="008C1BBF" w:rsidP="008C1BBF">
      <w:pPr>
        <w:spacing w:after="0" w:line="480" w:lineRule="auto"/>
        <w:ind w:right="-235"/>
        <w:jc w:val="right"/>
        <w:rPr>
          <w:rFonts w:ascii="Arial" w:hAnsi="Arial" w:cs="Arial"/>
          <w:noProof/>
          <w:color w:val="000000" w:themeColor="text1"/>
          <w:sz w:val="20"/>
          <w:lang w:val="en-GB"/>
        </w:rPr>
      </w:pPr>
      <w:r w:rsidRPr="0084045A">
        <w:rPr>
          <w:rFonts w:ascii="Arial" w:hAnsi="Arial" w:cs="Arial"/>
          <w:i/>
          <w:noProof/>
          <w:color w:val="000000" w:themeColor="text1"/>
          <w:sz w:val="20"/>
          <w:lang w:val="en-GB"/>
        </w:rPr>
        <w:t>Source:</w:t>
      </w:r>
      <w:r w:rsidRPr="0084045A">
        <w:rPr>
          <w:rFonts w:ascii="Arial" w:hAnsi="Arial" w:cs="Arial"/>
          <w:noProof/>
          <w:color w:val="000000" w:themeColor="text1"/>
          <w:sz w:val="20"/>
          <w:lang w:val="en-GB"/>
        </w:rPr>
        <w:t xml:space="preserve"> SISVEFLU</w:t>
      </w:r>
    </w:p>
    <w:p w14:paraId="3FAA5C3D" w14:textId="77777777" w:rsidR="005A74BE" w:rsidRPr="0084045A" w:rsidRDefault="005A74BE" w:rsidP="005A74BE">
      <w:pPr>
        <w:spacing w:after="0" w:line="480" w:lineRule="auto"/>
        <w:jc w:val="center"/>
        <w:rPr>
          <w:rFonts w:ascii="Arial" w:hAnsi="Arial" w:cs="Arial"/>
          <w:b/>
          <w:noProof/>
          <w:color w:val="000000" w:themeColor="text1"/>
          <w:lang w:val="en-GB"/>
        </w:rPr>
      </w:pPr>
    </w:p>
    <w:p w14:paraId="29ADAD86" w14:textId="77777777" w:rsidR="004A1075" w:rsidRPr="0084045A" w:rsidRDefault="004A1075">
      <w:pPr>
        <w:rPr>
          <w:rFonts w:ascii="Arial" w:hAnsi="Arial" w:cs="Arial"/>
          <w:b/>
          <w:noProof/>
          <w:color w:val="000000" w:themeColor="text1"/>
          <w:lang w:val="en-GB"/>
        </w:rPr>
      </w:pPr>
      <w:r w:rsidRPr="0084045A">
        <w:rPr>
          <w:rFonts w:ascii="Arial" w:hAnsi="Arial" w:cs="Arial"/>
          <w:b/>
          <w:noProof/>
          <w:color w:val="000000" w:themeColor="text1"/>
          <w:lang w:val="en-GB"/>
        </w:rPr>
        <w:br w:type="page"/>
      </w:r>
    </w:p>
    <w:p w14:paraId="1CABBC02" w14:textId="5489CF9D" w:rsidR="009113A6" w:rsidRPr="0084045A" w:rsidRDefault="005A74BE" w:rsidP="00512905">
      <w:pPr>
        <w:pStyle w:val="Ttulo2"/>
        <w:rPr>
          <w:noProof/>
          <w:lang w:val="en-GB"/>
        </w:rPr>
      </w:pPr>
      <w:r w:rsidRPr="0084045A">
        <w:rPr>
          <w:noProof/>
          <w:lang w:val="en-GB"/>
        </w:rPr>
        <w:lastRenderedPageBreak/>
        <w:t>Table S</w:t>
      </w:r>
      <w:r w:rsidR="00EF2803" w:rsidRPr="0084045A">
        <w:rPr>
          <w:noProof/>
          <w:lang w:val="en-GB"/>
        </w:rPr>
        <w:t>5</w:t>
      </w:r>
      <w:r w:rsidRPr="0084045A">
        <w:rPr>
          <w:noProof/>
          <w:lang w:val="en-GB"/>
        </w:rPr>
        <w:t>.</w:t>
      </w:r>
      <w:r w:rsidR="00EE72A9" w:rsidRPr="0084045A">
        <w:rPr>
          <w:noProof/>
          <w:lang w:val="en-GB"/>
        </w:rPr>
        <w:t>4</w:t>
      </w:r>
      <w:r w:rsidR="004A1075" w:rsidRPr="0084045A">
        <w:rPr>
          <w:noProof/>
          <w:lang w:val="en-GB"/>
        </w:rPr>
        <w:t>.</w:t>
      </w:r>
      <w:r w:rsidRPr="0084045A">
        <w:rPr>
          <w:noProof/>
          <w:lang w:val="en-GB"/>
        </w:rPr>
        <w:t xml:space="preserve"> Lethality by age group and season</w:t>
      </w:r>
    </w:p>
    <w:tbl>
      <w:tblPr>
        <w:tblW w:w="9422"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134"/>
        <w:gridCol w:w="751"/>
        <w:gridCol w:w="778"/>
        <w:gridCol w:w="751"/>
        <w:gridCol w:w="651"/>
        <w:gridCol w:w="751"/>
        <w:gridCol w:w="751"/>
        <w:gridCol w:w="751"/>
        <w:gridCol w:w="751"/>
        <w:gridCol w:w="751"/>
        <w:gridCol w:w="751"/>
        <w:gridCol w:w="851"/>
      </w:tblGrid>
      <w:tr w:rsidR="009113A6" w:rsidRPr="002F66A4" w14:paraId="103CE0B7" w14:textId="77777777" w:rsidTr="002F66A4">
        <w:trPr>
          <w:cantSplit/>
          <w:trHeight w:val="1184"/>
          <w:jc w:val="center"/>
        </w:trPr>
        <w:tc>
          <w:tcPr>
            <w:tcW w:w="1134" w:type="dxa"/>
            <w:tcBorders>
              <w:bottom w:val="single" w:sz="4" w:space="0" w:color="auto"/>
            </w:tcBorders>
            <w:shd w:val="clear" w:color="auto" w:fill="auto"/>
            <w:noWrap/>
            <w:vAlign w:val="center"/>
            <w:hideMark/>
          </w:tcPr>
          <w:p w14:paraId="0D2FAD48" w14:textId="600CE508"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Age group</w:t>
            </w:r>
            <w:r w:rsidR="002229F4" w:rsidRPr="002F66A4">
              <w:rPr>
                <w:rFonts w:ascii="Arial" w:eastAsia="Times New Roman" w:hAnsi="Arial" w:cs="Arial"/>
                <w:b/>
                <w:bCs/>
                <w:noProof/>
                <w:color w:val="000000"/>
                <w:sz w:val="18"/>
                <w:szCs w:val="18"/>
                <w:lang w:val="en-GB" w:eastAsia="es-MX"/>
              </w:rPr>
              <w:t>, years</w:t>
            </w:r>
          </w:p>
        </w:tc>
        <w:tc>
          <w:tcPr>
            <w:tcW w:w="751" w:type="dxa"/>
            <w:tcBorders>
              <w:bottom w:val="single" w:sz="4" w:space="0" w:color="auto"/>
            </w:tcBorders>
            <w:shd w:val="clear" w:color="auto" w:fill="auto"/>
            <w:noWrap/>
            <w:textDirection w:val="btLr"/>
            <w:vAlign w:val="center"/>
            <w:hideMark/>
          </w:tcPr>
          <w:p w14:paraId="79175E6C" w14:textId="7D4AE50B"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2009</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2010</w:t>
            </w:r>
          </w:p>
        </w:tc>
        <w:tc>
          <w:tcPr>
            <w:tcW w:w="778" w:type="dxa"/>
            <w:tcBorders>
              <w:bottom w:val="single" w:sz="4" w:space="0" w:color="auto"/>
            </w:tcBorders>
            <w:shd w:val="clear" w:color="auto" w:fill="auto"/>
            <w:noWrap/>
            <w:textDirection w:val="btLr"/>
            <w:vAlign w:val="center"/>
            <w:hideMark/>
          </w:tcPr>
          <w:p w14:paraId="108E4914" w14:textId="3D41D015"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2010</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2011</w:t>
            </w:r>
          </w:p>
        </w:tc>
        <w:tc>
          <w:tcPr>
            <w:tcW w:w="751" w:type="dxa"/>
            <w:tcBorders>
              <w:bottom w:val="single" w:sz="4" w:space="0" w:color="auto"/>
            </w:tcBorders>
            <w:shd w:val="clear" w:color="auto" w:fill="auto"/>
            <w:noWrap/>
            <w:textDirection w:val="btLr"/>
            <w:vAlign w:val="center"/>
            <w:hideMark/>
          </w:tcPr>
          <w:p w14:paraId="3D9630D9" w14:textId="20D87D7D"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2011</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2012</w:t>
            </w:r>
          </w:p>
        </w:tc>
        <w:tc>
          <w:tcPr>
            <w:tcW w:w="651" w:type="dxa"/>
            <w:tcBorders>
              <w:bottom w:val="single" w:sz="4" w:space="0" w:color="auto"/>
            </w:tcBorders>
            <w:shd w:val="clear" w:color="auto" w:fill="auto"/>
            <w:noWrap/>
            <w:textDirection w:val="btLr"/>
            <w:vAlign w:val="center"/>
            <w:hideMark/>
          </w:tcPr>
          <w:p w14:paraId="45DCD198" w14:textId="2C52DF4E"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2012</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2013</w:t>
            </w:r>
          </w:p>
        </w:tc>
        <w:tc>
          <w:tcPr>
            <w:tcW w:w="751" w:type="dxa"/>
            <w:tcBorders>
              <w:bottom w:val="single" w:sz="4" w:space="0" w:color="auto"/>
            </w:tcBorders>
            <w:shd w:val="clear" w:color="auto" w:fill="auto"/>
            <w:noWrap/>
            <w:textDirection w:val="btLr"/>
            <w:vAlign w:val="center"/>
            <w:hideMark/>
          </w:tcPr>
          <w:p w14:paraId="4361891D" w14:textId="024D8456"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2013</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2014</w:t>
            </w:r>
          </w:p>
        </w:tc>
        <w:tc>
          <w:tcPr>
            <w:tcW w:w="751" w:type="dxa"/>
            <w:tcBorders>
              <w:bottom w:val="single" w:sz="4" w:space="0" w:color="auto"/>
            </w:tcBorders>
            <w:shd w:val="clear" w:color="auto" w:fill="auto"/>
            <w:noWrap/>
            <w:textDirection w:val="btLr"/>
            <w:vAlign w:val="center"/>
            <w:hideMark/>
          </w:tcPr>
          <w:p w14:paraId="0FD5EFA9" w14:textId="72DA9847"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2014</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2015</w:t>
            </w:r>
          </w:p>
        </w:tc>
        <w:tc>
          <w:tcPr>
            <w:tcW w:w="751" w:type="dxa"/>
            <w:tcBorders>
              <w:bottom w:val="single" w:sz="4" w:space="0" w:color="auto"/>
            </w:tcBorders>
            <w:shd w:val="clear" w:color="auto" w:fill="auto"/>
            <w:noWrap/>
            <w:textDirection w:val="btLr"/>
            <w:vAlign w:val="center"/>
            <w:hideMark/>
          </w:tcPr>
          <w:p w14:paraId="1D57DCDF" w14:textId="4710CF1C"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2015</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2016</w:t>
            </w:r>
          </w:p>
        </w:tc>
        <w:tc>
          <w:tcPr>
            <w:tcW w:w="751" w:type="dxa"/>
            <w:tcBorders>
              <w:bottom w:val="single" w:sz="4" w:space="0" w:color="auto"/>
            </w:tcBorders>
            <w:shd w:val="clear" w:color="auto" w:fill="auto"/>
            <w:noWrap/>
            <w:textDirection w:val="btLr"/>
            <w:vAlign w:val="center"/>
            <w:hideMark/>
          </w:tcPr>
          <w:p w14:paraId="4EC10C83" w14:textId="6AE6448E"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2016</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2017</w:t>
            </w:r>
          </w:p>
        </w:tc>
        <w:tc>
          <w:tcPr>
            <w:tcW w:w="751" w:type="dxa"/>
            <w:tcBorders>
              <w:bottom w:val="single" w:sz="4" w:space="0" w:color="auto"/>
            </w:tcBorders>
            <w:shd w:val="clear" w:color="auto" w:fill="auto"/>
            <w:noWrap/>
            <w:textDirection w:val="btLr"/>
            <w:vAlign w:val="center"/>
            <w:hideMark/>
          </w:tcPr>
          <w:p w14:paraId="5F09CB97" w14:textId="1EE0DE32"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2017</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2018</w:t>
            </w:r>
          </w:p>
        </w:tc>
        <w:tc>
          <w:tcPr>
            <w:tcW w:w="751" w:type="dxa"/>
            <w:tcBorders>
              <w:bottom w:val="single" w:sz="4" w:space="0" w:color="auto"/>
            </w:tcBorders>
            <w:shd w:val="clear" w:color="auto" w:fill="auto"/>
            <w:noWrap/>
            <w:textDirection w:val="btLr"/>
            <w:vAlign w:val="center"/>
            <w:hideMark/>
          </w:tcPr>
          <w:p w14:paraId="15D43D12" w14:textId="33B8D924"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2018</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2019</w:t>
            </w:r>
          </w:p>
        </w:tc>
        <w:tc>
          <w:tcPr>
            <w:tcW w:w="851" w:type="dxa"/>
            <w:tcBorders>
              <w:bottom w:val="single" w:sz="4" w:space="0" w:color="auto"/>
            </w:tcBorders>
            <w:shd w:val="clear" w:color="auto" w:fill="auto"/>
            <w:noWrap/>
            <w:vAlign w:val="center"/>
            <w:hideMark/>
          </w:tcPr>
          <w:p w14:paraId="0A378D85" w14:textId="77777777"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Average</w:t>
            </w:r>
          </w:p>
        </w:tc>
      </w:tr>
      <w:tr w:rsidR="00205869" w:rsidRPr="002F66A4" w14:paraId="018894B1" w14:textId="77777777" w:rsidTr="002F66A4">
        <w:trPr>
          <w:trHeight w:val="315"/>
          <w:jc w:val="center"/>
        </w:trPr>
        <w:tc>
          <w:tcPr>
            <w:tcW w:w="1134" w:type="dxa"/>
            <w:tcBorders>
              <w:bottom w:val="nil"/>
              <w:right w:val="nil"/>
            </w:tcBorders>
            <w:shd w:val="clear" w:color="auto" w:fill="auto"/>
            <w:noWrap/>
            <w:vAlign w:val="center"/>
            <w:hideMark/>
          </w:tcPr>
          <w:p w14:paraId="0A858534" w14:textId="6F63D5DB" w:rsidR="00205869" w:rsidRPr="002F66A4" w:rsidRDefault="00205869" w:rsidP="00205869">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0</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4</w:t>
            </w:r>
          </w:p>
        </w:tc>
        <w:tc>
          <w:tcPr>
            <w:tcW w:w="751" w:type="dxa"/>
            <w:tcBorders>
              <w:left w:val="nil"/>
              <w:bottom w:val="nil"/>
              <w:right w:val="nil"/>
            </w:tcBorders>
            <w:shd w:val="clear" w:color="auto" w:fill="auto"/>
            <w:noWrap/>
            <w:vAlign w:val="center"/>
            <w:hideMark/>
          </w:tcPr>
          <w:p w14:paraId="3F53E2A0"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1.83%</w:t>
            </w:r>
          </w:p>
        </w:tc>
        <w:tc>
          <w:tcPr>
            <w:tcW w:w="778" w:type="dxa"/>
            <w:tcBorders>
              <w:left w:val="nil"/>
              <w:bottom w:val="nil"/>
              <w:right w:val="nil"/>
            </w:tcBorders>
            <w:shd w:val="clear" w:color="auto" w:fill="auto"/>
            <w:noWrap/>
            <w:vAlign w:val="center"/>
            <w:hideMark/>
          </w:tcPr>
          <w:p w14:paraId="1029D996"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0.45%</w:t>
            </w:r>
          </w:p>
        </w:tc>
        <w:tc>
          <w:tcPr>
            <w:tcW w:w="751" w:type="dxa"/>
            <w:tcBorders>
              <w:left w:val="nil"/>
              <w:bottom w:val="nil"/>
              <w:right w:val="nil"/>
            </w:tcBorders>
            <w:shd w:val="clear" w:color="auto" w:fill="auto"/>
            <w:noWrap/>
            <w:vAlign w:val="center"/>
            <w:hideMark/>
          </w:tcPr>
          <w:p w14:paraId="308D1195"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3.43%</w:t>
            </w:r>
          </w:p>
        </w:tc>
        <w:tc>
          <w:tcPr>
            <w:tcW w:w="651" w:type="dxa"/>
            <w:tcBorders>
              <w:left w:val="nil"/>
              <w:bottom w:val="nil"/>
              <w:right w:val="nil"/>
            </w:tcBorders>
            <w:shd w:val="clear" w:color="auto" w:fill="auto"/>
            <w:noWrap/>
            <w:vAlign w:val="center"/>
            <w:hideMark/>
          </w:tcPr>
          <w:p w14:paraId="2EE83C8C"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1.47%</w:t>
            </w:r>
          </w:p>
        </w:tc>
        <w:tc>
          <w:tcPr>
            <w:tcW w:w="751" w:type="dxa"/>
            <w:tcBorders>
              <w:left w:val="nil"/>
              <w:bottom w:val="nil"/>
              <w:right w:val="nil"/>
            </w:tcBorders>
            <w:shd w:val="clear" w:color="auto" w:fill="auto"/>
            <w:noWrap/>
            <w:vAlign w:val="center"/>
            <w:hideMark/>
          </w:tcPr>
          <w:p w14:paraId="1E67A246"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5.48%</w:t>
            </w:r>
          </w:p>
        </w:tc>
        <w:tc>
          <w:tcPr>
            <w:tcW w:w="751" w:type="dxa"/>
            <w:tcBorders>
              <w:left w:val="nil"/>
              <w:bottom w:val="nil"/>
              <w:right w:val="nil"/>
            </w:tcBorders>
            <w:shd w:val="clear" w:color="auto" w:fill="auto"/>
            <w:noWrap/>
            <w:vAlign w:val="center"/>
            <w:hideMark/>
          </w:tcPr>
          <w:p w14:paraId="08C921FD"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1.36%</w:t>
            </w:r>
          </w:p>
        </w:tc>
        <w:tc>
          <w:tcPr>
            <w:tcW w:w="751" w:type="dxa"/>
            <w:tcBorders>
              <w:left w:val="nil"/>
              <w:bottom w:val="nil"/>
              <w:right w:val="nil"/>
            </w:tcBorders>
            <w:shd w:val="clear" w:color="auto" w:fill="auto"/>
            <w:noWrap/>
            <w:vAlign w:val="center"/>
            <w:hideMark/>
          </w:tcPr>
          <w:p w14:paraId="2729901F"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4.61%</w:t>
            </w:r>
          </w:p>
        </w:tc>
        <w:tc>
          <w:tcPr>
            <w:tcW w:w="751" w:type="dxa"/>
            <w:tcBorders>
              <w:left w:val="nil"/>
              <w:bottom w:val="nil"/>
              <w:right w:val="nil"/>
            </w:tcBorders>
            <w:shd w:val="clear" w:color="auto" w:fill="auto"/>
            <w:noWrap/>
            <w:vAlign w:val="center"/>
            <w:hideMark/>
          </w:tcPr>
          <w:p w14:paraId="008ACB5C"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3.45%</w:t>
            </w:r>
          </w:p>
        </w:tc>
        <w:tc>
          <w:tcPr>
            <w:tcW w:w="751" w:type="dxa"/>
            <w:tcBorders>
              <w:left w:val="nil"/>
              <w:bottom w:val="nil"/>
              <w:right w:val="nil"/>
            </w:tcBorders>
            <w:shd w:val="clear" w:color="auto" w:fill="auto"/>
            <w:noWrap/>
            <w:vAlign w:val="center"/>
            <w:hideMark/>
          </w:tcPr>
          <w:p w14:paraId="67A83095"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2.16%</w:t>
            </w:r>
          </w:p>
        </w:tc>
        <w:tc>
          <w:tcPr>
            <w:tcW w:w="751" w:type="dxa"/>
            <w:tcBorders>
              <w:left w:val="nil"/>
              <w:bottom w:val="nil"/>
              <w:right w:val="nil"/>
            </w:tcBorders>
            <w:shd w:val="clear" w:color="auto" w:fill="auto"/>
            <w:noWrap/>
            <w:vAlign w:val="center"/>
            <w:hideMark/>
          </w:tcPr>
          <w:p w14:paraId="3A5CABC2"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8.11%</w:t>
            </w:r>
          </w:p>
        </w:tc>
        <w:tc>
          <w:tcPr>
            <w:tcW w:w="851" w:type="dxa"/>
            <w:tcBorders>
              <w:left w:val="nil"/>
              <w:bottom w:val="nil"/>
            </w:tcBorders>
            <w:shd w:val="clear" w:color="auto" w:fill="auto"/>
            <w:noWrap/>
            <w:vAlign w:val="center"/>
            <w:hideMark/>
          </w:tcPr>
          <w:p w14:paraId="1035F870" w14:textId="77777777" w:rsidR="00205869" w:rsidRPr="002F66A4" w:rsidRDefault="00205869" w:rsidP="00205869">
            <w:pPr>
              <w:spacing w:after="0" w:line="480" w:lineRule="auto"/>
              <w:jc w:val="center"/>
              <w:rPr>
                <w:rFonts w:ascii="Arial" w:eastAsia="Times New Roman" w:hAnsi="Arial" w:cs="Arial"/>
                <w:b/>
                <w:bCs/>
                <w:noProof/>
                <w:color w:val="000000"/>
                <w:sz w:val="18"/>
                <w:szCs w:val="18"/>
                <w:lang w:val="en-GB" w:eastAsia="es-MX"/>
              </w:rPr>
            </w:pPr>
            <w:r w:rsidRPr="002F66A4">
              <w:rPr>
                <w:rFonts w:ascii="Arial" w:hAnsi="Arial" w:cs="Arial"/>
                <w:b/>
                <w:noProof/>
                <w:color w:val="000000"/>
                <w:sz w:val="18"/>
                <w:szCs w:val="18"/>
                <w:lang w:val="en-GB"/>
              </w:rPr>
              <w:t>3.13%</w:t>
            </w:r>
          </w:p>
        </w:tc>
      </w:tr>
      <w:tr w:rsidR="00205869" w:rsidRPr="002F66A4" w14:paraId="7C882D9C" w14:textId="77777777" w:rsidTr="002F66A4">
        <w:trPr>
          <w:trHeight w:val="330"/>
          <w:jc w:val="center"/>
        </w:trPr>
        <w:tc>
          <w:tcPr>
            <w:tcW w:w="1134" w:type="dxa"/>
            <w:tcBorders>
              <w:top w:val="nil"/>
              <w:bottom w:val="nil"/>
              <w:right w:val="nil"/>
            </w:tcBorders>
            <w:shd w:val="clear" w:color="auto" w:fill="auto"/>
            <w:noWrap/>
            <w:vAlign w:val="center"/>
            <w:hideMark/>
          </w:tcPr>
          <w:p w14:paraId="6FBD0006" w14:textId="3DEB3A39" w:rsidR="00205869" w:rsidRPr="002F66A4" w:rsidRDefault="00205869" w:rsidP="00205869">
            <w:pPr>
              <w:spacing w:after="0" w:line="480" w:lineRule="auto"/>
              <w:jc w:val="center"/>
              <w:rPr>
                <w:rFonts w:ascii="Arial" w:eastAsia="Times New Roman" w:hAnsi="Arial" w:cs="Arial"/>
                <w:b/>
                <w:bCs/>
                <w:noProof/>
                <w:sz w:val="18"/>
                <w:szCs w:val="18"/>
                <w:lang w:val="en-GB" w:eastAsia="es-MX"/>
              </w:rPr>
            </w:pPr>
            <w:r w:rsidRPr="002F66A4">
              <w:rPr>
                <w:rFonts w:ascii="Arial" w:eastAsia="Times New Roman" w:hAnsi="Arial" w:cs="Arial"/>
                <w:b/>
                <w:bCs/>
                <w:noProof/>
                <w:sz w:val="18"/>
                <w:szCs w:val="18"/>
                <w:lang w:val="en-GB" w:eastAsia="es-MX"/>
              </w:rPr>
              <w:t>5</w:t>
            </w:r>
            <w:r w:rsidR="00C23EC8" w:rsidRPr="002F66A4">
              <w:rPr>
                <w:rFonts w:ascii="Arial" w:eastAsia="Times New Roman" w:hAnsi="Arial" w:cs="Arial"/>
                <w:b/>
                <w:bCs/>
                <w:noProof/>
                <w:sz w:val="18"/>
                <w:szCs w:val="18"/>
                <w:lang w:val="en-GB" w:eastAsia="es-MX"/>
              </w:rPr>
              <w:t>–</w:t>
            </w:r>
            <w:r w:rsidRPr="002F66A4">
              <w:rPr>
                <w:rFonts w:ascii="Arial" w:eastAsia="Times New Roman" w:hAnsi="Arial" w:cs="Arial"/>
                <w:b/>
                <w:bCs/>
                <w:noProof/>
                <w:sz w:val="18"/>
                <w:szCs w:val="18"/>
                <w:lang w:val="en-GB" w:eastAsia="es-MX"/>
              </w:rPr>
              <w:t>11</w:t>
            </w:r>
          </w:p>
        </w:tc>
        <w:tc>
          <w:tcPr>
            <w:tcW w:w="751" w:type="dxa"/>
            <w:tcBorders>
              <w:top w:val="nil"/>
              <w:left w:val="nil"/>
              <w:bottom w:val="nil"/>
              <w:right w:val="nil"/>
            </w:tcBorders>
            <w:shd w:val="clear" w:color="auto" w:fill="auto"/>
            <w:noWrap/>
            <w:vAlign w:val="center"/>
            <w:hideMark/>
          </w:tcPr>
          <w:p w14:paraId="40B6C916" w14:textId="77777777" w:rsidR="00205869" w:rsidRPr="002F66A4" w:rsidRDefault="00205869" w:rsidP="00205869">
            <w:pPr>
              <w:spacing w:after="0" w:line="480" w:lineRule="auto"/>
              <w:jc w:val="center"/>
              <w:rPr>
                <w:rFonts w:ascii="Arial" w:eastAsia="Times New Roman" w:hAnsi="Arial" w:cs="Arial"/>
                <w:noProof/>
                <w:sz w:val="18"/>
                <w:szCs w:val="18"/>
                <w:lang w:val="en-GB" w:eastAsia="es-MX"/>
              </w:rPr>
            </w:pPr>
            <w:r w:rsidRPr="002F66A4">
              <w:rPr>
                <w:rFonts w:ascii="Arial" w:eastAsia="Times New Roman" w:hAnsi="Arial" w:cs="Arial"/>
                <w:noProof/>
                <w:sz w:val="18"/>
                <w:szCs w:val="18"/>
                <w:lang w:val="en-GB" w:eastAsia="es-MX"/>
              </w:rPr>
              <w:t>1.54%</w:t>
            </w:r>
          </w:p>
        </w:tc>
        <w:tc>
          <w:tcPr>
            <w:tcW w:w="778" w:type="dxa"/>
            <w:tcBorders>
              <w:top w:val="nil"/>
              <w:left w:val="nil"/>
              <w:bottom w:val="nil"/>
              <w:right w:val="nil"/>
            </w:tcBorders>
            <w:shd w:val="clear" w:color="auto" w:fill="auto"/>
            <w:noWrap/>
            <w:vAlign w:val="center"/>
            <w:hideMark/>
          </w:tcPr>
          <w:p w14:paraId="3F4D2D61" w14:textId="77777777" w:rsidR="00205869" w:rsidRPr="002F66A4" w:rsidRDefault="00205869" w:rsidP="00205869">
            <w:pPr>
              <w:spacing w:after="0" w:line="480" w:lineRule="auto"/>
              <w:jc w:val="center"/>
              <w:rPr>
                <w:rFonts w:ascii="Arial" w:eastAsia="Times New Roman" w:hAnsi="Arial" w:cs="Arial"/>
                <w:noProof/>
                <w:sz w:val="18"/>
                <w:szCs w:val="18"/>
                <w:lang w:val="en-GB" w:eastAsia="es-MX"/>
              </w:rPr>
            </w:pPr>
            <w:r w:rsidRPr="002F66A4">
              <w:rPr>
                <w:rFonts w:ascii="Arial" w:eastAsia="Times New Roman" w:hAnsi="Arial" w:cs="Arial"/>
                <w:noProof/>
                <w:sz w:val="18"/>
                <w:szCs w:val="18"/>
                <w:lang w:val="en-GB" w:eastAsia="es-MX"/>
              </w:rPr>
              <w:t>0.00%</w:t>
            </w:r>
          </w:p>
        </w:tc>
        <w:tc>
          <w:tcPr>
            <w:tcW w:w="751" w:type="dxa"/>
            <w:tcBorders>
              <w:top w:val="nil"/>
              <w:left w:val="nil"/>
              <w:bottom w:val="nil"/>
              <w:right w:val="nil"/>
            </w:tcBorders>
            <w:shd w:val="clear" w:color="auto" w:fill="auto"/>
            <w:noWrap/>
            <w:vAlign w:val="center"/>
            <w:hideMark/>
          </w:tcPr>
          <w:p w14:paraId="0ED2BAA8" w14:textId="77777777" w:rsidR="00205869" w:rsidRPr="002F66A4" w:rsidRDefault="00205869" w:rsidP="00205869">
            <w:pPr>
              <w:spacing w:after="0" w:line="480" w:lineRule="auto"/>
              <w:jc w:val="center"/>
              <w:rPr>
                <w:rFonts w:ascii="Arial" w:eastAsia="Times New Roman" w:hAnsi="Arial" w:cs="Arial"/>
                <w:noProof/>
                <w:sz w:val="18"/>
                <w:szCs w:val="18"/>
                <w:lang w:val="en-GB" w:eastAsia="es-MX"/>
              </w:rPr>
            </w:pPr>
            <w:r w:rsidRPr="002F66A4">
              <w:rPr>
                <w:rFonts w:ascii="Arial" w:eastAsia="Times New Roman" w:hAnsi="Arial" w:cs="Arial"/>
                <w:noProof/>
                <w:sz w:val="18"/>
                <w:szCs w:val="18"/>
                <w:lang w:val="en-GB" w:eastAsia="es-MX"/>
              </w:rPr>
              <w:t>0.93%</w:t>
            </w:r>
          </w:p>
        </w:tc>
        <w:tc>
          <w:tcPr>
            <w:tcW w:w="651" w:type="dxa"/>
            <w:tcBorders>
              <w:top w:val="nil"/>
              <w:left w:val="nil"/>
              <w:bottom w:val="nil"/>
              <w:right w:val="nil"/>
            </w:tcBorders>
            <w:shd w:val="clear" w:color="auto" w:fill="auto"/>
            <w:noWrap/>
            <w:vAlign w:val="center"/>
            <w:hideMark/>
          </w:tcPr>
          <w:p w14:paraId="454F7F65" w14:textId="77777777" w:rsidR="00205869" w:rsidRPr="002F66A4" w:rsidRDefault="00205869" w:rsidP="00205869">
            <w:pPr>
              <w:spacing w:after="0" w:line="480" w:lineRule="auto"/>
              <w:jc w:val="center"/>
              <w:rPr>
                <w:rFonts w:ascii="Arial" w:eastAsia="Times New Roman" w:hAnsi="Arial" w:cs="Arial"/>
                <w:noProof/>
                <w:sz w:val="18"/>
                <w:szCs w:val="18"/>
                <w:lang w:val="en-GB" w:eastAsia="es-MX"/>
              </w:rPr>
            </w:pPr>
            <w:r w:rsidRPr="002F66A4">
              <w:rPr>
                <w:rFonts w:ascii="Arial" w:eastAsia="Times New Roman" w:hAnsi="Arial" w:cs="Arial"/>
                <w:noProof/>
                <w:sz w:val="18"/>
                <w:szCs w:val="18"/>
                <w:lang w:val="en-GB" w:eastAsia="es-MX"/>
              </w:rPr>
              <w:t>0.44%</w:t>
            </w:r>
          </w:p>
        </w:tc>
        <w:tc>
          <w:tcPr>
            <w:tcW w:w="751" w:type="dxa"/>
            <w:tcBorders>
              <w:top w:val="nil"/>
              <w:left w:val="nil"/>
              <w:bottom w:val="nil"/>
              <w:right w:val="nil"/>
            </w:tcBorders>
            <w:shd w:val="clear" w:color="auto" w:fill="auto"/>
            <w:noWrap/>
            <w:vAlign w:val="center"/>
            <w:hideMark/>
          </w:tcPr>
          <w:p w14:paraId="15D720A8" w14:textId="77777777" w:rsidR="00205869" w:rsidRPr="002F66A4" w:rsidRDefault="00205869" w:rsidP="00205869">
            <w:pPr>
              <w:spacing w:after="0" w:line="480" w:lineRule="auto"/>
              <w:jc w:val="center"/>
              <w:rPr>
                <w:rFonts w:ascii="Arial" w:eastAsia="Times New Roman" w:hAnsi="Arial" w:cs="Arial"/>
                <w:noProof/>
                <w:sz w:val="18"/>
                <w:szCs w:val="18"/>
                <w:lang w:val="en-GB" w:eastAsia="es-MX"/>
              </w:rPr>
            </w:pPr>
            <w:r w:rsidRPr="002F66A4">
              <w:rPr>
                <w:rFonts w:ascii="Arial" w:eastAsia="Times New Roman" w:hAnsi="Arial" w:cs="Arial"/>
                <w:noProof/>
                <w:sz w:val="18"/>
                <w:szCs w:val="18"/>
                <w:lang w:val="en-GB" w:eastAsia="es-MX"/>
              </w:rPr>
              <w:t>2.60%</w:t>
            </w:r>
          </w:p>
        </w:tc>
        <w:tc>
          <w:tcPr>
            <w:tcW w:w="751" w:type="dxa"/>
            <w:tcBorders>
              <w:top w:val="nil"/>
              <w:left w:val="nil"/>
              <w:bottom w:val="nil"/>
              <w:right w:val="nil"/>
            </w:tcBorders>
            <w:shd w:val="clear" w:color="auto" w:fill="auto"/>
            <w:noWrap/>
            <w:vAlign w:val="center"/>
            <w:hideMark/>
          </w:tcPr>
          <w:p w14:paraId="790C9423" w14:textId="77777777" w:rsidR="00205869" w:rsidRPr="002F66A4" w:rsidRDefault="00205869" w:rsidP="00205869">
            <w:pPr>
              <w:spacing w:after="0" w:line="480" w:lineRule="auto"/>
              <w:jc w:val="center"/>
              <w:rPr>
                <w:rFonts w:ascii="Arial" w:eastAsia="Times New Roman" w:hAnsi="Arial" w:cs="Arial"/>
                <w:noProof/>
                <w:sz w:val="18"/>
                <w:szCs w:val="18"/>
                <w:lang w:val="en-GB" w:eastAsia="es-MX"/>
              </w:rPr>
            </w:pPr>
            <w:r w:rsidRPr="002F66A4">
              <w:rPr>
                <w:rFonts w:ascii="Arial" w:eastAsia="Times New Roman" w:hAnsi="Arial" w:cs="Arial"/>
                <w:noProof/>
                <w:sz w:val="18"/>
                <w:szCs w:val="18"/>
                <w:lang w:val="en-GB" w:eastAsia="es-MX"/>
              </w:rPr>
              <w:t>0.97%</w:t>
            </w:r>
          </w:p>
        </w:tc>
        <w:tc>
          <w:tcPr>
            <w:tcW w:w="751" w:type="dxa"/>
            <w:tcBorders>
              <w:top w:val="nil"/>
              <w:left w:val="nil"/>
              <w:bottom w:val="nil"/>
              <w:right w:val="nil"/>
            </w:tcBorders>
            <w:shd w:val="clear" w:color="auto" w:fill="auto"/>
            <w:noWrap/>
            <w:vAlign w:val="center"/>
            <w:hideMark/>
          </w:tcPr>
          <w:p w14:paraId="729BEB03" w14:textId="77777777" w:rsidR="00205869" w:rsidRPr="002F66A4" w:rsidRDefault="00205869" w:rsidP="00205869">
            <w:pPr>
              <w:spacing w:after="0" w:line="480" w:lineRule="auto"/>
              <w:jc w:val="center"/>
              <w:rPr>
                <w:rFonts w:ascii="Arial" w:eastAsia="Times New Roman" w:hAnsi="Arial" w:cs="Arial"/>
                <w:noProof/>
                <w:sz w:val="18"/>
                <w:szCs w:val="18"/>
                <w:lang w:val="en-GB" w:eastAsia="es-MX"/>
              </w:rPr>
            </w:pPr>
            <w:r w:rsidRPr="002F66A4">
              <w:rPr>
                <w:rFonts w:ascii="Arial" w:eastAsia="Times New Roman" w:hAnsi="Arial" w:cs="Arial"/>
                <w:noProof/>
                <w:sz w:val="18"/>
                <w:szCs w:val="18"/>
                <w:lang w:val="en-GB" w:eastAsia="es-MX"/>
              </w:rPr>
              <w:t>2.58%</w:t>
            </w:r>
          </w:p>
        </w:tc>
        <w:tc>
          <w:tcPr>
            <w:tcW w:w="751" w:type="dxa"/>
            <w:tcBorders>
              <w:top w:val="nil"/>
              <w:left w:val="nil"/>
              <w:bottom w:val="nil"/>
              <w:right w:val="nil"/>
            </w:tcBorders>
            <w:shd w:val="clear" w:color="auto" w:fill="auto"/>
            <w:noWrap/>
            <w:vAlign w:val="center"/>
            <w:hideMark/>
          </w:tcPr>
          <w:p w14:paraId="6293CC4C" w14:textId="77777777" w:rsidR="00205869" w:rsidRPr="002F66A4" w:rsidRDefault="00205869" w:rsidP="00205869">
            <w:pPr>
              <w:spacing w:after="0" w:line="480" w:lineRule="auto"/>
              <w:jc w:val="center"/>
              <w:rPr>
                <w:rFonts w:ascii="Arial" w:eastAsia="Times New Roman" w:hAnsi="Arial" w:cs="Arial"/>
                <w:noProof/>
                <w:sz w:val="18"/>
                <w:szCs w:val="18"/>
                <w:lang w:val="en-GB" w:eastAsia="es-MX"/>
              </w:rPr>
            </w:pPr>
            <w:r w:rsidRPr="002F66A4">
              <w:rPr>
                <w:rFonts w:ascii="Arial" w:eastAsia="Times New Roman" w:hAnsi="Arial" w:cs="Arial"/>
                <w:noProof/>
                <w:sz w:val="18"/>
                <w:szCs w:val="18"/>
                <w:lang w:val="en-GB" w:eastAsia="es-MX"/>
              </w:rPr>
              <w:t>1.52%</w:t>
            </w:r>
          </w:p>
        </w:tc>
        <w:tc>
          <w:tcPr>
            <w:tcW w:w="751" w:type="dxa"/>
            <w:tcBorders>
              <w:top w:val="nil"/>
              <w:left w:val="nil"/>
              <w:bottom w:val="nil"/>
              <w:right w:val="nil"/>
            </w:tcBorders>
            <w:shd w:val="clear" w:color="auto" w:fill="auto"/>
            <w:noWrap/>
            <w:vAlign w:val="center"/>
            <w:hideMark/>
          </w:tcPr>
          <w:p w14:paraId="5B116356" w14:textId="77777777" w:rsidR="00205869" w:rsidRPr="002F66A4" w:rsidRDefault="00205869" w:rsidP="00205869">
            <w:pPr>
              <w:spacing w:after="0" w:line="480" w:lineRule="auto"/>
              <w:jc w:val="center"/>
              <w:rPr>
                <w:rFonts w:ascii="Arial" w:eastAsia="Times New Roman" w:hAnsi="Arial" w:cs="Arial"/>
                <w:noProof/>
                <w:sz w:val="18"/>
                <w:szCs w:val="18"/>
                <w:lang w:val="en-GB" w:eastAsia="es-MX"/>
              </w:rPr>
            </w:pPr>
            <w:r w:rsidRPr="002F66A4">
              <w:rPr>
                <w:rFonts w:ascii="Arial" w:eastAsia="Times New Roman" w:hAnsi="Arial" w:cs="Arial"/>
                <w:noProof/>
                <w:sz w:val="18"/>
                <w:szCs w:val="18"/>
                <w:lang w:val="en-GB" w:eastAsia="es-MX"/>
              </w:rPr>
              <w:t>1.72%</w:t>
            </w:r>
          </w:p>
        </w:tc>
        <w:tc>
          <w:tcPr>
            <w:tcW w:w="751" w:type="dxa"/>
            <w:tcBorders>
              <w:top w:val="nil"/>
              <w:left w:val="nil"/>
              <w:bottom w:val="nil"/>
              <w:right w:val="nil"/>
            </w:tcBorders>
            <w:shd w:val="clear" w:color="auto" w:fill="auto"/>
            <w:noWrap/>
            <w:vAlign w:val="center"/>
            <w:hideMark/>
          </w:tcPr>
          <w:p w14:paraId="451CD161" w14:textId="77777777" w:rsidR="00205869" w:rsidRPr="002F66A4" w:rsidRDefault="00205869" w:rsidP="00205869">
            <w:pPr>
              <w:spacing w:after="0" w:line="480" w:lineRule="auto"/>
              <w:jc w:val="center"/>
              <w:rPr>
                <w:rFonts w:ascii="Arial" w:eastAsia="Times New Roman" w:hAnsi="Arial" w:cs="Arial"/>
                <w:noProof/>
                <w:sz w:val="18"/>
                <w:szCs w:val="18"/>
                <w:lang w:val="en-GB" w:eastAsia="es-MX"/>
              </w:rPr>
            </w:pPr>
            <w:r w:rsidRPr="002F66A4">
              <w:rPr>
                <w:rFonts w:ascii="Arial" w:eastAsia="Times New Roman" w:hAnsi="Arial" w:cs="Arial"/>
                <w:noProof/>
                <w:sz w:val="18"/>
                <w:szCs w:val="18"/>
                <w:lang w:val="en-GB" w:eastAsia="es-MX"/>
              </w:rPr>
              <w:t>0.00%</w:t>
            </w:r>
          </w:p>
        </w:tc>
        <w:tc>
          <w:tcPr>
            <w:tcW w:w="851" w:type="dxa"/>
            <w:tcBorders>
              <w:top w:val="nil"/>
              <w:left w:val="nil"/>
              <w:bottom w:val="nil"/>
            </w:tcBorders>
            <w:shd w:val="clear" w:color="auto" w:fill="auto"/>
            <w:noWrap/>
            <w:vAlign w:val="center"/>
            <w:hideMark/>
          </w:tcPr>
          <w:p w14:paraId="7D9948BB" w14:textId="77777777" w:rsidR="00205869" w:rsidRPr="002F66A4" w:rsidRDefault="00205869" w:rsidP="00205869">
            <w:pPr>
              <w:spacing w:after="0" w:line="480" w:lineRule="auto"/>
              <w:jc w:val="center"/>
              <w:rPr>
                <w:rFonts w:ascii="Arial" w:eastAsia="Times New Roman" w:hAnsi="Arial" w:cs="Arial"/>
                <w:b/>
                <w:bCs/>
                <w:noProof/>
                <w:sz w:val="18"/>
                <w:szCs w:val="18"/>
                <w:lang w:val="en-GB" w:eastAsia="es-MX"/>
              </w:rPr>
            </w:pPr>
            <w:r w:rsidRPr="002F66A4">
              <w:rPr>
                <w:rFonts w:ascii="Arial" w:hAnsi="Arial" w:cs="Arial"/>
                <w:b/>
                <w:noProof/>
                <w:sz w:val="18"/>
                <w:szCs w:val="18"/>
                <w:lang w:val="en-GB"/>
              </w:rPr>
              <w:t>1.46%</w:t>
            </w:r>
          </w:p>
        </w:tc>
      </w:tr>
      <w:tr w:rsidR="00205869" w:rsidRPr="002F66A4" w14:paraId="7392E2DC" w14:textId="77777777" w:rsidTr="002F66A4">
        <w:trPr>
          <w:trHeight w:val="315"/>
          <w:jc w:val="center"/>
        </w:trPr>
        <w:tc>
          <w:tcPr>
            <w:tcW w:w="1134" w:type="dxa"/>
            <w:tcBorders>
              <w:top w:val="nil"/>
              <w:bottom w:val="nil"/>
              <w:right w:val="nil"/>
            </w:tcBorders>
            <w:shd w:val="clear" w:color="auto" w:fill="auto"/>
            <w:noWrap/>
            <w:vAlign w:val="center"/>
            <w:hideMark/>
          </w:tcPr>
          <w:p w14:paraId="0F4AA74C" w14:textId="0641D0A3" w:rsidR="00205869" w:rsidRPr="002F66A4" w:rsidRDefault="00205869" w:rsidP="00205869">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12</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17</w:t>
            </w:r>
          </w:p>
        </w:tc>
        <w:tc>
          <w:tcPr>
            <w:tcW w:w="751" w:type="dxa"/>
            <w:tcBorders>
              <w:top w:val="nil"/>
              <w:left w:val="nil"/>
              <w:bottom w:val="nil"/>
              <w:right w:val="nil"/>
            </w:tcBorders>
            <w:shd w:val="clear" w:color="auto" w:fill="auto"/>
            <w:noWrap/>
            <w:vAlign w:val="center"/>
            <w:hideMark/>
          </w:tcPr>
          <w:p w14:paraId="3E00B832"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1.95%</w:t>
            </w:r>
          </w:p>
        </w:tc>
        <w:tc>
          <w:tcPr>
            <w:tcW w:w="778" w:type="dxa"/>
            <w:tcBorders>
              <w:top w:val="nil"/>
              <w:left w:val="nil"/>
              <w:bottom w:val="nil"/>
              <w:right w:val="nil"/>
            </w:tcBorders>
            <w:shd w:val="clear" w:color="auto" w:fill="auto"/>
            <w:noWrap/>
            <w:vAlign w:val="center"/>
            <w:hideMark/>
          </w:tcPr>
          <w:p w14:paraId="3CA728BC"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0.32%</w:t>
            </w:r>
          </w:p>
        </w:tc>
        <w:tc>
          <w:tcPr>
            <w:tcW w:w="751" w:type="dxa"/>
            <w:tcBorders>
              <w:top w:val="nil"/>
              <w:left w:val="nil"/>
              <w:bottom w:val="nil"/>
              <w:right w:val="nil"/>
            </w:tcBorders>
            <w:shd w:val="clear" w:color="auto" w:fill="auto"/>
            <w:noWrap/>
            <w:vAlign w:val="center"/>
            <w:hideMark/>
          </w:tcPr>
          <w:p w14:paraId="73D29494"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1.25%</w:t>
            </w:r>
          </w:p>
        </w:tc>
        <w:tc>
          <w:tcPr>
            <w:tcW w:w="651" w:type="dxa"/>
            <w:tcBorders>
              <w:top w:val="nil"/>
              <w:left w:val="nil"/>
              <w:bottom w:val="nil"/>
              <w:right w:val="nil"/>
            </w:tcBorders>
            <w:shd w:val="clear" w:color="auto" w:fill="auto"/>
            <w:noWrap/>
            <w:vAlign w:val="center"/>
            <w:hideMark/>
          </w:tcPr>
          <w:p w14:paraId="709ADB43"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0.36%</w:t>
            </w:r>
          </w:p>
        </w:tc>
        <w:tc>
          <w:tcPr>
            <w:tcW w:w="751" w:type="dxa"/>
            <w:tcBorders>
              <w:top w:val="nil"/>
              <w:left w:val="nil"/>
              <w:bottom w:val="nil"/>
              <w:right w:val="nil"/>
            </w:tcBorders>
            <w:shd w:val="clear" w:color="auto" w:fill="auto"/>
            <w:noWrap/>
            <w:vAlign w:val="center"/>
            <w:hideMark/>
          </w:tcPr>
          <w:p w14:paraId="7FDA8FF3"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2.39%</w:t>
            </w:r>
          </w:p>
        </w:tc>
        <w:tc>
          <w:tcPr>
            <w:tcW w:w="751" w:type="dxa"/>
            <w:tcBorders>
              <w:top w:val="nil"/>
              <w:left w:val="nil"/>
              <w:bottom w:val="nil"/>
              <w:right w:val="nil"/>
            </w:tcBorders>
            <w:shd w:val="clear" w:color="auto" w:fill="auto"/>
            <w:noWrap/>
            <w:vAlign w:val="center"/>
            <w:hideMark/>
          </w:tcPr>
          <w:p w14:paraId="7ED14BCB"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1.79%</w:t>
            </w:r>
          </w:p>
        </w:tc>
        <w:tc>
          <w:tcPr>
            <w:tcW w:w="751" w:type="dxa"/>
            <w:tcBorders>
              <w:top w:val="nil"/>
              <w:left w:val="nil"/>
              <w:bottom w:val="nil"/>
              <w:right w:val="nil"/>
            </w:tcBorders>
            <w:shd w:val="clear" w:color="auto" w:fill="auto"/>
            <w:noWrap/>
            <w:vAlign w:val="center"/>
            <w:hideMark/>
          </w:tcPr>
          <w:p w14:paraId="3E55A7F4"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1.58%</w:t>
            </w:r>
          </w:p>
        </w:tc>
        <w:tc>
          <w:tcPr>
            <w:tcW w:w="751" w:type="dxa"/>
            <w:tcBorders>
              <w:top w:val="nil"/>
              <w:left w:val="nil"/>
              <w:bottom w:val="nil"/>
              <w:right w:val="nil"/>
            </w:tcBorders>
            <w:shd w:val="clear" w:color="auto" w:fill="auto"/>
            <w:noWrap/>
            <w:vAlign w:val="center"/>
            <w:hideMark/>
          </w:tcPr>
          <w:p w14:paraId="77190332"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0.95%</w:t>
            </w:r>
          </w:p>
        </w:tc>
        <w:tc>
          <w:tcPr>
            <w:tcW w:w="751" w:type="dxa"/>
            <w:tcBorders>
              <w:top w:val="nil"/>
              <w:left w:val="nil"/>
              <w:bottom w:val="nil"/>
              <w:right w:val="nil"/>
            </w:tcBorders>
            <w:shd w:val="clear" w:color="auto" w:fill="auto"/>
            <w:noWrap/>
            <w:vAlign w:val="center"/>
            <w:hideMark/>
          </w:tcPr>
          <w:p w14:paraId="159C80EA"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2.26%</w:t>
            </w:r>
          </w:p>
        </w:tc>
        <w:tc>
          <w:tcPr>
            <w:tcW w:w="751" w:type="dxa"/>
            <w:tcBorders>
              <w:top w:val="nil"/>
              <w:left w:val="nil"/>
              <w:bottom w:val="nil"/>
              <w:right w:val="nil"/>
            </w:tcBorders>
            <w:shd w:val="clear" w:color="auto" w:fill="auto"/>
            <w:noWrap/>
            <w:vAlign w:val="center"/>
            <w:hideMark/>
          </w:tcPr>
          <w:p w14:paraId="300A4C47"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0.00%</w:t>
            </w:r>
          </w:p>
        </w:tc>
        <w:tc>
          <w:tcPr>
            <w:tcW w:w="851" w:type="dxa"/>
            <w:tcBorders>
              <w:top w:val="nil"/>
              <w:left w:val="nil"/>
              <w:bottom w:val="nil"/>
            </w:tcBorders>
            <w:shd w:val="clear" w:color="auto" w:fill="auto"/>
            <w:noWrap/>
            <w:vAlign w:val="center"/>
            <w:hideMark/>
          </w:tcPr>
          <w:p w14:paraId="161D0D46" w14:textId="77777777" w:rsidR="00205869" w:rsidRPr="002F66A4" w:rsidRDefault="00205869" w:rsidP="00205869">
            <w:pPr>
              <w:spacing w:after="0" w:line="480" w:lineRule="auto"/>
              <w:jc w:val="center"/>
              <w:rPr>
                <w:rFonts w:ascii="Arial" w:eastAsia="Times New Roman" w:hAnsi="Arial" w:cs="Arial"/>
                <w:b/>
                <w:bCs/>
                <w:noProof/>
                <w:color w:val="000000"/>
                <w:sz w:val="18"/>
                <w:szCs w:val="18"/>
                <w:lang w:val="en-GB" w:eastAsia="es-MX"/>
              </w:rPr>
            </w:pPr>
            <w:r w:rsidRPr="002F66A4">
              <w:rPr>
                <w:rFonts w:ascii="Arial" w:hAnsi="Arial" w:cs="Arial"/>
                <w:b/>
                <w:noProof/>
                <w:color w:val="000000"/>
                <w:sz w:val="18"/>
                <w:szCs w:val="18"/>
                <w:lang w:val="en-GB"/>
              </w:rPr>
              <w:t>1.42%</w:t>
            </w:r>
          </w:p>
        </w:tc>
      </w:tr>
      <w:tr w:rsidR="00205869" w:rsidRPr="002F66A4" w14:paraId="1B67A9BF" w14:textId="77777777" w:rsidTr="002F66A4">
        <w:trPr>
          <w:trHeight w:val="315"/>
          <w:jc w:val="center"/>
        </w:trPr>
        <w:tc>
          <w:tcPr>
            <w:tcW w:w="1134" w:type="dxa"/>
            <w:tcBorders>
              <w:top w:val="nil"/>
              <w:bottom w:val="nil"/>
              <w:right w:val="nil"/>
            </w:tcBorders>
            <w:shd w:val="clear" w:color="auto" w:fill="auto"/>
            <w:noWrap/>
            <w:vAlign w:val="center"/>
            <w:hideMark/>
          </w:tcPr>
          <w:p w14:paraId="6516071C" w14:textId="2F2C8B03" w:rsidR="00205869" w:rsidRPr="002F66A4" w:rsidRDefault="00205869" w:rsidP="00205869">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18</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49</w:t>
            </w:r>
          </w:p>
        </w:tc>
        <w:tc>
          <w:tcPr>
            <w:tcW w:w="751" w:type="dxa"/>
            <w:tcBorders>
              <w:top w:val="nil"/>
              <w:left w:val="nil"/>
              <w:bottom w:val="nil"/>
              <w:right w:val="nil"/>
            </w:tcBorders>
            <w:shd w:val="clear" w:color="auto" w:fill="auto"/>
            <w:noWrap/>
            <w:vAlign w:val="center"/>
            <w:hideMark/>
          </w:tcPr>
          <w:p w14:paraId="191B9A4F"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7.23%</w:t>
            </w:r>
          </w:p>
        </w:tc>
        <w:tc>
          <w:tcPr>
            <w:tcW w:w="778" w:type="dxa"/>
            <w:tcBorders>
              <w:top w:val="nil"/>
              <w:left w:val="nil"/>
              <w:bottom w:val="nil"/>
              <w:right w:val="nil"/>
            </w:tcBorders>
            <w:shd w:val="clear" w:color="auto" w:fill="auto"/>
            <w:noWrap/>
            <w:vAlign w:val="center"/>
            <w:hideMark/>
          </w:tcPr>
          <w:p w14:paraId="52FB9A12"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0.92%</w:t>
            </w:r>
          </w:p>
        </w:tc>
        <w:tc>
          <w:tcPr>
            <w:tcW w:w="751" w:type="dxa"/>
            <w:tcBorders>
              <w:top w:val="nil"/>
              <w:left w:val="nil"/>
              <w:bottom w:val="nil"/>
              <w:right w:val="nil"/>
            </w:tcBorders>
            <w:shd w:val="clear" w:color="auto" w:fill="auto"/>
            <w:noWrap/>
            <w:vAlign w:val="center"/>
            <w:hideMark/>
          </w:tcPr>
          <w:p w14:paraId="1952886C"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3.16%</w:t>
            </w:r>
          </w:p>
        </w:tc>
        <w:tc>
          <w:tcPr>
            <w:tcW w:w="651" w:type="dxa"/>
            <w:tcBorders>
              <w:top w:val="nil"/>
              <w:left w:val="nil"/>
              <w:bottom w:val="nil"/>
              <w:right w:val="nil"/>
            </w:tcBorders>
            <w:shd w:val="clear" w:color="auto" w:fill="auto"/>
            <w:noWrap/>
            <w:vAlign w:val="center"/>
            <w:hideMark/>
          </w:tcPr>
          <w:p w14:paraId="0E484F95"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1.93%</w:t>
            </w:r>
          </w:p>
        </w:tc>
        <w:tc>
          <w:tcPr>
            <w:tcW w:w="751" w:type="dxa"/>
            <w:tcBorders>
              <w:top w:val="nil"/>
              <w:left w:val="nil"/>
              <w:bottom w:val="nil"/>
              <w:right w:val="nil"/>
            </w:tcBorders>
            <w:shd w:val="clear" w:color="auto" w:fill="auto"/>
            <w:noWrap/>
            <w:vAlign w:val="center"/>
            <w:hideMark/>
          </w:tcPr>
          <w:p w14:paraId="0721D163"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10.49%</w:t>
            </w:r>
          </w:p>
        </w:tc>
        <w:tc>
          <w:tcPr>
            <w:tcW w:w="751" w:type="dxa"/>
            <w:tcBorders>
              <w:top w:val="nil"/>
              <w:left w:val="nil"/>
              <w:bottom w:val="nil"/>
              <w:right w:val="nil"/>
            </w:tcBorders>
            <w:shd w:val="clear" w:color="auto" w:fill="auto"/>
            <w:noWrap/>
            <w:vAlign w:val="center"/>
            <w:hideMark/>
          </w:tcPr>
          <w:p w14:paraId="376A76AB"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2.94%</w:t>
            </w:r>
          </w:p>
        </w:tc>
        <w:tc>
          <w:tcPr>
            <w:tcW w:w="751" w:type="dxa"/>
            <w:tcBorders>
              <w:top w:val="nil"/>
              <w:left w:val="nil"/>
              <w:bottom w:val="nil"/>
              <w:right w:val="nil"/>
            </w:tcBorders>
            <w:shd w:val="clear" w:color="auto" w:fill="auto"/>
            <w:noWrap/>
            <w:vAlign w:val="center"/>
            <w:hideMark/>
          </w:tcPr>
          <w:p w14:paraId="0A573E57"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6.85%</w:t>
            </w:r>
          </w:p>
        </w:tc>
        <w:tc>
          <w:tcPr>
            <w:tcW w:w="751" w:type="dxa"/>
            <w:tcBorders>
              <w:top w:val="nil"/>
              <w:left w:val="nil"/>
              <w:bottom w:val="nil"/>
              <w:right w:val="nil"/>
            </w:tcBorders>
            <w:shd w:val="clear" w:color="auto" w:fill="auto"/>
            <w:noWrap/>
            <w:vAlign w:val="center"/>
            <w:hideMark/>
          </w:tcPr>
          <w:p w14:paraId="4FFF3645"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8.36%</w:t>
            </w:r>
          </w:p>
        </w:tc>
        <w:tc>
          <w:tcPr>
            <w:tcW w:w="751" w:type="dxa"/>
            <w:tcBorders>
              <w:top w:val="nil"/>
              <w:left w:val="nil"/>
              <w:bottom w:val="nil"/>
              <w:right w:val="nil"/>
            </w:tcBorders>
            <w:shd w:val="clear" w:color="auto" w:fill="auto"/>
            <w:noWrap/>
            <w:vAlign w:val="center"/>
            <w:hideMark/>
          </w:tcPr>
          <w:p w14:paraId="0CD1C46B"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4.61%</w:t>
            </w:r>
          </w:p>
        </w:tc>
        <w:tc>
          <w:tcPr>
            <w:tcW w:w="751" w:type="dxa"/>
            <w:tcBorders>
              <w:top w:val="nil"/>
              <w:left w:val="nil"/>
              <w:bottom w:val="nil"/>
              <w:right w:val="nil"/>
            </w:tcBorders>
            <w:shd w:val="clear" w:color="auto" w:fill="auto"/>
            <w:noWrap/>
            <w:vAlign w:val="center"/>
            <w:hideMark/>
          </w:tcPr>
          <w:p w14:paraId="6668FE0F"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7.87%</w:t>
            </w:r>
          </w:p>
        </w:tc>
        <w:tc>
          <w:tcPr>
            <w:tcW w:w="851" w:type="dxa"/>
            <w:tcBorders>
              <w:top w:val="nil"/>
              <w:left w:val="nil"/>
              <w:bottom w:val="nil"/>
            </w:tcBorders>
            <w:shd w:val="clear" w:color="auto" w:fill="auto"/>
            <w:noWrap/>
            <w:vAlign w:val="center"/>
            <w:hideMark/>
          </w:tcPr>
          <w:p w14:paraId="64E76056" w14:textId="77777777" w:rsidR="00205869" w:rsidRPr="002F66A4" w:rsidRDefault="00205869" w:rsidP="00205869">
            <w:pPr>
              <w:spacing w:after="0" w:line="480" w:lineRule="auto"/>
              <w:jc w:val="center"/>
              <w:rPr>
                <w:rFonts w:ascii="Arial" w:eastAsia="Times New Roman" w:hAnsi="Arial" w:cs="Arial"/>
                <w:b/>
                <w:bCs/>
                <w:noProof/>
                <w:color w:val="000000"/>
                <w:sz w:val="18"/>
                <w:szCs w:val="18"/>
                <w:lang w:val="en-GB" w:eastAsia="es-MX"/>
              </w:rPr>
            </w:pPr>
            <w:r w:rsidRPr="002F66A4">
              <w:rPr>
                <w:rFonts w:ascii="Arial" w:hAnsi="Arial" w:cs="Arial"/>
                <w:b/>
                <w:noProof/>
                <w:color w:val="000000"/>
                <w:sz w:val="18"/>
                <w:szCs w:val="18"/>
                <w:lang w:val="en-GB"/>
              </w:rPr>
              <w:t>5.94%</w:t>
            </w:r>
          </w:p>
        </w:tc>
      </w:tr>
      <w:tr w:rsidR="00205869" w:rsidRPr="002F66A4" w14:paraId="6E85AECC" w14:textId="77777777" w:rsidTr="002F66A4">
        <w:trPr>
          <w:trHeight w:val="315"/>
          <w:jc w:val="center"/>
        </w:trPr>
        <w:tc>
          <w:tcPr>
            <w:tcW w:w="1134" w:type="dxa"/>
            <w:tcBorders>
              <w:top w:val="nil"/>
              <w:bottom w:val="nil"/>
              <w:right w:val="nil"/>
            </w:tcBorders>
            <w:shd w:val="clear" w:color="auto" w:fill="auto"/>
            <w:noWrap/>
            <w:vAlign w:val="center"/>
            <w:hideMark/>
          </w:tcPr>
          <w:p w14:paraId="72E7CA71" w14:textId="1130C28C" w:rsidR="00205869" w:rsidRPr="002F66A4" w:rsidRDefault="00205869" w:rsidP="00205869">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50</w:t>
            </w:r>
            <w:r w:rsidR="00C23EC8" w:rsidRPr="002F66A4">
              <w:rPr>
                <w:rFonts w:ascii="Arial" w:eastAsia="Times New Roman" w:hAnsi="Arial" w:cs="Arial"/>
                <w:b/>
                <w:bCs/>
                <w:noProof/>
                <w:color w:val="000000"/>
                <w:sz w:val="18"/>
                <w:szCs w:val="18"/>
                <w:lang w:val="en-GB" w:eastAsia="es-MX"/>
              </w:rPr>
              <w:t>–</w:t>
            </w:r>
            <w:r w:rsidRPr="002F66A4">
              <w:rPr>
                <w:rFonts w:ascii="Arial" w:eastAsia="Times New Roman" w:hAnsi="Arial" w:cs="Arial"/>
                <w:b/>
                <w:bCs/>
                <w:noProof/>
                <w:color w:val="000000"/>
                <w:sz w:val="18"/>
                <w:szCs w:val="18"/>
                <w:lang w:val="en-GB" w:eastAsia="es-MX"/>
              </w:rPr>
              <w:t>59</w:t>
            </w:r>
          </w:p>
        </w:tc>
        <w:tc>
          <w:tcPr>
            <w:tcW w:w="751" w:type="dxa"/>
            <w:tcBorders>
              <w:top w:val="nil"/>
              <w:left w:val="nil"/>
              <w:bottom w:val="nil"/>
              <w:right w:val="nil"/>
            </w:tcBorders>
            <w:shd w:val="clear" w:color="auto" w:fill="auto"/>
            <w:noWrap/>
            <w:vAlign w:val="center"/>
            <w:hideMark/>
          </w:tcPr>
          <w:p w14:paraId="414E4AE2"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12.32%</w:t>
            </w:r>
          </w:p>
        </w:tc>
        <w:tc>
          <w:tcPr>
            <w:tcW w:w="778" w:type="dxa"/>
            <w:tcBorders>
              <w:top w:val="nil"/>
              <w:left w:val="nil"/>
              <w:bottom w:val="nil"/>
              <w:right w:val="nil"/>
            </w:tcBorders>
            <w:shd w:val="clear" w:color="auto" w:fill="auto"/>
            <w:noWrap/>
            <w:vAlign w:val="center"/>
            <w:hideMark/>
          </w:tcPr>
          <w:p w14:paraId="739BA76D"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2.30%</w:t>
            </w:r>
          </w:p>
        </w:tc>
        <w:tc>
          <w:tcPr>
            <w:tcW w:w="751" w:type="dxa"/>
            <w:tcBorders>
              <w:top w:val="nil"/>
              <w:left w:val="nil"/>
              <w:bottom w:val="nil"/>
              <w:right w:val="nil"/>
            </w:tcBorders>
            <w:shd w:val="clear" w:color="auto" w:fill="auto"/>
            <w:noWrap/>
            <w:vAlign w:val="center"/>
            <w:hideMark/>
          </w:tcPr>
          <w:p w14:paraId="3572ECF2"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10.53%</w:t>
            </w:r>
          </w:p>
        </w:tc>
        <w:tc>
          <w:tcPr>
            <w:tcW w:w="651" w:type="dxa"/>
            <w:tcBorders>
              <w:top w:val="nil"/>
              <w:left w:val="nil"/>
              <w:bottom w:val="nil"/>
              <w:right w:val="nil"/>
            </w:tcBorders>
            <w:shd w:val="clear" w:color="auto" w:fill="auto"/>
            <w:noWrap/>
            <w:vAlign w:val="center"/>
            <w:hideMark/>
          </w:tcPr>
          <w:p w14:paraId="14F8CC92"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3.58%</w:t>
            </w:r>
          </w:p>
        </w:tc>
        <w:tc>
          <w:tcPr>
            <w:tcW w:w="751" w:type="dxa"/>
            <w:tcBorders>
              <w:top w:val="nil"/>
              <w:left w:val="nil"/>
              <w:bottom w:val="nil"/>
              <w:right w:val="nil"/>
            </w:tcBorders>
            <w:shd w:val="clear" w:color="auto" w:fill="auto"/>
            <w:noWrap/>
            <w:vAlign w:val="center"/>
            <w:hideMark/>
          </w:tcPr>
          <w:p w14:paraId="27CCA98C"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21.82%</w:t>
            </w:r>
          </w:p>
        </w:tc>
        <w:tc>
          <w:tcPr>
            <w:tcW w:w="751" w:type="dxa"/>
            <w:tcBorders>
              <w:top w:val="nil"/>
              <w:left w:val="nil"/>
              <w:bottom w:val="nil"/>
              <w:right w:val="nil"/>
            </w:tcBorders>
            <w:shd w:val="clear" w:color="auto" w:fill="auto"/>
            <w:noWrap/>
            <w:vAlign w:val="center"/>
            <w:hideMark/>
          </w:tcPr>
          <w:p w14:paraId="719135A6"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7.19%</w:t>
            </w:r>
          </w:p>
        </w:tc>
        <w:tc>
          <w:tcPr>
            <w:tcW w:w="751" w:type="dxa"/>
            <w:tcBorders>
              <w:top w:val="nil"/>
              <w:left w:val="nil"/>
              <w:bottom w:val="nil"/>
              <w:right w:val="nil"/>
            </w:tcBorders>
            <w:shd w:val="clear" w:color="auto" w:fill="auto"/>
            <w:noWrap/>
            <w:vAlign w:val="center"/>
            <w:hideMark/>
          </w:tcPr>
          <w:p w14:paraId="6AC420AE"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17.62%</w:t>
            </w:r>
          </w:p>
        </w:tc>
        <w:tc>
          <w:tcPr>
            <w:tcW w:w="751" w:type="dxa"/>
            <w:tcBorders>
              <w:top w:val="nil"/>
              <w:left w:val="nil"/>
              <w:bottom w:val="nil"/>
              <w:right w:val="nil"/>
            </w:tcBorders>
            <w:shd w:val="clear" w:color="auto" w:fill="auto"/>
            <w:noWrap/>
            <w:vAlign w:val="center"/>
            <w:hideMark/>
          </w:tcPr>
          <w:p w14:paraId="0126AB53"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16.21%</w:t>
            </w:r>
          </w:p>
        </w:tc>
        <w:tc>
          <w:tcPr>
            <w:tcW w:w="751" w:type="dxa"/>
            <w:tcBorders>
              <w:top w:val="nil"/>
              <w:left w:val="nil"/>
              <w:bottom w:val="nil"/>
              <w:right w:val="nil"/>
            </w:tcBorders>
            <w:shd w:val="clear" w:color="auto" w:fill="auto"/>
            <w:noWrap/>
            <w:vAlign w:val="center"/>
            <w:hideMark/>
          </w:tcPr>
          <w:p w14:paraId="43874939"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12.31%</w:t>
            </w:r>
          </w:p>
        </w:tc>
        <w:tc>
          <w:tcPr>
            <w:tcW w:w="751" w:type="dxa"/>
            <w:tcBorders>
              <w:top w:val="nil"/>
              <w:left w:val="nil"/>
              <w:bottom w:val="nil"/>
              <w:right w:val="nil"/>
            </w:tcBorders>
            <w:shd w:val="clear" w:color="auto" w:fill="auto"/>
            <w:noWrap/>
            <w:vAlign w:val="center"/>
            <w:hideMark/>
          </w:tcPr>
          <w:p w14:paraId="3810E0C8"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17.65%</w:t>
            </w:r>
          </w:p>
        </w:tc>
        <w:tc>
          <w:tcPr>
            <w:tcW w:w="851" w:type="dxa"/>
            <w:tcBorders>
              <w:top w:val="nil"/>
              <w:left w:val="nil"/>
              <w:bottom w:val="nil"/>
            </w:tcBorders>
            <w:shd w:val="clear" w:color="auto" w:fill="auto"/>
            <w:noWrap/>
            <w:vAlign w:val="center"/>
            <w:hideMark/>
          </w:tcPr>
          <w:p w14:paraId="7A8C2C20" w14:textId="77777777" w:rsidR="00205869" w:rsidRPr="002F66A4" w:rsidRDefault="00205869" w:rsidP="00205869">
            <w:pPr>
              <w:spacing w:after="0" w:line="480" w:lineRule="auto"/>
              <w:jc w:val="center"/>
              <w:rPr>
                <w:rFonts w:ascii="Arial" w:eastAsia="Times New Roman" w:hAnsi="Arial" w:cs="Arial"/>
                <w:b/>
                <w:bCs/>
                <w:noProof/>
                <w:color w:val="000000"/>
                <w:sz w:val="18"/>
                <w:szCs w:val="18"/>
                <w:lang w:val="en-GB" w:eastAsia="es-MX"/>
              </w:rPr>
            </w:pPr>
            <w:r w:rsidRPr="002F66A4">
              <w:rPr>
                <w:rFonts w:ascii="Arial" w:hAnsi="Arial" w:cs="Arial"/>
                <w:b/>
                <w:noProof/>
                <w:color w:val="000000"/>
                <w:sz w:val="18"/>
                <w:szCs w:val="18"/>
                <w:lang w:val="en-GB"/>
              </w:rPr>
              <w:t>14.55%</w:t>
            </w:r>
          </w:p>
        </w:tc>
      </w:tr>
      <w:tr w:rsidR="00205869" w:rsidRPr="002F66A4" w14:paraId="1D3778F8" w14:textId="77777777" w:rsidTr="002F66A4">
        <w:trPr>
          <w:trHeight w:val="315"/>
          <w:jc w:val="center"/>
        </w:trPr>
        <w:tc>
          <w:tcPr>
            <w:tcW w:w="1134" w:type="dxa"/>
            <w:tcBorders>
              <w:top w:val="nil"/>
              <w:bottom w:val="single" w:sz="4" w:space="0" w:color="auto"/>
              <w:right w:val="nil"/>
            </w:tcBorders>
            <w:shd w:val="clear" w:color="auto" w:fill="auto"/>
            <w:noWrap/>
            <w:vAlign w:val="center"/>
            <w:hideMark/>
          </w:tcPr>
          <w:p w14:paraId="198FCCF6" w14:textId="16A43766" w:rsidR="00205869" w:rsidRPr="002F66A4" w:rsidRDefault="00205869" w:rsidP="00205869">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≥60</w:t>
            </w:r>
          </w:p>
        </w:tc>
        <w:tc>
          <w:tcPr>
            <w:tcW w:w="751" w:type="dxa"/>
            <w:tcBorders>
              <w:top w:val="nil"/>
              <w:left w:val="nil"/>
              <w:bottom w:val="single" w:sz="4" w:space="0" w:color="auto"/>
              <w:right w:val="nil"/>
            </w:tcBorders>
            <w:shd w:val="clear" w:color="auto" w:fill="auto"/>
            <w:noWrap/>
            <w:vAlign w:val="center"/>
            <w:hideMark/>
          </w:tcPr>
          <w:p w14:paraId="3CB6AECB"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9.45%</w:t>
            </w:r>
          </w:p>
        </w:tc>
        <w:tc>
          <w:tcPr>
            <w:tcW w:w="778" w:type="dxa"/>
            <w:tcBorders>
              <w:top w:val="nil"/>
              <w:left w:val="nil"/>
              <w:bottom w:val="single" w:sz="4" w:space="0" w:color="auto"/>
              <w:right w:val="nil"/>
            </w:tcBorders>
            <w:shd w:val="clear" w:color="auto" w:fill="auto"/>
            <w:noWrap/>
            <w:vAlign w:val="center"/>
            <w:hideMark/>
          </w:tcPr>
          <w:p w14:paraId="475C68C7"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6.28%</w:t>
            </w:r>
          </w:p>
        </w:tc>
        <w:tc>
          <w:tcPr>
            <w:tcW w:w="751" w:type="dxa"/>
            <w:tcBorders>
              <w:top w:val="nil"/>
              <w:left w:val="nil"/>
              <w:bottom w:val="single" w:sz="4" w:space="0" w:color="auto"/>
              <w:right w:val="nil"/>
            </w:tcBorders>
            <w:shd w:val="clear" w:color="auto" w:fill="auto"/>
            <w:noWrap/>
            <w:vAlign w:val="center"/>
            <w:hideMark/>
          </w:tcPr>
          <w:p w14:paraId="3F2C7BA0"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18.32%</w:t>
            </w:r>
          </w:p>
        </w:tc>
        <w:tc>
          <w:tcPr>
            <w:tcW w:w="651" w:type="dxa"/>
            <w:tcBorders>
              <w:top w:val="nil"/>
              <w:left w:val="nil"/>
              <w:bottom w:val="single" w:sz="4" w:space="0" w:color="auto"/>
              <w:right w:val="nil"/>
            </w:tcBorders>
            <w:shd w:val="clear" w:color="auto" w:fill="auto"/>
            <w:noWrap/>
            <w:vAlign w:val="center"/>
            <w:hideMark/>
          </w:tcPr>
          <w:p w14:paraId="288F8118"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7.14%</w:t>
            </w:r>
          </w:p>
        </w:tc>
        <w:tc>
          <w:tcPr>
            <w:tcW w:w="751" w:type="dxa"/>
            <w:tcBorders>
              <w:top w:val="nil"/>
              <w:left w:val="nil"/>
              <w:bottom w:val="single" w:sz="4" w:space="0" w:color="auto"/>
              <w:right w:val="nil"/>
            </w:tcBorders>
            <w:shd w:val="clear" w:color="auto" w:fill="auto"/>
            <w:noWrap/>
            <w:vAlign w:val="center"/>
            <w:hideMark/>
          </w:tcPr>
          <w:p w14:paraId="245832A3"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23.72%</w:t>
            </w:r>
          </w:p>
        </w:tc>
        <w:tc>
          <w:tcPr>
            <w:tcW w:w="751" w:type="dxa"/>
            <w:tcBorders>
              <w:top w:val="nil"/>
              <w:left w:val="nil"/>
              <w:bottom w:val="single" w:sz="4" w:space="0" w:color="auto"/>
              <w:right w:val="nil"/>
            </w:tcBorders>
            <w:shd w:val="clear" w:color="auto" w:fill="auto"/>
            <w:noWrap/>
            <w:vAlign w:val="center"/>
            <w:hideMark/>
          </w:tcPr>
          <w:p w14:paraId="669B648A"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13.39%</w:t>
            </w:r>
          </w:p>
        </w:tc>
        <w:tc>
          <w:tcPr>
            <w:tcW w:w="751" w:type="dxa"/>
            <w:tcBorders>
              <w:top w:val="nil"/>
              <w:left w:val="nil"/>
              <w:bottom w:val="single" w:sz="4" w:space="0" w:color="auto"/>
              <w:right w:val="nil"/>
            </w:tcBorders>
            <w:shd w:val="clear" w:color="auto" w:fill="auto"/>
            <w:noWrap/>
            <w:vAlign w:val="center"/>
            <w:hideMark/>
          </w:tcPr>
          <w:p w14:paraId="726CED5A"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19.05%</w:t>
            </w:r>
          </w:p>
        </w:tc>
        <w:tc>
          <w:tcPr>
            <w:tcW w:w="751" w:type="dxa"/>
            <w:tcBorders>
              <w:top w:val="nil"/>
              <w:left w:val="nil"/>
              <w:bottom w:val="single" w:sz="4" w:space="0" w:color="auto"/>
              <w:right w:val="nil"/>
            </w:tcBorders>
            <w:shd w:val="clear" w:color="auto" w:fill="auto"/>
            <w:noWrap/>
            <w:vAlign w:val="center"/>
            <w:hideMark/>
          </w:tcPr>
          <w:p w14:paraId="57DA9320"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22.29%</w:t>
            </w:r>
          </w:p>
        </w:tc>
        <w:tc>
          <w:tcPr>
            <w:tcW w:w="751" w:type="dxa"/>
            <w:tcBorders>
              <w:top w:val="nil"/>
              <w:left w:val="nil"/>
              <w:bottom w:val="single" w:sz="4" w:space="0" w:color="auto"/>
              <w:right w:val="nil"/>
            </w:tcBorders>
            <w:shd w:val="clear" w:color="auto" w:fill="auto"/>
            <w:noWrap/>
            <w:vAlign w:val="center"/>
            <w:hideMark/>
          </w:tcPr>
          <w:p w14:paraId="774B0F29"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14.47%</w:t>
            </w:r>
          </w:p>
        </w:tc>
        <w:tc>
          <w:tcPr>
            <w:tcW w:w="751" w:type="dxa"/>
            <w:tcBorders>
              <w:top w:val="nil"/>
              <w:left w:val="nil"/>
              <w:bottom w:val="single" w:sz="4" w:space="0" w:color="auto"/>
              <w:right w:val="nil"/>
            </w:tcBorders>
            <w:shd w:val="clear" w:color="auto" w:fill="auto"/>
            <w:noWrap/>
            <w:vAlign w:val="center"/>
            <w:hideMark/>
          </w:tcPr>
          <w:p w14:paraId="15917E40" w14:textId="77777777" w:rsidR="00205869" w:rsidRPr="002F66A4" w:rsidRDefault="00205869" w:rsidP="00205869">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5.13%</w:t>
            </w:r>
          </w:p>
        </w:tc>
        <w:tc>
          <w:tcPr>
            <w:tcW w:w="851" w:type="dxa"/>
            <w:tcBorders>
              <w:top w:val="nil"/>
              <w:left w:val="nil"/>
              <w:bottom w:val="single" w:sz="4" w:space="0" w:color="auto"/>
            </w:tcBorders>
            <w:shd w:val="clear" w:color="auto" w:fill="auto"/>
            <w:noWrap/>
            <w:vAlign w:val="center"/>
            <w:hideMark/>
          </w:tcPr>
          <w:p w14:paraId="09A51586" w14:textId="77777777" w:rsidR="00205869" w:rsidRPr="002F66A4" w:rsidRDefault="00205869" w:rsidP="00205869">
            <w:pPr>
              <w:spacing w:after="0" w:line="480" w:lineRule="auto"/>
              <w:jc w:val="center"/>
              <w:rPr>
                <w:rFonts w:ascii="Arial" w:eastAsia="Times New Roman" w:hAnsi="Arial" w:cs="Arial"/>
                <w:b/>
                <w:bCs/>
                <w:noProof/>
                <w:color w:val="000000"/>
                <w:sz w:val="18"/>
                <w:szCs w:val="18"/>
                <w:lang w:val="en-GB" w:eastAsia="es-MX"/>
              </w:rPr>
            </w:pPr>
            <w:r w:rsidRPr="002F66A4">
              <w:rPr>
                <w:rFonts w:ascii="Arial" w:hAnsi="Arial" w:cs="Arial"/>
                <w:b/>
                <w:noProof/>
                <w:color w:val="000000"/>
                <w:sz w:val="18"/>
                <w:szCs w:val="18"/>
                <w:lang w:val="en-GB"/>
              </w:rPr>
              <w:t>17.40%</w:t>
            </w:r>
          </w:p>
        </w:tc>
      </w:tr>
      <w:tr w:rsidR="009113A6" w:rsidRPr="002F66A4" w14:paraId="066870A5" w14:textId="77777777" w:rsidTr="002F66A4">
        <w:trPr>
          <w:trHeight w:val="330"/>
          <w:jc w:val="center"/>
        </w:trPr>
        <w:tc>
          <w:tcPr>
            <w:tcW w:w="1134" w:type="dxa"/>
            <w:tcBorders>
              <w:top w:val="single" w:sz="4" w:space="0" w:color="auto"/>
              <w:right w:val="nil"/>
            </w:tcBorders>
            <w:shd w:val="clear" w:color="auto" w:fill="auto"/>
            <w:noWrap/>
            <w:vAlign w:val="center"/>
            <w:hideMark/>
          </w:tcPr>
          <w:p w14:paraId="742879EA" w14:textId="77777777"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eastAsia="Times New Roman" w:hAnsi="Arial" w:cs="Arial"/>
                <w:b/>
                <w:bCs/>
                <w:noProof/>
                <w:color w:val="000000"/>
                <w:sz w:val="18"/>
                <w:szCs w:val="18"/>
                <w:lang w:val="en-GB" w:eastAsia="es-MX"/>
              </w:rPr>
              <w:t>TOTAL</w:t>
            </w:r>
          </w:p>
        </w:tc>
        <w:tc>
          <w:tcPr>
            <w:tcW w:w="751" w:type="dxa"/>
            <w:tcBorders>
              <w:top w:val="single" w:sz="4" w:space="0" w:color="auto"/>
              <w:left w:val="nil"/>
              <w:right w:val="nil"/>
            </w:tcBorders>
            <w:shd w:val="clear" w:color="auto" w:fill="auto"/>
            <w:noWrap/>
            <w:vAlign w:val="center"/>
            <w:hideMark/>
          </w:tcPr>
          <w:p w14:paraId="4FD9EC36" w14:textId="77777777" w:rsidR="009113A6" w:rsidRPr="002F66A4" w:rsidRDefault="009113A6" w:rsidP="003F0904">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6.29%</w:t>
            </w:r>
          </w:p>
        </w:tc>
        <w:tc>
          <w:tcPr>
            <w:tcW w:w="778" w:type="dxa"/>
            <w:tcBorders>
              <w:top w:val="single" w:sz="4" w:space="0" w:color="auto"/>
              <w:left w:val="nil"/>
              <w:right w:val="nil"/>
            </w:tcBorders>
            <w:shd w:val="clear" w:color="auto" w:fill="auto"/>
            <w:noWrap/>
            <w:vAlign w:val="center"/>
            <w:hideMark/>
          </w:tcPr>
          <w:p w14:paraId="7647A42A" w14:textId="77777777" w:rsidR="009113A6" w:rsidRPr="002F66A4" w:rsidRDefault="009113A6" w:rsidP="003F0904">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1.27%</w:t>
            </w:r>
          </w:p>
        </w:tc>
        <w:tc>
          <w:tcPr>
            <w:tcW w:w="751" w:type="dxa"/>
            <w:tcBorders>
              <w:top w:val="single" w:sz="4" w:space="0" w:color="auto"/>
              <w:left w:val="nil"/>
              <w:right w:val="nil"/>
            </w:tcBorders>
            <w:shd w:val="clear" w:color="auto" w:fill="auto"/>
            <w:noWrap/>
            <w:vAlign w:val="center"/>
            <w:hideMark/>
          </w:tcPr>
          <w:p w14:paraId="3571C337" w14:textId="77777777" w:rsidR="009113A6" w:rsidRPr="002F66A4" w:rsidRDefault="009113A6" w:rsidP="003F0904">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4.66%</w:t>
            </w:r>
          </w:p>
        </w:tc>
        <w:tc>
          <w:tcPr>
            <w:tcW w:w="651" w:type="dxa"/>
            <w:tcBorders>
              <w:top w:val="single" w:sz="4" w:space="0" w:color="auto"/>
              <w:left w:val="nil"/>
              <w:right w:val="nil"/>
            </w:tcBorders>
            <w:shd w:val="clear" w:color="auto" w:fill="auto"/>
            <w:noWrap/>
            <w:vAlign w:val="center"/>
            <w:hideMark/>
          </w:tcPr>
          <w:p w14:paraId="685AD471" w14:textId="77777777" w:rsidR="009113A6" w:rsidRPr="002F66A4" w:rsidRDefault="009113A6" w:rsidP="003F0904">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2.24%</w:t>
            </w:r>
          </w:p>
        </w:tc>
        <w:tc>
          <w:tcPr>
            <w:tcW w:w="751" w:type="dxa"/>
            <w:tcBorders>
              <w:top w:val="single" w:sz="4" w:space="0" w:color="auto"/>
              <w:left w:val="nil"/>
              <w:right w:val="nil"/>
            </w:tcBorders>
            <w:shd w:val="clear" w:color="auto" w:fill="auto"/>
            <w:noWrap/>
            <w:vAlign w:val="center"/>
            <w:hideMark/>
          </w:tcPr>
          <w:p w14:paraId="7F94ED7B" w14:textId="77777777" w:rsidR="009113A6" w:rsidRPr="002F66A4" w:rsidRDefault="009113A6" w:rsidP="003F0904">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12.13%</w:t>
            </w:r>
          </w:p>
        </w:tc>
        <w:tc>
          <w:tcPr>
            <w:tcW w:w="751" w:type="dxa"/>
            <w:tcBorders>
              <w:top w:val="single" w:sz="4" w:space="0" w:color="auto"/>
              <w:left w:val="nil"/>
              <w:right w:val="nil"/>
            </w:tcBorders>
            <w:shd w:val="clear" w:color="auto" w:fill="auto"/>
            <w:noWrap/>
            <w:vAlign w:val="center"/>
            <w:hideMark/>
          </w:tcPr>
          <w:p w14:paraId="0F67803F" w14:textId="77777777" w:rsidR="009113A6" w:rsidRPr="002F66A4" w:rsidRDefault="009113A6" w:rsidP="003F0904">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4.75%</w:t>
            </w:r>
          </w:p>
        </w:tc>
        <w:tc>
          <w:tcPr>
            <w:tcW w:w="751" w:type="dxa"/>
            <w:tcBorders>
              <w:top w:val="single" w:sz="4" w:space="0" w:color="auto"/>
              <w:left w:val="nil"/>
              <w:right w:val="nil"/>
            </w:tcBorders>
            <w:shd w:val="clear" w:color="auto" w:fill="auto"/>
            <w:noWrap/>
            <w:vAlign w:val="center"/>
            <w:hideMark/>
          </w:tcPr>
          <w:p w14:paraId="10AFAE68" w14:textId="77777777" w:rsidR="009113A6" w:rsidRPr="002F66A4" w:rsidRDefault="009113A6" w:rsidP="003F0904">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8.98%</w:t>
            </w:r>
          </w:p>
        </w:tc>
        <w:tc>
          <w:tcPr>
            <w:tcW w:w="751" w:type="dxa"/>
            <w:tcBorders>
              <w:top w:val="single" w:sz="4" w:space="0" w:color="auto"/>
              <w:left w:val="nil"/>
              <w:right w:val="nil"/>
            </w:tcBorders>
            <w:shd w:val="clear" w:color="auto" w:fill="auto"/>
            <w:noWrap/>
            <w:vAlign w:val="center"/>
            <w:hideMark/>
          </w:tcPr>
          <w:p w14:paraId="3EC28421" w14:textId="77777777" w:rsidR="009113A6" w:rsidRPr="002F66A4" w:rsidRDefault="009113A6" w:rsidP="003F0904">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10.08%</w:t>
            </w:r>
          </w:p>
        </w:tc>
        <w:tc>
          <w:tcPr>
            <w:tcW w:w="751" w:type="dxa"/>
            <w:tcBorders>
              <w:top w:val="single" w:sz="4" w:space="0" w:color="auto"/>
              <w:left w:val="nil"/>
              <w:right w:val="nil"/>
            </w:tcBorders>
            <w:shd w:val="clear" w:color="auto" w:fill="auto"/>
            <w:noWrap/>
            <w:vAlign w:val="center"/>
            <w:hideMark/>
          </w:tcPr>
          <w:p w14:paraId="4753B03E" w14:textId="77777777" w:rsidR="009113A6" w:rsidRPr="002F66A4" w:rsidRDefault="009113A6" w:rsidP="003F0904">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6.48%</w:t>
            </w:r>
          </w:p>
        </w:tc>
        <w:tc>
          <w:tcPr>
            <w:tcW w:w="751" w:type="dxa"/>
            <w:tcBorders>
              <w:top w:val="single" w:sz="4" w:space="0" w:color="auto"/>
              <w:left w:val="nil"/>
              <w:right w:val="nil"/>
            </w:tcBorders>
            <w:shd w:val="clear" w:color="auto" w:fill="auto"/>
            <w:noWrap/>
            <w:vAlign w:val="center"/>
            <w:hideMark/>
          </w:tcPr>
          <w:p w14:paraId="709D1496" w14:textId="77777777" w:rsidR="009113A6" w:rsidRPr="002F66A4" w:rsidRDefault="009113A6" w:rsidP="003F0904">
            <w:pPr>
              <w:spacing w:after="0" w:line="480" w:lineRule="auto"/>
              <w:jc w:val="center"/>
              <w:rPr>
                <w:rFonts w:ascii="Arial" w:eastAsia="Times New Roman" w:hAnsi="Arial" w:cs="Arial"/>
                <w:noProof/>
                <w:color w:val="000000"/>
                <w:sz w:val="18"/>
                <w:szCs w:val="18"/>
                <w:lang w:val="en-GB" w:eastAsia="es-MX"/>
              </w:rPr>
            </w:pPr>
            <w:r w:rsidRPr="002F66A4">
              <w:rPr>
                <w:rFonts w:ascii="Arial" w:eastAsia="Times New Roman" w:hAnsi="Arial" w:cs="Arial"/>
                <w:noProof/>
                <w:color w:val="000000"/>
                <w:sz w:val="18"/>
                <w:szCs w:val="18"/>
                <w:lang w:val="en-GB" w:eastAsia="es-MX"/>
              </w:rPr>
              <w:t>7.20%</w:t>
            </w:r>
          </w:p>
        </w:tc>
        <w:tc>
          <w:tcPr>
            <w:tcW w:w="851" w:type="dxa"/>
            <w:tcBorders>
              <w:top w:val="single" w:sz="4" w:space="0" w:color="auto"/>
              <w:left w:val="nil"/>
            </w:tcBorders>
            <w:shd w:val="clear" w:color="auto" w:fill="auto"/>
            <w:noWrap/>
            <w:vAlign w:val="center"/>
            <w:hideMark/>
          </w:tcPr>
          <w:p w14:paraId="552BA511" w14:textId="77777777" w:rsidR="009113A6" w:rsidRPr="002F66A4" w:rsidRDefault="009113A6" w:rsidP="003F0904">
            <w:pPr>
              <w:spacing w:after="0" w:line="480" w:lineRule="auto"/>
              <w:jc w:val="center"/>
              <w:rPr>
                <w:rFonts w:ascii="Arial" w:eastAsia="Times New Roman" w:hAnsi="Arial" w:cs="Arial"/>
                <w:b/>
                <w:bCs/>
                <w:noProof/>
                <w:color w:val="000000"/>
                <w:sz w:val="18"/>
                <w:szCs w:val="18"/>
                <w:lang w:val="en-GB" w:eastAsia="es-MX"/>
              </w:rPr>
            </w:pPr>
            <w:r w:rsidRPr="002F66A4">
              <w:rPr>
                <w:rFonts w:ascii="Arial" w:hAnsi="Arial" w:cs="Arial"/>
                <w:b/>
                <w:noProof/>
                <w:color w:val="000000"/>
                <w:sz w:val="18"/>
                <w:szCs w:val="18"/>
                <w:lang w:val="en-GB"/>
              </w:rPr>
              <w:t>7.30%</w:t>
            </w:r>
          </w:p>
        </w:tc>
      </w:tr>
    </w:tbl>
    <w:p w14:paraId="6FB619E5" w14:textId="77777777" w:rsidR="009113A6" w:rsidRPr="002F66A4" w:rsidRDefault="009113A6" w:rsidP="009113A6">
      <w:pPr>
        <w:spacing w:after="0" w:line="480" w:lineRule="auto"/>
        <w:jc w:val="both"/>
        <w:rPr>
          <w:rFonts w:ascii="Arial" w:hAnsi="Arial" w:cs="Arial"/>
          <w:noProof/>
          <w:color w:val="000000" w:themeColor="text1"/>
          <w:sz w:val="10"/>
          <w:szCs w:val="10"/>
          <w:lang w:val="en-GB"/>
        </w:rPr>
      </w:pPr>
    </w:p>
    <w:p w14:paraId="380C499F" w14:textId="77777777" w:rsidR="009113A6" w:rsidRPr="0084045A" w:rsidRDefault="009113A6" w:rsidP="009113A6">
      <w:pPr>
        <w:spacing w:after="0" w:line="480" w:lineRule="auto"/>
        <w:ind w:right="-235"/>
        <w:jc w:val="right"/>
        <w:rPr>
          <w:rFonts w:ascii="Arial" w:hAnsi="Arial" w:cs="Arial"/>
          <w:noProof/>
          <w:color w:val="000000" w:themeColor="text1"/>
          <w:sz w:val="20"/>
          <w:lang w:val="en-GB"/>
        </w:rPr>
      </w:pPr>
      <w:r w:rsidRPr="0084045A">
        <w:rPr>
          <w:rFonts w:ascii="Arial" w:hAnsi="Arial" w:cs="Arial"/>
          <w:i/>
          <w:noProof/>
          <w:color w:val="000000" w:themeColor="text1"/>
          <w:sz w:val="20"/>
          <w:lang w:val="en-GB"/>
        </w:rPr>
        <w:t>Source:</w:t>
      </w:r>
      <w:r w:rsidRPr="0084045A">
        <w:rPr>
          <w:rFonts w:ascii="Arial" w:hAnsi="Arial" w:cs="Arial"/>
          <w:noProof/>
          <w:color w:val="000000" w:themeColor="text1"/>
          <w:sz w:val="20"/>
          <w:lang w:val="en-GB"/>
        </w:rPr>
        <w:t xml:space="preserve"> SISVEFLU</w:t>
      </w:r>
    </w:p>
    <w:p w14:paraId="4A713419" w14:textId="77777777" w:rsidR="009113A6" w:rsidRPr="0084045A" w:rsidRDefault="009113A6" w:rsidP="009113A6">
      <w:pPr>
        <w:spacing w:after="0" w:line="480" w:lineRule="auto"/>
        <w:jc w:val="both"/>
        <w:rPr>
          <w:rFonts w:ascii="Arial" w:hAnsi="Arial" w:cs="Arial"/>
          <w:noProof/>
          <w:sz w:val="24"/>
          <w:szCs w:val="24"/>
          <w:lang w:val="en-GB"/>
        </w:rPr>
      </w:pPr>
    </w:p>
    <w:p w14:paraId="31730CE6" w14:textId="77777777" w:rsidR="009650F1" w:rsidRPr="0084045A" w:rsidRDefault="009650F1" w:rsidP="009113A6">
      <w:pPr>
        <w:spacing w:after="0" w:line="480" w:lineRule="auto"/>
        <w:jc w:val="both"/>
        <w:rPr>
          <w:rFonts w:ascii="Arial" w:hAnsi="Arial" w:cs="Arial"/>
          <w:noProof/>
          <w:sz w:val="24"/>
          <w:szCs w:val="24"/>
          <w:lang w:val="en-GB"/>
        </w:rPr>
      </w:pPr>
    </w:p>
    <w:p w14:paraId="2C0084E2" w14:textId="77777777" w:rsidR="009650F1" w:rsidRPr="0084045A" w:rsidRDefault="009650F1" w:rsidP="009113A6">
      <w:pPr>
        <w:spacing w:after="0" w:line="480" w:lineRule="auto"/>
        <w:jc w:val="both"/>
        <w:rPr>
          <w:rFonts w:ascii="Arial" w:hAnsi="Arial" w:cs="Arial"/>
          <w:noProof/>
          <w:sz w:val="24"/>
          <w:szCs w:val="24"/>
          <w:lang w:val="en-GB"/>
        </w:rPr>
      </w:pPr>
    </w:p>
    <w:p w14:paraId="73E88D07" w14:textId="77777777" w:rsidR="009113A6" w:rsidRPr="0084045A" w:rsidRDefault="009113A6" w:rsidP="009113A6">
      <w:pPr>
        <w:spacing w:after="0" w:line="480" w:lineRule="auto"/>
        <w:jc w:val="both"/>
        <w:rPr>
          <w:rFonts w:ascii="Arial" w:hAnsi="Arial" w:cs="Arial"/>
          <w:noProof/>
          <w:color w:val="000000" w:themeColor="text1"/>
          <w:lang w:val="en-GB"/>
        </w:rPr>
      </w:pPr>
    </w:p>
    <w:p w14:paraId="5CD4BE42" w14:textId="77777777" w:rsidR="004A1075" w:rsidRPr="0084045A" w:rsidRDefault="004A1075">
      <w:pPr>
        <w:rPr>
          <w:rFonts w:ascii="Arial" w:hAnsi="Arial" w:cs="Arial"/>
          <w:b/>
          <w:noProof/>
          <w:color w:val="000000" w:themeColor="text1"/>
          <w:lang w:val="en-GB"/>
        </w:rPr>
      </w:pPr>
      <w:r w:rsidRPr="0084045A">
        <w:rPr>
          <w:rFonts w:ascii="Arial" w:hAnsi="Arial" w:cs="Arial"/>
          <w:b/>
          <w:noProof/>
          <w:color w:val="000000" w:themeColor="text1"/>
          <w:lang w:val="en-GB"/>
        </w:rPr>
        <w:br w:type="page"/>
      </w:r>
    </w:p>
    <w:p w14:paraId="05A15AB8" w14:textId="45EEA6FB" w:rsidR="005A74BE" w:rsidRPr="0084045A" w:rsidRDefault="005A74BE" w:rsidP="00512905">
      <w:pPr>
        <w:pStyle w:val="Ttulo2"/>
        <w:rPr>
          <w:noProof/>
          <w:lang w:val="en-GB"/>
        </w:rPr>
      </w:pPr>
      <w:r w:rsidRPr="0084045A">
        <w:rPr>
          <w:noProof/>
          <w:lang w:val="en-GB"/>
        </w:rPr>
        <w:lastRenderedPageBreak/>
        <w:t>Table S</w:t>
      </w:r>
      <w:r w:rsidR="00EF2803" w:rsidRPr="0084045A">
        <w:rPr>
          <w:noProof/>
          <w:lang w:val="en-GB"/>
        </w:rPr>
        <w:t>5</w:t>
      </w:r>
      <w:r w:rsidRPr="0084045A">
        <w:rPr>
          <w:noProof/>
          <w:lang w:val="en-GB"/>
        </w:rPr>
        <w:t>.</w:t>
      </w:r>
      <w:r w:rsidR="00EE72A9" w:rsidRPr="0084045A">
        <w:rPr>
          <w:noProof/>
          <w:lang w:val="en-GB"/>
        </w:rPr>
        <w:t>5</w:t>
      </w:r>
      <w:r w:rsidR="004A1075" w:rsidRPr="0084045A">
        <w:rPr>
          <w:noProof/>
          <w:lang w:val="en-GB"/>
        </w:rPr>
        <w:t>.</w:t>
      </w:r>
      <w:r w:rsidRPr="0084045A">
        <w:rPr>
          <w:noProof/>
          <w:lang w:val="en-GB"/>
        </w:rPr>
        <w:t xml:space="preserve"> Y</w:t>
      </w:r>
      <w:r w:rsidR="00EE5085" w:rsidRPr="0084045A">
        <w:rPr>
          <w:noProof/>
          <w:lang w:val="en-GB"/>
        </w:rPr>
        <w:t>ears of life lost</w:t>
      </w:r>
      <w:r w:rsidRPr="0084045A">
        <w:rPr>
          <w:noProof/>
          <w:lang w:val="en-GB"/>
        </w:rPr>
        <w:t xml:space="preserve"> per age group by season</w:t>
      </w:r>
    </w:p>
    <w:tbl>
      <w:tblPr>
        <w:tblW w:w="9640" w:type="dxa"/>
        <w:tblInd w:w="-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134"/>
        <w:gridCol w:w="709"/>
        <w:gridCol w:w="567"/>
        <w:gridCol w:w="709"/>
        <w:gridCol w:w="709"/>
        <w:gridCol w:w="708"/>
        <w:gridCol w:w="709"/>
        <w:gridCol w:w="709"/>
        <w:gridCol w:w="709"/>
        <w:gridCol w:w="708"/>
        <w:gridCol w:w="709"/>
        <w:gridCol w:w="709"/>
        <w:gridCol w:w="851"/>
      </w:tblGrid>
      <w:tr w:rsidR="009113A6" w:rsidRPr="0084045A" w14:paraId="6DD3D521" w14:textId="77777777" w:rsidTr="00512905">
        <w:trPr>
          <w:trHeight w:val="930"/>
        </w:trPr>
        <w:tc>
          <w:tcPr>
            <w:tcW w:w="1134" w:type="dxa"/>
            <w:tcBorders>
              <w:bottom w:val="single" w:sz="4" w:space="0" w:color="auto"/>
            </w:tcBorders>
            <w:shd w:val="clear" w:color="auto" w:fill="auto"/>
            <w:noWrap/>
            <w:vAlign w:val="center"/>
            <w:hideMark/>
          </w:tcPr>
          <w:p w14:paraId="06EE47AE" w14:textId="51F1E1CC"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Age</w:t>
            </w:r>
            <w:r w:rsidR="002229F4" w:rsidRPr="0084045A">
              <w:rPr>
                <w:rFonts w:ascii="Arial" w:eastAsia="Times New Roman" w:hAnsi="Arial" w:cs="Arial"/>
                <w:b/>
                <w:bCs/>
                <w:noProof/>
                <w:color w:val="000000"/>
                <w:sz w:val="16"/>
                <w:szCs w:val="20"/>
                <w:lang w:val="en-GB" w:eastAsia="es-MX"/>
              </w:rPr>
              <w:t xml:space="preserve"> group, years</w:t>
            </w:r>
          </w:p>
        </w:tc>
        <w:tc>
          <w:tcPr>
            <w:tcW w:w="709" w:type="dxa"/>
            <w:tcBorders>
              <w:bottom w:val="single" w:sz="4" w:space="0" w:color="auto"/>
            </w:tcBorders>
            <w:shd w:val="clear" w:color="auto" w:fill="auto"/>
            <w:noWrap/>
            <w:textDirection w:val="btLr"/>
            <w:vAlign w:val="center"/>
            <w:hideMark/>
          </w:tcPr>
          <w:p w14:paraId="7E408997" w14:textId="64B22E09"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2009</w:t>
            </w:r>
            <w:r w:rsidR="00C23EC8" w:rsidRPr="0084045A">
              <w:rPr>
                <w:rFonts w:ascii="Arial" w:eastAsia="Times New Roman" w:hAnsi="Arial" w:cs="Arial"/>
                <w:b/>
                <w:bCs/>
                <w:noProof/>
                <w:color w:val="000000"/>
                <w:sz w:val="16"/>
                <w:szCs w:val="20"/>
                <w:lang w:val="en-GB" w:eastAsia="es-MX"/>
              </w:rPr>
              <w:t>–</w:t>
            </w:r>
            <w:r w:rsidRPr="0084045A">
              <w:rPr>
                <w:rFonts w:ascii="Arial" w:eastAsia="Times New Roman" w:hAnsi="Arial" w:cs="Arial"/>
                <w:b/>
                <w:bCs/>
                <w:noProof/>
                <w:color w:val="000000"/>
                <w:sz w:val="16"/>
                <w:szCs w:val="20"/>
                <w:lang w:val="en-GB" w:eastAsia="es-MX"/>
              </w:rPr>
              <w:t>2010</w:t>
            </w:r>
          </w:p>
        </w:tc>
        <w:tc>
          <w:tcPr>
            <w:tcW w:w="567" w:type="dxa"/>
            <w:tcBorders>
              <w:bottom w:val="single" w:sz="4" w:space="0" w:color="auto"/>
            </w:tcBorders>
            <w:shd w:val="clear" w:color="auto" w:fill="auto"/>
            <w:noWrap/>
            <w:textDirection w:val="btLr"/>
            <w:vAlign w:val="center"/>
            <w:hideMark/>
          </w:tcPr>
          <w:p w14:paraId="0CEB6C94" w14:textId="229CF014"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2010</w:t>
            </w:r>
            <w:r w:rsidR="00C23EC8" w:rsidRPr="0084045A">
              <w:rPr>
                <w:rFonts w:ascii="Arial" w:eastAsia="Times New Roman" w:hAnsi="Arial" w:cs="Arial"/>
                <w:b/>
                <w:bCs/>
                <w:noProof/>
                <w:color w:val="000000"/>
                <w:sz w:val="16"/>
                <w:szCs w:val="20"/>
                <w:lang w:val="en-GB" w:eastAsia="es-MX"/>
              </w:rPr>
              <w:t>–</w:t>
            </w:r>
            <w:r w:rsidRPr="0084045A">
              <w:rPr>
                <w:rFonts w:ascii="Arial" w:eastAsia="Times New Roman" w:hAnsi="Arial" w:cs="Arial"/>
                <w:b/>
                <w:bCs/>
                <w:noProof/>
                <w:color w:val="000000"/>
                <w:sz w:val="16"/>
                <w:szCs w:val="20"/>
                <w:lang w:val="en-GB" w:eastAsia="es-MX"/>
              </w:rPr>
              <w:t>2011</w:t>
            </w:r>
          </w:p>
        </w:tc>
        <w:tc>
          <w:tcPr>
            <w:tcW w:w="709" w:type="dxa"/>
            <w:tcBorders>
              <w:bottom w:val="single" w:sz="4" w:space="0" w:color="auto"/>
            </w:tcBorders>
            <w:shd w:val="clear" w:color="auto" w:fill="auto"/>
            <w:noWrap/>
            <w:textDirection w:val="btLr"/>
            <w:vAlign w:val="center"/>
            <w:hideMark/>
          </w:tcPr>
          <w:p w14:paraId="3EB13405" w14:textId="79B2FCD0"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2011</w:t>
            </w:r>
            <w:r w:rsidR="00C23EC8" w:rsidRPr="0084045A">
              <w:rPr>
                <w:rFonts w:ascii="Arial" w:eastAsia="Times New Roman" w:hAnsi="Arial" w:cs="Arial"/>
                <w:b/>
                <w:bCs/>
                <w:noProof/>
                <w:color w:val="000000"/>
                <w:sz w:val="16"/>
                <w:szCs w:val="20"/>
                <w:lang w:val="en-GB" w:eastAsia="es-MX"/>
              </w:rPr>
              <w:t>–</w:t>
            </w:r>
            <w:r w:rsidRPr="0084045A">
              <w:rPr>
                <w:rFonts w:ascii="Arial" w:eastAsia="Times New Roman" w:hAnsi="Arial" w:cs="Arial"/>
                <w:b/>
                <w:bCs/>
                <w:noProof/>
                <w:color w:val="000000"/>
                <w:sz w:val="16"/>
                <w:szCs w:val="20"/>
                <w:lang w:val="en-GB" w:eastAsia="es-MX"/>
              </w:rPr>
              <w:t>2012</w:t>
            </w:r>
          </w:p>
        </w:tc>
        <w:tc>
          <w:tcPr>
            <w:tcW w:w="709" w:type="dxa"/>
            <w:tcBorders>
              <w:bottom w:val="single" w:sz="4" w:space="0" w:color="auto"/>
            </w:tcBorders>
            <w:shd w:val="clear" w:color="auto" w:fill="auto"/>
            <w:noWrap/>
            <w:textDirection w:val="btLr"/>
            <w:vAlign w:val="center"/>
            <w:hideMark/>
          </w:tcPr>
          <w:p w14:paraId="2F257DE2" w14:textId="6299B7B0"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2012</w:t>
            </w:r>
            <w:r w:rsidR="001B1B04" w:rsidRPr="0084045A">
              <w:rPr>
                <w:rFonts w:ascii="Arial" w:eastAsia="Times New Roman" w:hAnsi="Arial" w:cs="Arial"/>
                <w:b/>
                <w:bCs/>
                <w:noProof/>
                <w:color w:val="000000"/>
                <w:sz w:val="16"/>
                <w:szCs w:val="20"/>
                <w:lang w:val="en-GB" w:eastAsia="es-MX"/>
              </w:rPr>
              <w:t>–</w:t>
            </w:r>
            <w:r w:rsidRPr="0084045A">
              <w:rPr>
                <w:rFonts w:ascii="Arial" w:eastAsia="Times New Roman" w:hAnsi="Arial" w:cs="Arial"/>
                <w:b/>
                <w:bCs/>
                <w:noProof/>
                <w:color w:val="000000"/>
                <w:sz w:val="16"/>
                <w:szCs w:val="20"/>
                <w:lang w:val="en-GB" w:eastAsia="es-MX"/>
              </w:rPr>
              <w:t>2013</w:t>
            </w:r>
          </w:p>
        </w:tc>
        <w:tc>
          <w:tcPr>
            <w:tcW w:w="708" w:type="dxa"/>
            <w:tcBorders>
              <w:bottom w:val="single" w:sz="4" w:space="0" w:color="auto"/>
            </w:tcBorders>
            <w:shd w:val="clear" w:color="auto" w:fill="auto"/>
            <w:noWrap/>
            <w:textDirection w:val="btLr"/>
            <w:vAlign w:val="center"/>
            <w:hideMark/>
          </w:tcPr>
          <w:p w14:paraId="4C5B0751" w14:textId="3E28CC01"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2013</w:t>
            </w:r>
            <w:r w:rsidR="00C23EC8" w:rsidRPr="0084045A">
              <w:rPr>
                <w:rFonts w:ascii="Arial" w:eastAsia="Times New Roman" w:hAnsi="Arial" w:cs="Arial"/>
                <w:b/>
                <w:bCs/>
                <w:noProof/>
                <w:color w:val="000000"/>
                <w:sz w:val="16"/>
                <w:szCs w:val="20"/>
                <w:lang w:val="en-GB" w:eastAsia="es-MX"/>
              </w:rPr>
              <w:t>–</w:t>
            </w:r>
            <w:r w:rsidRPr="0084045A">
              <w:rPr>
                <w:rFonts w:ascii="Arial" w:eastAsia="Times New Roman" w:hAnsi="Arial" w:cs="Arial"/>
                <w:b/>
                <w:bCs/>
                <w:noProof/>
                <w:color w:val="000000"/>
                <w:sz w:val="16"/>
                <w:szCs w:val="20"/>
                <w:lang w:val="en-GB" w:eastAsia="es-MX"/>
              </w:rPr>
              <w:t>2014</w:t>
            </w:r>
          </w:p>
        </w:tc>
        <w:tc>
          <w:tcPr>
            <w:tcW w:w="709" w:type="dxa"/>
            <w:tcBorders>
              <w:bottom w:val="single" w:sz="4" w:space="0" w:color="auto"/>
            </w:tcBorders>
            <w:shd w:val="clear" w:color="auto" w:fill="auto"/>
            <w:noWrap/>
            <w:textDirection w:val="btLr"/>
            <w:vAlign w:val="center"/>
            <w:hideMark/>
          </w:tcPr>
          <w:p w14:paraId="5B347B73" w14:textId="3E271FE0"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2014</w:t>
            </w:r>
            <w:r w:rsidR="00C23EC8" w:rsidRPr="0084045A">
              <w:rPr>
                <w:rFonts w:ascii="Arial" w:eastAsia="Times New Roman" w:hAnsi="Arial" w:cs="Arial"/>
                <w:b/>
                <w:bCs/>
                <w:noProof/>
                <w:color w:val="000000"/>
                <w:sz w:val="16"/>
                <w:szCs w:val="20"/>
                <w:lang w:val="en-GB" w:eastAsia="es-MX"/>
              </w:rPr>
              <w:t>–</w:t>
            </w:r>
            <w:r w:rsidRPr="0084045A">
              <w:rPr>
                <w:rFonts w:ascii="Arial" w:eastAsia="Times New Roman" w:hAnsi="Arial" w:cs="Arial"/>
                <w:b/>
                <w:bCs/>
                <w:noProof/>
                <w:color w:val="000000"/>
                <w:sz w:val="16"/>
                <w:szCs w:val="20"/>
                <w:lang w:val="en-GB" w:eastAsia="es-MX"/>
              </w:rPr>
              <w:t>2015</w:t>
            </w:r>
          </w:p>
        </w:tc>
        <w:tc>
          <w:tcPr>
            <w:tcW w:w="709" w:type="dxa"/>
            <w:tcBorders>
              <w:bottom w:val="single" w:sz="4" w:space="0" w:color="auto"/>
            </w:tcBorders>
            <w:shd w:val="clear" w:color="auto" w:fill="auto"/>
            <w:noWrap/>
            <w:textDirection w:val="btLr"/>
            <w:vAlign w:val="center"/>
            <w:hideMark/>
          </w:tcPr>
          <w:p w14:paraId="0770E07E" w14:textId="7DFEA239"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2015</w:t>
            </w:r>
            <w:r w:rsidR="00C23EC8" w:rsidRPr="0084045A">
              <w:rPr>
                <w:rFonts w:ascii="Arial" w:eastAsia="Times New Roman" w:hAnsi="Arial" w:cs="Arial"/>
                <w:b/>
                <w:bCs/>
                <w:noProof/>
                <w:color w:val="000000"/>
                <w:sz w:val="16"/>
                <w:szCs w:val="20"/>
                <w:lang w:val="en-GB" w:eastAsia="es-MX"/>
              </w:rPr>
              <w:t>–</w:t>
            </w:r>
            <w:r w:rsidRPr="0084045A">
              <w:rPr>
                <w:rFonts w:ascii="Arial" w:eastAsia="Times New Roman" w:hAnsi="Arial" w:cs="Arial"/>
                <w:b/>
                <w:bCs/>
                <w:noProof/>
                <w:color w:val="000000"/>
                <w:sz w:val="16"/>
                <w:szCs w:val="20"/>
                <w:lang w:val="en-GB" w:eastAsia="es-MX"/>
              </w:rPr>
              <w:t>2016</w:t>
            </w:r>
          </w:p>
        </w:tc>
        <w:tc>
          <w:tcPr>
            <w:tcW w:w="709" w:type="dxa"/>
            <w:tcBorders>
              <w:bottom w:val="single" w:sz="4" w:space="0" w:color="auto"/>
            </w:tcBorders>
            <w:shd w:val="clear" w:color="auto" w:fill="auto"/>
            <w:noWrap/>
            <w:textDirection w:val="btLr"/>
            <w:vAlign w:val="center"/>
            <w:hideMark/>
          </w:tcPr>
          <w:p w14:paraId="106102F7" w14:textId="2CA25A59"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2016</w:t>
            </w:r>
            <w:r w:rsidR="00C23EC8" w:rsidRPr="0084045A">
              <w:rPr>
                <w:rFonts w:ascii="Arial" w:eastAsia="Times New Roman" w:hAnsi="Arial" w:cs="Arial"/>
                <w:b/>
                <w:bCs/>
                <w:noProof/>
                <w:color w:val="000000"/>
                <w:sz w:val="16"/>
                <w:szCs w:val="20"/>
                <w:lang w:val="en-GB" w:eastAsia="es-MX"/>
              </w:rPr>
              <w:t>–</w:t>
            </w:r>
            <w:r w:rsidRPr="0084045A">
              <w:rPr>
                <w:rFonts w:ascii="Arial" w:eastAsia="Times New Roman" w:hAnsi="Arial" w:cs="Arial"/>
                <w:b/>
                <w:bCs/>
                <w:noProof/>
                <w:color w:val="000000"/>
                <w:sz w:val="16"/>
                <w:szCs w:val="20"/>
                <w:lang w:val="en-GB" w:eastAsia="es-MX"/>
              </w:rPr>
              <w:t>2017</w:t>
            </w:r>
          </w:p>
        </w:tc>
        <w:tc>
          <w:tcPr>
            <w:tcW w:w="708" w:type="dxa"/>
            <w:tcBorders>
              <w:bottom w:val="single" w:sz="4" w:space="0" w:color="auto"/>
            </w:tcBorders>
            <w:shd w:val="clear" w:color="auto" w:fill="auto"/>
            <w:noWrap/>
            <w:textDirection w:val="btLr"/>
            <w:vAlign w:val="center"/>
            <w:hideMark/>
          </w:tcPr>
          <w:p w14:paraId="74BB7241" w14:textId="5B320F8F"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2017</w:t>
            </w:r>
            <w:r w:rsidR="001B1B04" w:rsidRPr="0084045A">
              <w:rPr>
                <w:rFonts w:ascii="Arial" w:eastAsia="Times New Roman" w:hAnsi="Arial" w:cs="Arial"/>
                <w:b/>
                <w:bCs/>
                <w:noProof/>
                <w:color w:val="000000"/>
                <w:sz w:val="16"/>
                <w:szCs w:val="20"/>
                <w:lang w:val="en-GB" w:eastAsia="es-MX"/>
              </w:rPr>
              <w:t>–</w:t>
            </w:r>
            <w:r w:rsidRPr="0084045A">
              <w:rPr>
                <w:rFonts w:ascii="Arial" w:eastAsia="Times New Roman" w:hAnsi="Arial" w:cs="Arial"/>
                <w:b/>
                <w:bCs/>
                <w:noProof/>
                <w:color w:val="000000"/>
                <w:sz w:val="16"/>
                <w:szCs w:val="20"/>
                <w:lang w:val="en-GB" w:eastAsia="es-MX"/>
              </w:rPr>
              <w:t>2018</w:t>
            </w:r>
          </w:p>
        </w:tc>
        <w:tc>
          <w:tcPr>
            <w:tcW w:w="709" w:type="dxa"/>
            <w:tcBorders>
              <w:bottom w:val="single" w:sz="4" w:space="0" w:color="auto"/>
            </w:tcBorders>
            <w:shd w:val="clear" w:color="auto" w:fill="auto"/>
            <w:noWrap/>
            <w:textDirection w:val="btLr"/>
            <w:vAlign w:val="center"/>
            <w:hideMark/>
          </w:tcPr>
          <w:p w14:paraId="561B0E1D" w14:textId="2A8BD0E5"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2018</w:t>
            </w:r>
            <w:r w:rsidR="00C23EC8" w:rsidRPr="0084045A">
              <w:rPr>
                <w:rFonts w:ascii="Arial" w:eastAsia="Times New Roman" w:hAnsi="Arial" w:cs="Arial"/>
                <w:b/>
                <w:bCs/>
                <w:noProof/>
                <w:color w:val="000000"/>
                <w:sz w:val="16"/>
                <w:szCs w:val="20"/>
                <w:lang w:val="en-GB" w:eastAsia="es-MX"/>
              </w:rPr>
              <w:t>–</w:t>
            </w:r>
            <w:r w:rsidRPr="0084045A">
              <w:rPr>
                <w:rFonts w:ascii="Arial" w:eastAsia="Times New Roman" w:hAnsi="Arial" w:cs="Arial"/>
                <w:b/>
                <w:bCs/>
                <w:noProof/>
                <w:color w:val="000000"/>
                <w:sz w:val="16"/>
                <w:szCs w:val="20"/>
                <w:lang w:val="en-GB" w:eastAsia="es-MX"/>
              </w:rPr>
              <w:t>2019</w:t>
            </w:r>
          </w:p>
        </w:tc>
        <w:tc>
          <w:tcPr>
            <w:tcW w:w="709" w:type="dxa"/>
            <w:tcBorders>
              <w:bottom w:val="single" w:sz="4" w:space="0" w:color="auto"/>
            </w:tcBorders>
            <w:shd w:val="clear" w:color="auto" w:fill="auto"/>
            <w:noWrap/>
            <w:vAlign w:val="center"/>
            <w:hideMark/>
          </w:tcPr>
          <w:p w14:paraId="66F95AF4" w14:textId="77777777"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Total</w:t>
            </w:r>
          </w:p>
        </w:tc>
        <w:tc>
          <w:tcPr>
            <w:tcW w:w="851" w:type="dxa"/>
            <w:tcBorders>
              <w:bottom w:val="single" w:sz="4" w:space="0" w:color="auto"/>
            </w:tcBorders>
            <w:shd w:val="clear" w:color="auto" w:fill="auto"/>
            <w:noWrap/>
            <w:textDirection w:val="btLr"/>
            <w:vAlign w:val="center"/>
            <w:hideMark/>
          </w:tcPr>
          <w:p w14:paraId="07233C7A" w14:textId="77777777"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w:t>
            </w:r>
          </w:p>
        </w:tc>
      </w:tr>
      <w:tr w:rsidR="00205869" w:rsidRPr="0084045A" w14:paraId="0BC66238" w14:textId="77777777" w:rsidTr="00512905">
        <w:trPr>
          <w:trHeight w:val="315"/>
        </w:trPr>
        <w:tc>
          <w:tcPr>
            <w:tcW w:w="1134" w:type="dxa"/>
            <w:tcBorders>
              <w:bottom w:val="nil"/>
              <w:right w:val="nil"/>
            </w:tcBorders>
            <w:shd w:val="clear" w:color="auto" w:fill="auto"/>
            <w:noWrap/>
            <w:vAlign w:val="center"/>
            <w:hideMark/>
          </w:tcPr>
          <w:p w14:paraId="72A457C2" w14:textId="0E441D5D" w:rsidR="00205869" w:rsidRPr="0084045A" w:rsidRDefault="00205869" w:rsidP="00205869">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16"/>
                <w:lang w:val="en-GB" w:eastAsia="es-MX"/>
              </w:rPr>
              <w:t>0</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4</w:t>
            </w:r>
          </w:p>
        </w:tc>
        <w:tc>
          <w:tcPr>
            <w:tcW w:w="709" w:type="dxa"/>
            <w:tcBorders>
              <w:left w:val="nil"/>
              <w:bottom w:val="nil"/>
              <w:right w:val="nil"/>
            </w:tcBorders>
            <w:shd w:val="clear" w:color="auto" w:fill="auto"/>
            <w:noWrap/>
            <w:vAlign w:val="center"/>
            <w:hideMark/>
          </w:tcPr>
          <w:p w14:paraId="25C7A896"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366</w:t>
            </w:r>
          </w:p>
        </w:tc>
        <w:tc>
          <w:tcPr>
            <w:tcW w:w="567" w:type="dxa"/>
            <w:tcBorders>
              <w:left w:val="nil"/>
              <w:bottom w:val="nil"/>
              <w:right w:val="nil"/>
            </w:tcBorders>
            <w:shd w:val="clear" w:color="auto" w:fill="auto"/>
            <w:noWrap/>
            <w:vAlign w:val="center"/>
            <w:hideMark/>
          </w:tcPr>
          <w:p w14:paraId="779B46C0"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151</w:t>
            </w:r>
          </w:p>
        </w:tc>
        <w:tc>
          <w:tcPr>
            <w:tcW w:w="709" w:type="dxa"/>
            <w:tcBorders>
              <w:left w:val="nil"/>
              <w:bottom w:val="nil"/>
              <w:right w:val="nil"/>
            </w:tcBorders>
            <w:shd w:val="clear" w:color="auto" w:fill="auto"/>
            <w:noWrap/>
            <w:vAlign w:val="center"/>
            <w:hideMark/>
          </w:tcPr>
          <w:p w14:paraId="1AF61FCD" w14:textId="662741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1847</w:t>
            </w:r>
          </w:p>
        </w:tc>
        <w:tc>
          <w:tcPr>
            <w:tcW w:w="709" w:type="dxa"/>
            <w:tcBorders>
              <w:left w:val="nil"/>
              <w:bottom w:val="nil"/>
              <w:right w:val="nil"/>
            </w:tcBorders>
            <w:shd w:val="clear" w:color="auto" w:fill="auto"/>
            <w:noWrap/>
            <w:vAlign w:val="center"/>
            <w:hideMark/>
          </w:tcPr>
          <w:p w14:paraId="6F2EAC40"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604</w:t>
            </w:r>
          </w:p>
        </w:tc>
        <w:tc>
          <w:tcPr>
            <w:tcW w:w="708" w:type="dxa"/>
            <w:tcBorders>
              <w:left w:val="nil"/>
              <w:bottom w:val="nil"/>
              <w:right w:val="nil"/>
            </w:tcBorders>
            <w:shd w:val="clear" w:color="auto" w:fill="auto"/>
            <w:noWrap/>
            <w:vAlign w:val="center"/>
            <w:hideMark/>
          </w:tcPr>
          <w:p w14:paraId="6C92F69A" w14:textId="0B07536B"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2831</w:t>
            </w:r>
          </w:p>
        </w:tc>
        <w:tc>
          <w:tcPr>
            <w:tcW w:w="709" w:type="dxa"/>
            <w:tcBorders>
              <w:left w:val="nil"/>
              <w:bottom w:val="nil"/>
              <w:right w:val="nil"/>
            </w:tcBorders>
            <w:shd w:val="clear" w:color="auto" w:fill="auto"/>
            <w:noWrap/>
            <w:vAlign w:val="center"/>
            <w:hideMark/>
          </w:tcPr>
          <w:p w14:paraId="5D0B6CC0"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458</w:t>
            </w:r>
          </w:p>
        </w:tc>
        <w:tc>
          <w:tcPr>
            <w:tcW w:w="709" w:type="dxa"/>
            <w:tcBorders>
              <w:left w:val="nil"/>
              <w:bottom w:val="nil"/>
              <w:right w:val="nil"/>
            </w:tcBorders>
            <w:shd w:val="clear" w:color="auto" w:fill="auto"/>
            <w:noWrap/>
            <w:vAlign w:val="center"/>
            <w:hideMark/>
          </w:tcPr>
          <w:p w14:paraId="1A57F6DE" w14:textId="3317D38A"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3053</w:t>
            </w:r>
          </w:p>
        </w:tc>
        <w:tc>
          <w:tcPr>
            <w:tcW w:w="709" w:type="dxa"/>
            <w:tcBorders>
              <w:left w:val="nil"/>
              <w:bottom w:val="nil"/>
              <w:right w:val="nil"/>
            </w:tcBorders>
            <w:shd w:val="clear" w:color="auto" w:fill="auto"/>
            <w:noWrap/>
            <w:vAlign w:val="center"/>
            <w:hideMark/>
          </w:tcPr>
          <w:p w14:paraId="3BA65274" w14:textId="341B1A4B"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1408</w:t>
            </w:r>
          </w:p>
        </w:tc>
        <w:tc>
          <w:tcPr>
            <w:tcW w:w="708" w:type="dxa"/>
            <w:tcBorders>
              <w:left w:val="nil"/>
              <w:bottom w:val="nil"/>
              <w:right w:val="nil"/>
            </w:tcBorders>
            <w:shd w:val="clear" w:color="auto" w:fill="auto"/>
            <w:noWrap/>
            <w:vAlign w:val="center"/>
            <w:hideMark/>
          </w:tcPr>
          <w:p w14:paraId="76B601A1" w14:textId="0ECC7BD3"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1053</w:t>
            </w:r>
          </w:p>
        </w:tc>
        <w:tc>
          <w:tcPr>
            <w:tcW w:w="709" w:type="dxa"/>
            <w:tcBorders>
              <w:left w:val="nil"/>
              <w:bottom w:val="nil"/>
              <w:right w:val="nil"/>
            </w:tcBorders>
            <w:shd w:val="clear" w:color="auto" w:fill="auto"/>
            <w:noWrap/>
            <w:vAlign w:val="center"/>
            <w:hideMark/>
          </w:tcPr>
          <w:p w14:paraId="3F69875B"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154</w:t>
            </w:r>
          </w:p>
        </w:tc>
        <w:tc>
          <w:tcPr>
            <w:tcW w:w="709" w:type="dxa"/>
            <w:tcBorders>
              <w:left w:val="nil"/>
              <w:bottom w:val="nil"/>
              <w:right w:val="nil"/>
            </w:tcBorders>
            <w:shd w:val="clear" w:color="auto" w:fill="auto"/>
            <w:noWrap/>
            <w:vAlign w:val="center"/>
            <w:hideMark/>
          </w:tcPr>
          <w:p w14:paraId="4E7A904A" w14:textId="77777777" w:rsidR="00205869" w:rsidRPr="0084045A" w:rsidRDefault="00205869" w:rsidP="00205869">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11,925</w:t>
            </w:r>
          </w:p>
        </w:tc>
        <w:tc>
          <w:tcPr>
            <w:tcW w:w="851" w:type="dxa"/>
            <w:tcBorders>
              <w:left w:val="nil"/>
              <w:bottom w:val="nil"/>
            </w:tcBorders>
            <w:shd w:val="clear" w:color="auto" w:fill="auto"/>
            <w:noWrap/>
            <w:vAlign w:val="center"/>
            <w:hideMark/>
          </w:tcPr>
          <w:p w14:paraId="4EFE45BE"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12.47%</w:t>
            </w:r>
          </w:p>
        </w:tc>
      </w:tr>
      <w:tr w:rsidR="00205869" w:rsidRPr="0084045A" w14:paraId="2C55CC78" w14:textId="77777777" w:rsidTr="00512905">
        <w:trPr>
          <w:trHeight w:val="330"/>
        </w:trPr>
        <w:tc>
          <w:tcPr>
            <w:tcW w:w="1134" w:type="dxa"/>
            <w:tcBorders>
              <w:top w:val="nil"/>
              <w:bottom w:val="nil"/>
              <w:right w:val="nil"/>
            </w:tcBorders>
            <w:shd w:val="clear" w:color="auto" w:fill="auto"/>
            <w:noWrap/>
            <w:vAlign w:val="center"/>
            <w:hideMark/>
          </w:tcPr>
          <w:p w14:paraId="54B2A9CD" w14:textId="28A3A524" w:rsidR="00205869" w:rsidRPr="0084045A" w:rsidRDefault="00205869" w:rsidP="00205869">
            <w:pPr>
              <w:spacing w:after="0" w:line="480" w:lineRule="auto"/>
              <w:jc w:val="center"/>
              <w:rPr>
                <w:rFonts w:ascii="Arial" w:eastAsia="Times New Roman" w:hAnsi="Arial" w:cs="Arial"/>
                <w:b/>
                <w:bCs/>
                <w:noProof/>
                <w:sz w:val="16"/>
                <w:szCs w:val="20"/>
                <w:lang w:val="en-GB" w:eastAsia="es-MX"/>
              </w:rPr>
            </w:pPr>
            <w:r w:rsidRPr="0084045A">
              <w:rPr>
                <w:rFonts w:ascii="Arial" w:eastAsia="Times New Roman" w:hAnsi="Arial" w:cs="Arial"/>
                <w:b/>
                <w:bCs/>
                <w:noProof/>
                <w:sz w:val="16"/>
                <w:szCs w:val="16"/>
                <w:lang w:val="en-GB" w:eastAsia="es-MX"/>
              </w:rPr>
              <w:t>5</w:t>
            </w:r>
            <w:r w:rsidR="00C23EC8" w:rsidRPr="0084045A">
              <w:rPr>
                <w:rFonts w:ascii="Arial" w:eastAsia="Times New Roman" w:hAnsi="Arial" w:cs="Arial"/>
                <w:b/>
                <w:bCs/>
                <w:noProof/>
                <w:sz w:val="16"/>
                <w:szCs w:val="16"/>
                <w:lang w:val="en-GB" w:eastAsia="es-MX"/>
              </w:rPr>
              <w:t>–</w:t>
            </w:r>
            <w:r w:rsidRPr="0084045A">
              <w:rPr>
                <w:rFonts w:ascii="Arial" w:eastAsia="Times New Roman" w:hAnsi="Arial" w:cs="Arial"/>
                <w:b/>
                <w:bCs/>
                <w:noProof/>
                <w:sz w:val="16"/>
                <w:szCs w:val="16"/>
                <w:lang w:val="en-GB" w:eastAsia="es-MX"/>
              </w:rPr>
              <w:t>11</w:t>
            </w:r>
          </w:p>
        </w:tc>
        <w:tc>
          <w:tcPr>
            <w:tcW w:w="709" w:type="dxa"/>
            <w:tcBorders>
              <w:top w:val="nil"/>
              <w:left w:val="nil"/>
              <w:bottom w:val="nil"/>
              <w:right w:val="nil"/>
            </w:tcBorders>
            <w:shd w:val="clear" w:color="auto" w:fill="auto"/>
            <w:noWrap/>
            <w:vAlign w:val="center"/>
            <w:hideMark/>
          </w:tcPr>
          <w:p w14:paraId="652904CC" w14:textId="77777777"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284</w:t>
            </w:r>
          </w:p>
        </w:tc>
        <w:tc>
          <w:tcPr>
            <w:tcW w:w="567" w:type="dxa"/>
            <w:tcBorders>
              <w:top w:val="nil"/>
              <w:left w:val="nil"/>
              <w:bottom w:val="nil"/>
              <w:right w:val="nil"/>
            </w:tcBorders>
            <w:shd w:val="clear" w:color="auto" w:fill="auto"/>
            <w:noWrap/>
            <w:vAlign w:val="center"/>
            <w:hideMark/>
          </w:tcPr>
          <w:p w14:paraId="71A9F274" w14:textId="77777777"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0</w:t>
            </w:r>
          </w:p>
        </w:tc>
        <w:tc>
          <w:tcPr>
            <w:tcW w:w="709" w:type="dxa"/>
            <w:tcBorders>
              <w:top w:val="nil"/>
              <w:left w:val="nil"/>
              <w:bottom w:val="nil"/>
              <w:right w:val="nil"/>
            </w:tcBorders>
            <w:shd w:val="clear" w:color="auto" w:fill="auto"/>
            <w:noWrap/>
            <w:vAlign w:val="center"/>
            <w:hideMark/>
          </w:tcPr>
          <w:p w14:paraId="1FC73F02" w14:textId="77777777"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460</w:t>
            </w:r>
          </w:p>
        </w:tc>
        <w:tc>
          <w:tcPr>
            <w:tcW w:w="709" w:type="dxa"/>
            <w:tcBorders>
              <w:top w:val="nil"/>
              <w:left w:val="nil"/>
              <w:bottom w:val="nil"/>
              <w:right w:val="nil"/>
            </w:tcBorders>
            <w:shd w:val="clear" w:color="auto" w:fill="auto"/>
            <w:noWrap/>
            <w:vAlign w:val="center"/>
            <w:hideMark/>
          </w:tcPr>
          <w:p w14:paraId="39C8F4BC" w14:textId="77777777"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132</w:t>
            </w:r>
          </w:p>
        </w:tc>
        <w:tc>
          <w:tcPr>
            <w:tcW w:w="708" w:type="dxa"/>
            <w:tcBorders>
              <w:top w:val="nil"/>
              <w:left w:val="nil"/>
              <w:bottom w:val="nil"/>
              <w:right w:val="nil"/>
            </w:tcBorders>
            <w:shd w:val="clear" w:color="auto" w:fill="auto"/>
            <w:noWrap/>
            <w:vAlign w:val="center"/>
            <w:hideMark/>
          </w:tcPr>
          <w:p w14:paraId="6D61B54C" w14:textId="29032B6C"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1149</w:t>
            </w:r>
          </w:p>
        </w:tc>
        <w:tc>
          <w:tcPr>
            <w:tcW w:w="709" w:type="dxa"/>
            <w:tcBorders>
              <w:top w:val="nil"/>
              <w:left w:val="nil"/>
              <w:bottom w:val="nil"/>
              <w:right w:val="nil"/>
            </w:tcBorders>
            <w:shd w:val="clear" w:color="auto" w:fill="auto"/>
            <w:noWrap/>
            <w:vAlign w:val="center"/>
            <w:hideMark/>
          </w:tcPr>
          <w:p w14:paraId="58751F1E" w14:textId="77777777"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207</w:t>
            </w:r>
          </w:p>
        </w:tc>
        <w:tc>
          <w:tcPr>
            <w:tcW w:w="709" w:type="dxa"/>
            <w:tcBorders>
              <w:top w:val="nil"/>
              <w:left w:val="nil"/>
              <w:bottom w:val="nil"/>
              <w:right w:val="nil"/>
            </w:tcBorders>
            <w:shd w:val="clear" w:color="auto" w:fill="auto"/>
            <w:noWrap/>
            <w:vAlign w:val="center"/>
            <w:hideMark/>
          </w:tcPr>
          <w:p w14:paraId="20379B24" w14:textId="79A5A3CD"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1656</w:t>
            </w:r>
          </w:p>
        </w:tc>
        <w:tc>
          <w:tcPr>
            <w:tcW w:w="709" w:type="dxa"/>
            <w:tcBorders>
              <w:top w:val="nil"/>
              <w:left w:val="nil"/>
              <w:bottom w:val="nil"/>
              <w:right w:val="nil"/>
            </w:tcBorders>
            <w:shd w:val="clear" w:color="auto" w:fill="auto"/>
            <w:noWrap/>
            <w:vAlign w:val="center"/>
            <w:hideMark/>
          </w:tcPr>
          <w:p w14:paraId="1047745F" w14:textId="77777777"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664</w:t>
            </w:r>
          </w:p>
        </w:tc>
        <w:tc>
          <w:tcPr>
            <w:tcW w:w="708" w:type="dxa"/>
            <w:tcBorders>
              <w:top w:val="nil"/>
              <w:left w:val="nil"/>
              <w:bottom w:val="nil"/>
              <w:right w:val="nil"/>
            </w:tcBorders>
            <w:shd w:val="clear" w:color="auto" w:fill="auto"/>
            <w:noWrap/>
            <w:vAlign w:val="center"/>
            <w:hideMark/>
          </w:tcPr>
          <w:p w14:paraId="20480E25" w14:textId="77777777"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549</w:t>
            </w:r>
          </w:p>
        </w:tc>
        <w:tc>
          <w:tcPr>
            <w:tcW w:w="709" w:type="dxa"/>
            <w:tcBorders>
              <w:top w:val="nil"/>
              <w:left w:val="nil"/>
              <w:bottom w:val="nil"/>
              <w:right w:val="nil"/>
            </w:tcBorders>
            <w:shd w:val="clear" w:color="auto" w:fill="auto"/>
            <w:noWrap/>
            <w:vAlign w:val="center"/>
            <w:hideMark/>
          </w:tcPr>
          <w:p w14:paraId="07536CAC" w14:textId="77777777"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0</w:t>
            </w:r>
          </w:p>
        </w:tc>
        <w:tc>
          <w:tcPr>
            <w:tcW w:w="709" w:type="dxa"/>
            <w:tcBorders>
              <w:top w:val="nil"/>
              <w:left w:val="nil"/>
              <w:bottom w:val="nil"/>
              <w:right w:val="nil"/>
            </w:tcBorders>
            <w:shd w:val="clear" w:color="auto" w:fill="auto"/>
            <w:noWrap/>
            <w:vAlign w:val="center"/>
            <w:hideMark/>
          </w:tcPr>
          <w:p w14:paraId="267CC40C" w14:textId="6289D9F2" w:rsidR="00205869" w:rsidRPr="0084045A" w:rsidRDefault="00205869" w:rsidP="00205869">
            <w:pPr>
              <w:spacing w:after="0" w:line="480" w:lineRule="auto"/>
              <w:jc w:val="center"/>
              <w:rPr>
                <w:rFonts w:ascii="Arial" w:eastAsia="Times New Roman" w:hAnsi="Arial" w:cs="Arial"/>
                <w:b/>
                <w:bCs/>
                <w:noProof/>
                <w:sz w:val="16"/>
                <w:szCs w:val="20"/>
                <w:lang w:val="en-GB" w:eastAsia="es-MX"/>
              </w:rPr>
            </w:pPr>
            <w:r w:rsidRPr="0084045A">
              <w:rPr>
                <w:rFonts w:ascii="Arial" w:eastAsia="Times New Roman" w:hAnsi="Arial" w:cs="Arial"/>
                <w:b/>
                <w:bCs/>
                <w:noProof/>
                <w:sz w:val="16"/>
                <w:szCs w:val="20"/>
                <w:lang w:val="en-GB" w:eastAsia="es-MX"/>
              </w:rPr>
              <w:t>5101</w:t>
            </w:r>
          </w:p>
        </w:tc>
        <w:tc>
          <w:tcPr>
            <w:tcW w:w="851" w:type="dxa"/>
            <w:tcBorders>
              <w:top w:val="nil"/>
              <w:left w:val="nil"/>
              <w:bottom w:val="nil"/>
            </w:tcBorders>
            <w:shd w:val="clear" w:color="auto" w:fill="auto"/>
            <w:noWrap/>
            <w:vAlign w:val="center"/>
            <w:hideMark/>
          </w:tcPr>
          <w:p w14:paraId="1B79D7BA" w14:textId="77777777" w:rsidR="00205869" w:rsidRPr="0084045A" w:rsidRDefault="00205869" w:rsidP="00205869">
            <w:pPr>
              <w:spacing w:after="0" w:line="480" w:lineRule="auto"/>
              <w:jc w:val="center"/>
              <w:rPr>
                <w:rFonts w:ascii="Arial" w:eastAsia="Times New Roman" w:hAnsi="Arial" w:cs="Arial"/>
                <w:noProof/>
                <w:sz w:val="16"/>
                <w:szCs w:val="20"/>
                <w:lang w:val="en-GB" w:eastAsia="es-MX"/>
              </w:rPr>
            </w:pPr>
            <w:r w:rsidRPr="0084045A">
              <w:rPr>
                <w:rFonts w:ascii="Arial" w:eastAsia="Times New Roman" w:hAnsi="Arial" w:cs="Arial"/>
                <w:noProof/>
                <w:sz w:val="16"/>
                <w:szCs w:val="20"/>
                <w:lang w:val="en-GB" w:eastAsia="es-MX"/>
              </w:rPr>
              <w:t>5.33%</w:t>
            </w:r>
          </w:p>
        </w:tc>
      </w:tr>
      <w:tr w:rsidR="00205869" w:rsidRPr="0084045A" w14:paraId="53DE3450" w14:textId="77777777" w:rsidTr="00512905">
        <w:trPr>
          <w:trHeight w:val="315"/>
        </w:trPr>
        <w:tc>
          <w:tcPr>
            <w:tcW w:w="1134" w:type="dxa"/>
            <w:tcBorders>
              <w:top w:val="nil"/>
              <w:bottom w:val="nil"/>
              <w:right w:val="nil"/>
            </w:tcBorders>
            <w:shd w:val="clear" w:color="auto" w:fill="auto"/>
            <w:noWrap/>
            <w:vAlign w:val="center"/>
            <w:hideMark/>
          </w:tcPr>
          <w:p w14:paraId="7291DF86" w14:textId="5F88A111" w:rsidR="00205869" w:rsidRPr="0084045A" w:rsidRDefault="00205869" w:rsidP="00205869">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16"/>
                <w:lang w:val="en-GB" w:eastAsia="es-MX"/>
              </w:rPr>
              <w:t>12</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17</w:t>
            </w:r>
          </w:p>
        </w:tc>
        <w:tc>
          <w:tcPr>
            <w:tcW w:w="709" w:type="dxa"/>
            <w:tcBorders>
              <w:top w:val="nil"/>
              <w:left w:val="nil"/>
              <w:bottom w:val="nil"/>
              <w:right w:val="nil"/>
            </w:tcBorders>
            <w:shd w:val="clear" w:color="auto" w:fill="auto"/>
            <w:noWrap/>
            <w:vAlign w:val="center"/>
            <w:hideMark/>
          </w:tcPr>
          <w:p w14:paraId="6138FFE7"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236</w:t>
            </w:r>
          </w:p>
        </w:tc>
        <w:tc>
          <w:tcPr>
            <w:tcW w:w="567" w:type="dxa"/>
            <w:tcBorders>
              <w:top w:val="nil"/>
              <w:left w:val="nil"/>
              <w:bottom w:val="nil"/>
              <w:right w:val="nil"/>
            </w:tcBorders>
            <w:shd w:val="clear" w:color="auto" w:fill="auto"/>
            <w:noWrap/>
            <w:vAlign w:val="center"/>
            <w:hideMark/>
          </w:tcPr>
          <w:p w14:paraId="62BE343B"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62</w:t>
            </w:r>
          </w:p>
        </w:tc>
        <w:tc>
          <w:tcPr>
            <w:tcW w:w="709" w:type="dxa"/>
            <w:tcBorders>
              <w:top w:val="nil"/>
              <w:left w:val="nil"/>
              <w:bottom w:val="nil"/>
              <w:right w:val="nil"/>
            </w:tcBorders>
            <w:shd w:val="clear" w:color="auto" w:fill="auto"/>
            <w:noWrap/>
            <w:vAlign w:val="center"/>
            <w:hideMark/>
          </w:tcPr>
          <w:p w14:paraId="35E6AA2E"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431</w:t>
            </w:r>
          </w:p>
        </w:tc>
        <w:tc>
          <w:tcPr>
            <w:tcW w:w="709" w:type="dxa"/>
            <w:tcBorders>
              <w:top w:val="nil"/>
              <w:left w:val="nil"/>
              <w:bottom w:val="nil"/>
              <w:right w:val="nil"/>
            </w:tcBorders>
            <w:shd w:val="clear" w:color="auto" w:fill="auto"/>
            <w:noWrap/>
            <w:vAlign w:val="center"/>
            <w:hideMark/>
          </w:tcPr>
          <w:p w14:paraId="6D1B6C04"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61</w:t>
            </w:r>
          </w:p>
        </w:tc>
        <w:tc>
          <w:tcPr>
            <w:tcW w:w="708" w:type="dxa"/>
            <w:tcBorders>
              <w:top w:val="nil"/>
              <w:left w:val="nil"/>
              <w:bottom w:val="nil"/>
              <w:right w:val="nil"/>
            </w:tcBorders>
            <w:shd w:val="clear" w:color="auto" w:fill="auto"/>
            <w:noWrap/>
            <w:vAlign w:val="center"/>
            <w:hideMark/>
          </w:tcPr>
          <w:p w14:paraId="500BD654"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685</w:t>
            </w:r>
          </w:p>
        </w:tc>
        <w:tc>
          <w:tcPr>
            <w:tcW w:w="709" w:type="dxa"/>
            <w:tcBorders>
              <w:top w:val="nil"/>
              <w:left w:val="nil"/>
              <w:bottom w:val="nil"/>
              <w:right w:val="nil"/>
            </w:tcBorders>
            <w:shd w:val="clear" w:color="auto" w:fill="auto"/>
            <w:noWrap/>
            <w:vAlign w:val="center"/>
            <w:hideMark/>
          </w:tcPr>
          <w:p w14:paraId="712A3E89"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240</w:t>
            </w:r>
          </w:p>
        </w:tc>
        <w:tc>
          <w:tcPr>
            <w:tcW w:w="709" w:type="dxa"/>
            <w:tcBorders>
              <w:top w:val="nil"/>
              <w:left w:val="nil"/>
              <w:bottom w:val="nil"/>
              <w:right w:val="nil"/>
            </w:tcBorders>
            <w:shd w:val="clear" w:color="auto" w:fill="auto"/>
            <w:noWrap/>
            <w:vAlign w:val="center"/>
            <w:hideMark/>
          </w:tcPr>
          <w:p w14:paraId="7CAE0ECB"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494</w:t>
            </w:r>
          </w:p>
        </w:tc>
        <w:tc>
          <w:tcPr>
            <w:tcW w:w="709" w:type="dxa"/>
            <w:tcBorders>
              <w:top w:val="nil"/>
              <w:left w:val="nil"/>
              <w:bottom w:val="nil"/>
              <w:right w:val="nil"/>
            </w:tcBorders>
            <w:shd w:val="clear" w:color="auto" w:fill="auto"/>
            <w:noWrap/>
            <w:vAlign w:val="center"/>
            <w:hideMark/>
          </w:tcPr>
          <w:p w14:paraId="3C7A79DB"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186</w:t>
            </w:r>
          </w:p>
        </w:tc>
        <w:tc>
          <w:tcPr>
            <w:tcW w:w="708" w:type="dxa"/>
            <w:tcBorders>
              <w:top w:val="nil"/>
              <w:left w:val="nil"/>
              <w:bottom w:val="nil"/>
              <w:right w:val="nil"/>
            </w:tcBorders>
            <w:shd w:val="clear" w:color="auto" w:fill="auto"/>
            <w:noWrap/>
            <w:vAlign w:val="center"/>
            <w:hideMark/>
          </w:tcPr>
          <w:p w14:paraId="41A1A6FE"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314</w:t>
            </w:r>
          </w:p>
        </w:tc>
        <w:tc>
          <w:tcPr>
            <w:tcW w:w="709" w:type="dxa"/>
            <w:tcBorders>
              <w:top w:val="nil"/>
              <w:left w:val="nil"/>
              <w:bottom w:val="nil"/>
              <w:right w:val="nil"/>
            </w:tcBorders>
            <w:shd w:val="clear" w:color="auto" w:fill="auto"/>
            <w:noWrap/>
            <w:vAlign w:val="center"/>
            <w:hideMark/>
          </w:tcPr>
          <w:p w14:paraId="71902F58"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0</w:t>
            </w:r>
          </w:p>
        </w:tc>
        <w:tc>
          <w:tcPr>
            <w:tcW w:w="709" w:type="dxa"/>
            <w:tcBorders>
              <w:top w:val="nil"/>
              <w:left w:val="nil"/>
              <w:bottom w:val="nil"/>
              <w:right w:val="nil"/>
            </w:tcBorders>
            <w:shd w:val="clear" w:color="auto" w:fill="auto"/>
            <w:noWrap/>
            <w:vAlign w:val="center"/>
            <w:hideMark/>
          </w:tcPr>
          <w:p w14:paraId="43753157" w14:textId="1797ED22" w:rsidR="00205869" w:rsidRPr="0084045A" w:rsidRDefault="00205869" w:rsidP="00205869">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2709</w:t>
            </w:r>
          </w:p>
        </w:tc>
        <w:tc>
          <w:tcPr>
            <w:tcW w:w="851" w:type="dxa"/>
            <w:tcBorders>
              <w:top w:val="nil"/>
              <w:left w:val="nil"/>
              <w:bottom w:val="nil"/>
            </w:tcBorders>
            <w:shd w:val="clear" w:color="auto" w:fill="auto"/>
            <w:noWrap/>
            <w:vAlign w:val="center"/>
            <w:hideMark/>
          </w:tcPr>
          <w:p w14:paraId="01F29F84"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2.83%</w:t>
            </w:r>
          </w:p>
        </w:tc>
      </w:tr>
      <w:tr w:rsidR="00205869" w:rsidRPr="0084045A" w14:paraId="37CE81BE" w14:textId="77777777" w:rsidTr="00512905">
        <w:trPr>
          <w:trHeight w:val="315"/>
        </w:trPr>
        <w:tc>
          <w:tcPr>
            <w:tcW w:w="1134" w:type="dxa"/>
            <w:tcBorders>
              <w:top w:val="nil"/>
              <w:bottom w:val="nil"/>
              <w:right w:val="nil"/>
            </w:tcBorders>
            <w:shd w:val="clear" w:color="auto" w:fill="auto"/>
            <w:noWrap/>
            <w:vAlign w:val="center"/>
            <w:hideMark/>
          </w:tcPr>
          <w:p w14:paraId="0E89C519" w14:textId="7F0A160C" w:rsidR="00205869" w:rsidRPr="0084045A" w:rsidRDefault="00205869" w:rsidP="00205869">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16"/>
                <w:lang w:val="en-GB" w:eastAsia="es-MX"/>
              </w:rPr>
              <w:t>18</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49</w:t>
            </w:r>
          </w:p>
        </w:tc>
        <w:tc>
          <w:tcPr>
            <w:tcW w:w="709" w:type="dxa"/>
            <w:tcBorders>
              <w:top w:val="nil"/>
              <w:left w:val="nil"/>
              <w:bottom w:val="nil"/>
              <w:right w:val="nil"/>
            </w:tcBorders>
            <w:shd w:val="clear" w:color="auto" w:fill="auto"/>
            <w:noWrap/>
            <w:vAlign w:val="center"/>
            <w:hideMark/>
          </w:tcPr>
          <w:p w14:paraId="565B0701" w14:textId="40FCD3C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4425</w:t>
            </w:r>
          </w:p>
        </w:tc>
        <w:tc>
          <w:tcPr>
            <w:tcW w:w="567" w:type="dxa"/>
            <w:tcBorders>
              <w:top w:val="nil"/>
              <w:left w:val="nil"/>
              <w:bottom w:val="nil"/>
              <w:right w:val="nil"/>
            </w:tcBorders>
            <w:shd w:val="clear" w:color="auto" w:fill="auto"/>
            <w:noWrap/>
            <w:vAlign w:val="center"/>
            <w:hideMark/>
          </w:tcPr>
          <w:p w14:paraId="7D2890AB"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709</w:t>
            </w:r>
          </w:p>
        </w:tc>
        <w:tc>
          <w:tcPr>
            <w:tcW w:w="709" w:type="dxa"/>
            <w:tcBorders>
              <w:top w:val="nil"/>
              <w:left w:val="nil"/>
              <w:bottom w:val="nil"/>
              <w:right w:val="nil"/>
            </w:tcBorders>
            <w:shd w:val="clear" w:color="auto" w:fill="auto"/>
            <w:noWrap/>
            <w:vAlign w:val="center"/>
            <w:hideMark/>
          </w:tcPr>
          <w:p w14:paraId="1842F220" w14:textId="3E555814"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4479</w:t>
            </w:r>
          </w:p>
        </w:tc>
        <w:tc>
          <w:tcPr>
            <w:tcW w:w="709" w:type="dxa"/>
            <w:tcBorders>
              <w:top w:val="nil"/>
              <w:left w:val="nil"/>
              <w:bottom w:val="nil"/>
              <w:right w:val="nil"/>
            </w:tcBorders>
            <w:shd w:val="clear" w:color="auto" w:fill="auto"/>
            <w:noWrap/>
            <w:vAlign w:val="center"/>
            <w:hideMark/>
          </w:tcPr>
          <w:p w14:paraId="5B4F6ECB" w14:textId="6B20C87C"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1140</w:t>
            </w:r>
          </w:p>
        </w:tc>
        <w:tc>
          <w:tcPr>
            <w:tcW w:w="708" w:type="dxa"/>
            <w:tcBorders>
              <w:top w:val="nil"/>
              <w:left w:val="nil"/>
              <w:bottom w:val="nil"/>
              <w:right w:val="nil"/>
            </w:tcBorders>
            <w:shd w:val="clear" w:color="auto" w:fill="auto"/>
            <w:noWrap/>
            <w:vAlign w:val="center"/>
            <w:hideMark/>
          </w:tcPr>
          <w:p w14:paraId="115A524B"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17,292</w:t>
            </w:r>
          </w:p>
        </w:tc>
        <w:tc>
          <w:tcPr>
            <w:tcW w:w="709" w:type="dxa"/>
            <w:tcBorders>
              <w:top w:val="nil"/>
              <w:left w:val="nil"/>
              <w:bottom w:val="nil"/>
              <w:right w:val="nil"/>
            </w:tcBorders>
            <w:shd w:val="clear" w:color="auto" w:fill="auto"/>
            <w:noWrap/>
            <w:vAlign w:val="center"/>
            <w:hideMark/>
          </w:tcPr>
          <w:p w14:paraId="5113B3FA" w14:textId="63B8395A"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1596</w:t>
            </w:r>
          </w:p>
        </w:tc>
        <w:tc>
          <w:tcPr>
            <w:tcW w:w="709" w:type="dxa"/>
            <w:tcBorders>
              <w:top w:val="nil"/>
              <w:left w:val="nil"/>
              <w:bottom w:val="nil"/>
              <w:right w:val="nil"/>
            </w:tcBorders>
            <w:shd w:val="clear" w:color="auto" w:fill="auto"/>
            <w:noWrap/>
            <w:vAlign w:val="center"/>
            <w:hideMark/>
          </w:tcPr>
          <w:p w14:paraId="7BEC6884"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10,715</w:t>
            </w:r>
          </w:p>
        </w:tc>
        <w:tc>
          <w:tcPr>
            <w:tcW w:w="709" w:type="dxa"/>
            <w:tcBorders>
              <w:top w:val="nil"/>
              <w:left w:val="nil"/>
              <w:bottom w:val="nil"/>
              <w:right w:val="nil"/>
            </w:tcBorders>
            <w:shd w:val="clear" w:color="auto" w:fill="auto"/>
            <w:noWrap/>
            <w:vAlign w:val="center"/>
            <w:hideMark/>
          </w:tcPr>
          <w:p w14:paraId="377282F8" w14:textId="2D7D18B9"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7747</w:t>
            </w:r>
          </w:p>
        </w:tc>
        <w:tc>
          <w:tcPr>
            <w:tcW w:w="708" w:type="dxa"/>
            <w:tcBorders>
              <w:top w:val="nil"/>
              <w:left w:val="nil"/>
              <w:bottom w:val="nil"/>
              <w:right w:val="nil"/>
            </w:tcBorders>
            <w:shd w:val="clear" w:color="auto" w:fill="auto"/>
            <w:noWrap/>
            <w:vAlign w:val="center"/>
            <w:hideMark/>
          </w:tcPr>
          <w:p w14:paraId="3F17370A" w14:textId="332A41AE"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3128</w:t>
            </w:r>
          </w:p>
        </w:tc>
        <w:tc>
          <w:tcPr>
            <w:tcW w:w="709" w:type="dxa"/>
            <w:tcBorders>
              <w:top w:val="nil"/>
              <w:left w:val="nil"/>
              <w:bottom w:val="nil"/>
              <w:right w:val="nil"/>
            </w:tcBorders>
            <w:shd w:val="clear" w:color="auto" w:fill="auto"/>
            <w:noWrap/>
            <w:vAlign w:val="center"/>
            <w:hideMark/>
          </w:tcPr>
          <w:p w14:paraId="78A75764"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247</w:t>
            </w:r>
          </w:p>
        </w:tc>
        <w:tc>
          <w:tcPr>
            <w:tcW w:w="709" w:type="dxa"/>
            <w:tcBorders>
              <w:top w:val="nil"/>
              <w:left w:val="nil"/>
              <w:bottom w:val="nil"/>
              <w:right w:val="nil"/>
            </w:tcBorders>
            <w:shd w:val="clear" w:color="auto" w:fill="auto"/>
            <w:noWrap/>
            <w:vAlign w:val="center"/>
            <w:hideMark/>
          </w:tcPr>
          <w:p w14:paraId="46D09296" w14:textId="77777777" w:rsidR="00205869" w:rsidRPr="0084045A" w:rsidRDefault="00205869" w:rsidP="00205869">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51,478</w:t>
            </w:r>
          </w:p>
        </w:tc>
        <w:tc>
          <w:tcPr>
            <w:tcW w:w="851" w:type="dxa"/>
            <w:tcBorders>
              <w:top w:val="nil"/>
              <w:left w:val="nil"/>
              <w:bottom w:val="nil"/>
            </w:tcBorders>
            <w:shd w:val="clear" w:color="auto" w:fill="auto"/>
            <w:noWrap/>
            <w:vAlign w:val="center"/>
            <w:hideMark/>
          </w:tcPr>
          <w:p w14:paraId="4A9456B0"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53.84%</w:t>
            </w:r>
          </w:p>
        </w:tc>
      </w:tr>
      <w:tr w:rsidR="00205869" w:rsidRPr="0084045A" w14:paraId="643ECB6A" w14:textId="77777777" w:rsidTr="00512905">
        <w:trPr>
          <w:trHeight w:val="315"/>
        </w:trPr>
        <w:tc>
          <w:tcPr>
            <w:tcW w:w="1134" w:type="dxa"/>
            <w:tcBorders>
              <w:top w:val="nil"/>
              <w:bottom w:val="nil"/>
              <w:right w:val="nil"/>
            </w:tcBorders>
            <w:shd w:val="clear" w:color="auto" w:fill="auto"/>
            <w:noWrap/>
            <w:vAlign w:val="center"/>
            <w:hideMark/>
          </w:tcPr>
          <w:p w14:paraId="08542DC5" w14:textId="2F42E97D" w:rsidR="00205869" w:rsidRPr="0084045A" w:rsidRDefault="00205869" w:rsidP="00205869">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16"/>
                <w:lang w:val="en-GB" w:eastAsia="es-MX"/>
              </w:rPr>
              <w:t>50</w:t>
            </w:r>
            <w:r w:rsidR="00C23EC8"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59</w:t>
            </w:r>
          </w:p>
        </w:tc>
        <w:tc>
          <w:tcPr>
            <w:tcW w:w="709" w:type="dxa"/>
            <w:tcBorders>
              <w:top w:val="nil"/>
              <w:left w:val="nil"/>
              <w:bottom w:val="nil"/>
              <w:right w:val="nil"/>
            </w:tcBorders>
            <w:shd w:val="clear" w:color="auto" w:fill="auto"/>
            <w:noWrap/>
            <w:vAlign w:val="center"/>
            <w:hideMark/>
          </w:tcPr>
          <w:p w14:paraId="206C8695"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747</w:t>
            </w:r>
          </w:p>
        </w:tc>
        <w:tc>
          <w:tcPr>
            <w:tcW w:w="567" w:type="dxa"/>
            <w:tcBorders>
              <w:top w:val="nil"/>
              <w:left w:val="nil"/>
              <w:bottom w:val="nil"/>
              <w:right w:val="nil"/>
            </w:tcBorders>
            <w:shd w:val="clear" w:color="auto" w:fill="auto"/>
            <w:noWrap/>
            <w:vAlign w:val="center"/>
            <w:hideMark/>
          </w:tcPr>
          <w:p w14:paraId="7E73B574"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131</w:t>
            </w:r>
          </w:p>
        </w:tc>
        <w:tc>
          <w:tcPr>
            <w:tcW w:w="709" w:type="dxa"/>
            <w:tcBorders>
              <w:top w:val="nil"/>
              <w:left w:val="nil"/>
              <w:bottom w:val="nil"/>
              <w:right w:val="nil"/>
            </w:tcBorders>
            <w:shd w:val="clear" w:color="auto" w:fill="auto"/>
            <w:noWrap/>
            <w:vAlign w:val="center"/>
            <w:hideMark/>
          </w:tcPr>
          <w:p w14:paraId="38050D3D" w14:textId="35043E5F"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1498</w:t>
            </w:r>
          </w:p>
        </w:tc>
        <w:tc>
          <w:tcPr>
            <w:tcW w:w="709" w:type="dxa"/>
            <w:tcBorders>
              <w:top w:val="nil"/>
              <w:left w:val="nil"/>
              <w:bottom w:val="nil"/>
              <w:right w:val="nil"/>
            </w:tcBorders>
            <w:shd w:val="clear" w:color="auto" w:fill="auto"/>
            <w:noWrap/>
            <w:vAlign w:val="center"/>
            <w:hideMark/>
          </w:tcPr>
          <w:p w14:paraId="34D9BECB"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215</w:t>
            </w:r>
          </w:p>
        </w:tc>
        <w:tc>
          <w:tcPr>
            <w:tcW w:w="708" w:type="dxa"/>
            <w:tcBorders>
              <w:top w:val="nil"/>
              <w:left w:val="nil"/>
              <w:bottom w:val="nil"/>
              <w:right w:val="nil"/>
            </w:tcBorders>
            <w:shd w:val="clear" w:color="auto" w:fill="auto"/>
            <w:noWrap/>
            <w:vAlign w:val="center"/>
            <w:hideMark/>
          </w:tcPr>
          <w:p w14:paraId="20793F39" w14:textId="7ED993CE"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5388</w:t>
            </w:r>
          </w:p>
        </w:tc>
        <w:tc>
          <w:tcPr>
            <w:tcW w:w="709" w:type="dxa"/>
            <w:tcBorders>
              <w:top w:val="nil"/>
              <w:left w:val="nil"/>
              <w:bottom w:val="nil"/>
              <w:right w:val="nil"/>
            </w:tcBorders>
            <w:shd w:val="clear" w:color="auto" w:fill="auto"/>
            <w:noWrap/>
            <w:vAlign w:val="center"/>
            <w:hideMark/>
          </w:tcPr>
          <w:p w14:paraId="667B4080"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529</w:t>
            </w:r>
          </w:p>
        </w:tc>
        <w:tc>
          <w:tcPr>
            <w:tcW w:w="709" w:type="dxa"/>
            <w:tcBorders>
              <w:top w:val="nil"/>
              <w:left w:val="nil"/>
              <w:bottom w:val="nil"/>
              <w:right w:val="nil"/>
            </w:tcBorders>
            <w:shd w:val="clear" w:color="auto" w:fill="auto"/>
            <w:noWrap/>
            <w:vAlign w:val="center"/>
            <w:hideMark/>
          </w:tcPr>
          <w:p w14:paraId="216663B1" w14:textId="7C08491B"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4319</w:t>
            </w:r>
          </w:p>
        </w:tc>
        <w:tc>
          <w:tcPr>
            <w:tcW w:w="709" w:type="dxa"/>
            <w:tcBorders>
              <w:top w:val="nil"/>
              <w:left w:val="nil"/>
              <w:bottom w:val="nil"/>
              <w:right w:val="nil"/>
            </w:tcBorders>
            <w:shd w:val="clear" w:color="auto" w:fill="auto"/>
            <w:noWrap/>
            <w:vAlign w:val="center"/>
            <w:hideMark/>
          </w:tcPr>
          <w:p w14:paraId="700B3412" w14:textId="64E99A00"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2785</w:t>
            </w:r>
          </w:p>
        </w:tc>
        <w:tc>
          <w:tcPr>
            <w:tcW w:w="708" w:type="dxa"/>
            <w:tcBorders>
              <w:top w:val="nil"/>
              <w:left w:val="nil"/>
              <w:bottom w:val="nil"/>
              <w:right w:val="nil"/>
            </w:tcBorders>
            <w:shd w:val="clear" w:color="auto" w:fill="auto"/>
            <w:noWrap/>
            <w:vAlign w:val="center"/>
            <w:hideMark/>
          </w:tcPr>
          <w:p w14:paraId="78D98E45" w14:textId="70C5E251"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1198</w:t>
            </w:r>
          </w:p>
        </w:tc>
        <w:tc>
          <w:tcPr>
            <w:tcW w:w="709" w:type="dxa"/>
            <w:tcBorders>
              <w:top w:val="nil"/>
              <w:left w:val="nil"/>
              <w:bottom w:val="nil"/>
              <w:right w:val="nil"/>
            </w:tcBorders>
            <w:shd w:val="clear" w:color="auto" w:fill="auto"/>
            <w:noWrap/>
            <w:vAlign w:val="center"/>
            <w:hideMark/>
          </w:tcPr>
          <w:p w14:paraId="4D33F775"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131</w:t>
            </w:r>
          </w:p>
        </w:tc>
        <w:tc>
          <w:tcPr>
            <w:tcW w:w="709" w:type="dxa"/>
            <w:tcBorders>
              <w:top w:val="nil"/>
              <w:left w:val="nil"/>
              <w:bottom w:val="nil"/>
              <w:right w:val="nil"/>
            </w:tcBorders>
            <w:shd w:val="clear" w:color="auto" w:fill="auto"/>
            <w:noWrap/>
            <w:vAlign w:val="center"/>
            <w:hideMark/>
          </w:tcPr>
          <w:p w14:paraId="5DA93039" w14:textId="77777777" w:rsidR="00205869" w:rsidRPr="0084045A" w:rsidRDefault="00205869" w:rsidP="00205869">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16,941</w:t>
            </w:r>
          </w:p>
        </w:tc>
        <w:tc>
          <w:tcPr>
            <w:tcW w:w="851" w:type="dxa"/>
            <w:tcBorders>
              <w:top w:val="nil"/>
              <w:left w:val="nil"/>
              <w:bottom w:val="nil"/>
            </w:tcBorders>
            <w:shd w:val="clear" w:color="auto" w:fill="auto"/>
            <w:noWrap/>
            <w:vAlign w:val="center"/>
            <w:hideMark/>
          </w:tcPr>
          <w:p w14:paraId="3EABEA0D"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17.72%</w:t>
            </w:r>
          </w:p>
        </w:tc>
      </w:tr>
      <w:tr w:rsidR="00205869" w:rsidRPr="0084045A" w14:paraId="3906DE4D" w14:textId="77777777" w:rsidTr="00512905">
        <w:trPr>
          <w:trHeight w:val="315"/>
        </w:trPr>
        <w:tc>
          <w:tcPr>
            <w:tcW w:w="1134" w:type="dxa"/>
            <w:tcBorders>
              <w:top w:val="nil"/>
              <w:bottom w:val="single" w:sz="4" w:space="0" w:color="auto"/>
              <w:right w:val="nil"/>
            </w:tcBorders>
            <w:shd w:val="clear" w:color="auto" w:fill="auto"/>
            <w:noWrap/>
            <w:vAlign w:val="center"/>
            <w:hideMark/>
          </w:tcPr>
          <w:p w14:paraId="580E816A" w14:textId="728821FA" w:rsidR="00205869" w:rsidRPr="0084045A" w:rsidRDefault="00205869" w:rsidP="00205869">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16"/>
                <w:lang w:val="en-GB" w:eastAsia="es-MX"/>
              </w:rPr>
              <w:t>≥60</w:t>
            </w:r>
          </w:p>
        </w:tc>
        <w:tc>
          <w:tcPr>
            <w:tcW w:w="709" w:type="dxa"/>
            <w:tcBorders>
              <w:top w:val="nil"/>
              <w:left w:val="nil"/>
              <w:bottom w:val="single" w:sz="4" w:space="0" w:color="auto"/>
              <w:right w:val="nil"/>
            </w:tcBorders>
            <w:shd w:val="clear" w:color="auto" w:fill="auto"/>
            <w:noWrap/>
            <w:vAlign w:val="center"/>
            <w:hideMark/>
          </w:tcPr>
          <w:p w14:paraId="3F87AC87"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154</w:t>
            </w:r>
          </w:p>
        </w:tc>
        <w:tc>
          <w:tcPr>
            <w:tcW w:w="567" w:type="dxa"/>
            <w:tcBorders>
              <w:top w:val="nil"/>
              <w:left w:val="nil"/>
              <w:bottom w:val="single" w:sz="4" w:space="0" w:color="auto"/>
              <w:right w:val="nil"/>
            </w:tcBorders>
            <w:shd w:val="clear" w:color="auto" w:fill="auto"/>
            <w:noWrap/>
            <w:vAlign w:val="center"/>
            <w:hideMark/>
          </w:tcPr>
          <w:p w14:paraId="52F29BE5"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115</w:t>
            </w:r>
          </w:p>
        </w:tc>
        <w:tc>
          <w:tcPr>
            <w:tcW w:w="709" w:type="dxa"/>
            <w:tcBorders>
              <w:top w:val="nil"/>
              <w:left w:val="nil"/>
              <w:bottom w:val="single" w:sz="4" w:space="0" w:color="auto"/>
              <w:right w:val="nil"/>
            </w:tcBorders>
            <w:shd w:val="clear" w:color="auto" w:fill="auto"/>
            <w:noWrap/>
            <w:vAlign w:val="center"/>
            <w:hideMark/>
          </w:tcPr>
          <w:p w14:paraId="40538CC3"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716</w:t>
            </w:r>
          </w:p>
        </w:tc>
        <w:tc>
          <w:tcPr>
            <w:tcW w:w="709" w:type="dxa"/>
            <w:tcBorders>
              <w:top w:val="nil"/>
              <w:left w:val="nil"/>
              <w:bottom w:val="single" w:sz="4" w:space="0" w:color="auto"/>
              <w:right w:val="nil"/>
            </w:tcBorders>
            <w:shd w:val="clear" w:color="auto" w:fill="auto"/>
            <w:noWrap/>
            <w:vAlign w:val="center"/>
            <w:hideMark/>
          </w:tcPr>
          <w:p w14:paraId="604BF63F"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144</w:t>
            </w:r>
          </w:p>
        </w:tc>
        <w:tc>
          <w:tcPr>
            <w:tcW w:w="708" w:type="dxa"/>
            <w:tcBorders>
              <w:top w:val="nil"/>
              <w:left w:val="nil"/>
              <w:bottom w:val="single" w:sz="4" w:space="0" w:color="auto"/>
              <w:right w:val="nil"/>
            </w:tcBorders>
            <w:shd w:val="clear" w:color="auto" w:fill="auto"/>
            <w:noWrap/>
            <w:vAlign w:val="center"/>
            <w:hideMark/>
          </w:tcPr>
          <w:p w14:paraId="5D32ADD2" w14:textId="6B8C6AE1"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1960</w:t>
            </w:r>
          </w:p>
        </w:tc>
        <w:tc>
          <w:tcPr>
            <w:tcW w:w="709" w:type="dxa"/>
            <w:tcBorders>
              <w:top w:val="nil"/>
              <w:left w:val="nil"/>
              <w:bottom w:val="single" w:sz="4" w:space="0" w:color="auto"/>
              <w:right w:val="nil"/>
            </w:tcBorders>
            <w:shd w:val="clear" w:color="auto" w:fill="auto"/>
            <w:noWrap/>
            <w:vAlign w:val="center"/>
            <w:hideMark/>
          </w:tcPr>
          <w:p w14:paraId="7C433072"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372</w:t>
            </w:r>
          </w:p>
        </w:tc>
        <w:tc>
          <w:tcPr>
            <w:tcW w:w="709" w:type="dxa"/>
            <w:tcBorders>
              <w:top w:val="nil"/>
              <w:left w:val="nil"/>
              <w:bottom w:val="single" w:sz="4" w:space="0" w:color="auto"/>
              <w:right w:val="nil"/>
            </w:tcBorders>
            <w:shd w:val="clear" w:color="auto" w:fill="auto"/>
            <w:noWrap/>
            <w:vAlign w:val="center"/>
            <w:hideMark/>
          </w:tcPr>
          <w:p w14:paraId="38A6797B" w14:textId="04ED2BB5"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1697</w:t>
            </w:r>
          </w:p>
        </w:tc>
        <w:tc>
          <w:tcPr>
            <w:tcW w:w="709" w:type="dxa"/>
            <w:tcBorders>
              <w:top w:val="nil"/>
              <w:left w:val="nil"/>
              <w:bottom w:val="single" w:sz="4" w:space="0" w:color="auto"/>
              <w:right w:val="nil"/>
            </w:tcBorders>
            <w:shd w:val="clear" w:color="auto" w:fill="auto"/>
            <w:noWrap/>
            <w:vAlign w:val="center"/>
            <w:hideMark/>
          </w:tcPr>
          <w:p w14:paraId="658F2518" w14:textId="19B27CDF"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1682</w:t>
            </w:r>
          </w:p>
        </w:tc>
        <w:tc>
          <w:tcPr>
            <w:tcW w:w="708" w:type="dxa"/>
            <w:tcBorders>
              <w:top w:val="nil"/>
              <w:left w:val="nil"/>
              <w:bottom w:val="single" w:sz="4" w:space="0" w:color="auto"/>
              <w:right w:val="nil"/>
            </w:tcBorders>
            <w:shd w:val="clear" w:color="auto" w:fill="auto"/>
            <w:noWrap/>
            <w:vAlign w:val="center"/>
            <w:hideMark/>
          </w:tcPr>
          <w:p w14:paraId="3F8EF983"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617</w:t>
            </w:r>
          </w:p>
        </w:tc>
        <w:tc>
          <w:tcPr>
            <w:tcW w:w="709" w:type="dxa"/>
            <w:tcBorders>
              <w:top w:val="nil"/>
              <w:left w:val="nil"/>
              <w:bottom w:val="single" w:sz="4" w:space="0" w:color="auto"/>
              <w:right w:val="nil"/>
            </w:tcBorders>
            <w:shd w:val="clear" w:color="auto" w:fill="auto"/>
            <w:noWrap/>
            <w:vAlign w:val="center"/>
            <w:hideMark/>
          </w:tcPr>
          <w:p w14:paraId="6B06F0BA"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9</w:t>
            </w:r>
          </w:p>
        </w:tc>
        <w:tc>
          <w:tcPr>
            <w:tcW w:w="709" w:type="dxa"/>
            <w:tcBorders>
              <w:top w:val="nil"/>
              <w:left w:val="nil"/>
              <w:bottom w:val="single" w:sz="4" w:space="0" w:color="auto"/>
              <w:right w:val="nil"/>
            </w:tcBorders>
            <w:shd w:val="clear" w:color="auto" w:fill="auto"/>
            <w:noWrap/>
            <w:vAlign w:val="center"/>
            <w:hideMark/>
          </w:tcPr>
          <w:p w14:paraId="044DFD1F" w14:textId="6F6D40BD" w:rsidR="00205869" w:rsidRPr="0084045A" w:rsidRDefault="00205869" w:rsidP="00205869">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7466</w:t>
            </w:r>
          </w:p>
        </w:tc>
        <w:tc>
          <w:tcPr>
            <w:tcW w:w="851" w:type="dxa"/>
            <w:tcBorders>
              <w:top w:val="nil"/>
              <w:left w:val="nil"/>
              <w:bottom w:val="single" w:sz="4" w:space="0" w:color="auto"/>
            </w:tcBorders>
            <w:shd w:val="clear" w:color="auto" w:fill="auto"/>
            <w:noWrap/>
            <w:vAlign w:val="center"/>
            <w:hideMark/>
          </w:tcPr>
          <w:p w14:paraId="3EF430F4" w14:textId="77777777" w:rsidR="00205869" w:rsidRPr="0084045A" w:rsidRDefault="00205869" w:rsidP="00205869">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7.81%</w:t>
            </w:r>
          </w:p>
        </w:tc>
      </w:tr>
      <w:tr w:rsidR="009113A6" w:rsidRPr="0084045A" w14:paraId="21B43696" w14:textId="77777777" w:rsidTr="00512905">
        <w:trPr>
          <w:trHeight w:val="315"/>
        </w:trPr>
        <w:tc>
          <w:tcPr>
            <w:tcW w:w="1134" w:type="dxa"/>
            <w:tcBorders>
              <w:top w:val="single" w:sz="4" w:space="0" w:color="auto"/>
              <w:right w:val="nil"/>
            </w:tcBorders>
            <w:shd w:val="clear" w:color="auto" w:fill="auto"/>
            <w:noWrap/>
            <w:vAlign w:val="center"/>
            <w:hideMark/>
          </w:tcPr>
          <w:p w14:paraId="578B0BC2" w14:textId="77777777"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TOTAL</w:t>
            </w:r>
          </w:p>
        </w:tc>
        <w:tc>
          <w:tcPr>
            <w:tcW w:w="709" w:type="dxa"/>
            <w:tcBorders>
              <w:top w:val="single" w:sz="4" w:space="0" w:color="auto"/>
              <w:left w:val="nil"/>
              <w:right w:val="nil"/>
            </w:tcBorders>
            <w:shd w:val="clear" w:color="auto" w:fill="auto"/>
            <w:noWrap/>
            <w:vAlign w:val="center"/>
            <w:hideMark/>
          </w:tcPr>
          <w:p w14:paraId="0C4EFEE0" w14:textId="4D5988AC"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6212</w:t>
            </w:r>
          </w:p>
        </w:tc>
        <w:tc>
          <w:tcPr>
            <w:tcW w:w="567" w:type="dxa"/>
            <w:tcBorders>
              <w:top w:val="single" w:sz="4" w:space="0" w:color="auto"/>
              <w:left w:val="nil"/>
              <w:right w:val="nil"/>
            </w:tcBorders>
            <w:shd w:val="clear" w:color="auto" w:fill="auto"/>
            <w:noWrap/>
            <w:vAlign w:val="center"/>
            <w:hideMark/>
          </w:tcPr>
          <w:p w14:paraId="4D949258" w14:textId="7EDD0B9E"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1168</w:t>
            </w:r>
          </w:p>
        </w:tc>
        <w:tc>
          <w:tcPr>
            <w:tcW w:w="709" w:type="dxa"/>
            <w:tcBorders>
              <w:top w:val="single" w:sz="4" w:space="0" w:color="auto"/>
              <w:left w:val="nil"/>
              <w:right w:val="nil"/>
            </w:tcBorders>
            <w:shd w:val="clear" w:color="auto" w:fill="auto"/>
            <w:noWrap/>
            <w:vAlign w:val="center"/>
            <w:hideMark/>
          </w:tcPr>
          <w:p w14:paraId="57BF11EF" w14:textId="0113A423"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9431</w:t>
            </w:r>
          </w:p>
        </w:tc>
        <w:tc>
          <w:tcPr>
            <w:tcW w:w="709" w:type="dxa"/>
            <w:tcBorders>
              <w:top w:val="single" w:sz="4" w:space="0" w:color="auto"/>
              <w:left w:val="nil"/>
              <w:right w:val="nil"/>
            </w:tcBorders>
            <w:shd w:val="clear" w:color="auto" w:fill="auto"/>
            <w:noWrap/>
            <w:vAlign w:val="center"/>
            <w:hideMark/>
          </w:tcPr>
          <w:p w14:paraId="581FE11A" w14:textId="698C903B"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2296</w:t>
            </w:r>
          </w:p>
        </w:tc>
        <w:tc>
          <w:tcPr>
            <w:tcW w:w="708" w:type="dxa"/>
            <w:tcBorders>
              <w:top w:val="single" w:sz="4" w:space="0" w:color="auto"/>
              <w:left w:val="nil"/>
              <w:right w:val="nil"/>
            </w:tcBorders>
            <w:shd w:val="clear" w:color="auto" w:fill="auto"/>
            <w:noWrap/>
            <w:vAlign w:val="center"/>
            <w:hideMark/>
          </w:tcPr>
          <w:p w14:paraId="5A0B9622" w14:textId="77777777"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29,305</w:t>
            </w:r>
          </w:p>
        </w:tc>
        <w:tc>
          <w:tcPr>
            <w:tcW w:w="709" w:type="dxa"/>
            <w:tcBorders>
              <w:top w:val="single" w:sz="4" w:space="0" w:color="auto"/>
              <w:left w:val="nil"/>
              <w:right w:val="nil"/>
            </w:tcBorders>
            <w:shd w:val="clear" w:color="auto" w:fill="auto"/>
            <w:noWrap/>
            <w:vAlign w:val="center"/>
            <w:hideMark/>
          </w:tcPr>
          <w:p w14:paraId="098B8194" w14:textId="50860625"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3402</w:t>
            </w:r>
          </w:p>
        </w:tc>
        <w:tc>
          <w:tcPr>
            <w:tcW w:w="709" w:type="dxa"/>
            <w:tcBorders>
              <w:top w:val="single" w:sz="4" w:space="0" w:color="auto"/>
              <w:left w:val="nil"/>
              <w:right w:val="nil"/>
            </w:tcBorders>
            <w:shd w:val="clear" w:color="auto" w:fill="auto"/>
            <w:noWrap/>
            <w:vAlign w:val="center"/>
            <w:hideMark/>
          </w:tcPr>
          <w:p w14:paraId="47F6BB78" w14:textId="77777777"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21,934</w:t>
            </w:r>
          </w:p>
        </w:tc>
        <w:tc>
          <w:tcPr>
            <w:tcW w:w="709" w:type="dxa"/>
            <w:tcBorders>
              <w:top w:val="single" w:sz="4" w:space="0" w:color="auto"/>
              <w:left w:val="nil"/>
              <w:right w:val="nil"/>
            </w:tcBorders>
            <w:shd w:val="clear" w:color="auto" w:fill="auto"/>
            <w:noWrap/>
            <w:vAlign w:val="center"/>
            <w:hideMark/>
          </w:tcPr>
          <w:p w14:paraId="5F82C6FB" w14:textId="77777777"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14,472</w:t>
            </w:r>
          </w:p>
        </w:tc>
        <w:tc>
          <w:tcPr>
            <w:tcW w:w="708" w:type="dxa"/>
            <w:tcBorders>
              <w:top w:val="single" w:sz="4" w:space="0" w:color="auto"/>
              <w:left w:val="nil"/>
              <w:right w:val="nil"/>
            </w:tcBorders>
            <w:shd w:val="clear" w:color="auto" w:fill="auto"/>
            <w:noWrap/>
            <w:vAlign w:val="center"/>
            <w:hideMark/>
          </w:tcPr>
          <w:p w14:paraId="3718639A" w14:textId="40A68F29"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6859</w:t>
            </w:r>
          </w:p>
        </w:tc>
        <w:tc>
          <w:tcPr>
            <w:tcW w:w="709" w:type="dxa"/>
            <w:tcBorders>
              <w:top w:val="single" w:sz="4" w:space="0" w:color="auto"/>
              <w:left w:val="nil"/>
              <w:right w:val="nil"/>
            </w:tcBorders>
            <w:shd w:val="clear" w:color="auto" w:fill="auto"/>
            <w:noWrap/>
            <w:vAlign w:val="center"/>
            <w:hideMark/>
          </w:tcPr>
          <w:p w14:paraId="3DB1CB4F" w14:textId="77777777"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541</w:t>
            </w:r>
          </w:p>
        </w:tc>
        <w:tc>
          <w:tcPr>
            <w:tcW w:w="709" w:type="dxa"/>
            <w:tcBorders>
              <w:top w:val="single" w:sz="4" w:space="0" w:color="auto"/>
              <w:left w:val="nil"/>
              <w:right w:val="nil"/>
            </w:tcBorders>
            <w:shd w:val="clear" w:color="auto" w:fill="auto"/>
            <w:noWrap/>
            <w:vAlign w:val="center"/>
            <w:hideMark/>
          </w:tcPr>
          <w:p w14:paraId="68D170A9" w14:textId="77777777" w:rsidR="009113A6" w:rsidRPr="0084045A" w:rsidRDefault="009113A6" w:rsidP="003F0904">
            <w:pPr>
              <w:spacing w:after="0" w:line="480" w:lineRule="auto"/>
              <w:jc w:val="center"/>
              <w:rPr>
                <w:rFonts w:ascii="Arial" w:eastAsia="Times New Roman" w:hAnsi="Arial" w:cs="Arial"/>
                <w:b/>
                <w:bCs/>
                <w:noProof/>
                <w:color w:val="000000"/>
                <w:sz w:val="16"/>
                <w:szCs w:val="20"/>
                <w:lang w:val="en-GB" w:eastAsia="es-MX"/>
              </w:rPr>
            </w:pPr>
            <w:r w:rsidRPr="0084045A">
              <w:rPr>
                <w:rFonts w:ascii="Arial" w:eastAsia="Times New Roman" w:hAnsi="Arial" w:cs="Arial"/>
                <w:b/>
                <w:bCs/>
                <w:noProof/>
                <w:color w:val="000000"/>
                <w:sz w:val="16"/>
                <w:szCs w:val="20"/>
                <w:lang w:val="en-GB" w:eastAsia="es-MX"/>
              </w:rPr>
              <w:t>95,620</w:t>
            </w:r>
          </w:p>
        </w:tc>
        <w:tc>
          <w:tcPr>
            <w:tcW w:w="851" w:type="dxa"/>
            <w:tcBorders>
              <w:top w:val="single" w:sz="4" w:space="0" w:color="auto"/>
              <w:left w:val="nil"/>
            </w:tcBorders>
            <w:shd w:val="clear" w:color="auto" w:fill="auto"/>
            <w:noWrap/>
            <w:vAlign w:val="center"/>
            <w:hideMark/>
          </w:tcPr>
          <w:p w14:paraId="45DBF0DD" w14:textId="77777777" w:rsidR="009113A6" w:rsidRPr="0084045A" w:rsidRDefault="009113A6" w:rsidP="003F0904">
            <w:pPr>
              <w:spacing w:after="0" w:line="480" w:lineRule="auto"/>
              <w:jc w:val="center"/>
              <w:rPr>
                <w:rFonts w:ascii="Arial" w:eastAsia="Times New Roman" w:hAnsi="Arial" w:cs="Arial"/>
                <w:noProof/>
                <w:color w:val="000000"/>
                <w:sz w:val="16"/>
                <w:szCs w:val="20"/>
                <w:lang w:val="en-GB" w:eastAsia="es-MX"/>
              </w:rPr>
            </w:pPr>
            <w:r w:rsidRPr="0084045A">
              <w:rPr>
                <w:rFonts w:ascii="Arial" w:eastAsia="Times New Roman" w:hAnsi="Arial" w:cs="Arial"/>
                <w:noProof/>
                <w:color w:val="000000"/>
                <w:sz w:val="16"/>
                <w:szCs w:val="20"/>
                <w:lang w:val="en-GB" w:eastAsia="es-MX"/>
              </w:rPr>
              <w:t>100.00%</w:t>
            </w:r>
          </w:p>
        </w:tc>
      </w:tr>
    </w:tbl>
    <w:p w14:paraId="199EEC57" w14:textId="77777777" w:rsidR="009113A6" w:rsidRPr="002F66A4" w:rsidRDefault="009113A6" w:rsidP="009113A6">
      <w:pPr>
        <w:spacing w:after="0" w:line="480" w:lineRule="auto"/>
        <w:jc w:val="both"/>
        <w:rPr>
          <w:rFonts w:ascii="Arial" w:hAnsi="Arial" w:cs="Arial"/>
          <w:noProof/>
          <w:color w:val="000000" w:themeColor="text1"/>
          <w:sz w:val="10"/>
          <w:szCs w:val="10"/>
          <w:lang w:val="en-GB"/>
        </w:rPr>
      </w:pPr>
    </w:p>
    <w:p w14:paraId="00DD82E7" w14:textId="77777777" w:rsidR="009113A6" w:rsidRPr="0084045A" w:rsidRDefault="009113A6" w:rsidP="002F66A4">
      <w:pPr>
        <w:spacing w:after="0" w:line="480" w:lineRule="auto"/>
        <w:ind w:right="-801"/>
        <w:jc w:val="right"/>
        <w:rPr>
          <w:rFonts w:ascii="Arial" w:hAnsi="Arial" w:cs="Arial"/>
          <w:noProof/>
          <w:color w:val="000000" w:themeColor="text1"/>
          <w:sz w:val="20"/>
          <w:lang w:val="en-GB"/>
        </w:rPr>
      </w:pPr>
      <w:r w:rsidRPr="0084045A">
        <w:rPr>
          <w:rFonts w:ascii="Arial" w:hAnsi="Arial" w:cs="Arial"/>
          <w:i/>
          <w:noProof/>
          <w:color w:val="000000" w:themeColor="text1"/>
          <w:sz w:val="20"/>
          <w:lang w:val="en-GB"/>
        </w:rPr>
        <w:t>Source:</w:t>
      </w:r>
      <w:r w:rsidRPr="0084045A">
        <w:rPr>
          <w:rFonts w:ascii="Arial" w:hAnsi="Arial" w:cs="Arial"/>
          <w:noProof/>
          <w:color w:val="000000" w:themeColor="text1"/>
          <w:sz w:val="20"/>
          <w:lang w:val="en-GB"/>
        </w:rPr>
        <w:t xml:space="preserve"> SISVEFLU</w:t>
      </w:r>
    </w:p>
    <w:p w14:paraId="33D04F0B" w14:textId="77777777" w:rsidR="009113A6" w:rsidRPr="0084045A" w:rsidRDefault="009113A6" w:rsidP="009113A6">
      <w:pPr>
        <w:spacing w:after="0" w:line="480" w:lineRule="auto"/>
        <w:jc w:val="both"/>
        <w:rPr>
          <w:rFonts w:ascii="Arial" w:hAnsi="Arial" w:cs="Arial"/>
          <w:noProof/>
          <w:color w:val="000000" w:themeColor="text1"/>
          <w:lang w:val="en-GB"/>
        </w:rPr>
      </w:pPr>
    </w:p>
    <w:p w14:paraId="56EC8AAC" w14:textId="77777777" w:rsidR="005A74BE" w:rsidRPr="0084045A" w:rsidRDefault="005A74BE" w:rsidP="00512905">
      <w:pPr>
        <w:spacing w:after="0" w:line="480" w:lineRule="auto"/>
        <w:jc w:val="both"/>
        <w:rPr>
          <w:rFonts w:ascii="Arial" w:hAnsi="Arial" w:cs="Arial"/>
          <w:noProof/>
          <w:color w:val="000000" w:themeColor="text1"/>
          <w:lang w:val="en-GB"/>
        </w:rPr>
      </w:pPr>
      <w:r w:rsidRPr="0084045A">
        <w:rPr>
          <w:rFonts w:ascii="Arial" w:hAnsi="Arial" w:cs="Arial"/>
          <w:noProof/>
          <w:color w:val="000000" w:themeColor="text1"/>
          <w:lang w:val="en-GB"/>
        </w:rPr>
        <w:br w:type="page"/>
      </w:r>
    </w:p>
    <w:p w14:paraId="2A099E76" w14:textId="6F88C911" w:rsidR="0089111E" w:rsidRPr="0084045A" w:rsidRDefault="00C23EC8" w:rsidP="00512905">
      <w:pPr>
        <w:pStyle w:val="Ttulo2"/>
        <w:rPr>
          <w:noProof/>
          <w:lang w:val="en-GB"/>
        </w:rPr>
      </w:pPr>
      <w:r w:rsidRPr="0084045A">
        <w:rPr>
          <w:noProof/>
          <w:lang w:val="en-GB"/>
        </w:rPr>
        <w:lastRenderedPageBreak/>
        <w:t>Table S</w:t>
      </w:r>
      <w:r w:rsidR="00EF2803" w:rsidRPr="0084045A">
        <w:rPr>
          <w:noProof/>
          <w:lang w:val="en-GB"/>
        </w:rPr>
        <w:t>5</w:t>
      </w:r>
      <w:r w:rsidRPr="0084045A">
        <w:rPr>
          <w:noProof/>
          <w:lang w:val="en-GB"/>
        </w:rPr>
        <w:t>.6. Estimated influenza cases by age and season</w:t>
      </w:r>
    </w:p>
    <w:tbl>
      <w:tblPr>
        <w:tblW w:w="9768"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851"/>
        <w:gridCol w:w="852"/>
        <w:gridCol w:w="851"/>
        <w:gridCol w:w="852"/>
        <w:gridCol w:w="852"/>
        <w:gridCol w:w="852"/>
        <w:gridCol w:w="852"/>
        <w:gridCol w:w="852"/>
        <w:gridCol w:w="902"/>
        <w:gridCol w:w="852"/>
        <w:gridCol w:w="1200"/>
      </w:tblGrid>
      <w:tr w:rsidR="00EB10F9" w:rsidRPr="0084045A" w14:paraId="10B43F87" w14:textId="77777777" w:rsidTr="00512905">
        <w:trPr>
          <w:trHeight w:val="988"/>
        </w:trPr>
        <w:tc>
          <w:tcPr>
            <w:tcW w:w="851" w:type="dxa"/>
            <w:tcBorders>
              <w:bottom w:val="single" w:sz="4" w:space="0" w:color="auto"/>
            </w:tcBorders>
            <w:shd w:val="clear" w:color="auto" w:fill="auto"/>
            <w:vAlign w:val="center"/>
          </w:tcPr>
          <w:p w14:paraId="64FFFF76" w14:textId="221BA861" w:rsidR="00EB10F9" w:rsidRPr="0084045A" w:rsidRDefault="00EB10F9" w:rsidP="00EB10F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b/>
                <w:bCs/>
                <w:noProof/>
                <w:color w:val="000000"/>
                <w:sz w:val="16"/>
                <w:szCs w:val="20"/>
                <w:lang w:val="en-GB" w:eastAsia="es-MX"/>
              </w:rPr>
              <w:t>Age</w:t>
            </w:r>
            <w:r w:rsidR="002229F4" w:rsidRPr="0084045A">
              <w:rPr>
                <w:rFonts w:ascii="Arial" w:eastAsia="Times New Roman" w:hAnsi="Arial" w:cs="Arial"/>
                <w:b/>
                <w:bCs/>
                <w:noProof/>
                <w:color w:val="000000"/>
                <w:sz w:val="16"/>
                <w:szCs w:val="20"/>
                <w:lang w:val="en-GB" w:eastAsia="es-MX"/>
              </w:rPr>
              <w:t>, years</w:t>
            </w:r>
          </w:p>
        </w:tc>
        <w:tc>
          <w:tcPr>
            <w:tcW w:w="852" w:type="dxa"/>
            <w:tcBorders>
              <w:bottom w:val="single" w:sz="4" w:space="0" w:color="auto"/>
            </w:tcBorders>
            <w:shd w:val="clear" w:color="auto" w:fill="auto"/>
            <w:noWrap/>
            <w:textDirection w:val="btLr"/>
            <w:vAlign w:val="center"/>
          </w:tcPr>
          <w:p w14:paraId="4BF82EB4" w14:textId="60B2CECE" w:rsidR="00EB10F9" w:rsidRPr="0084045A" w:rsidRDefault="00EB10F9" w:rsidP="00EB10F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2010</w:t>
            </w:r>
            <w:r w:rsidR="00BD2359"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2011</w:t>
            </w:r>
          </w:p>
        </w:tc>
        <w:tc>
          <w:tcPr>
            <w:tcW w:w="851" w:type="dxa"/>
            <w:tcBorders>
              <w:bottom w:val="single" w:sz="4" w:space="0" w:color="auto"/>
            </w:tcBorders>
            <w:shd w:val="clear" w:color="auto" w:fill="auto"/>
            <w:noWrap/>
            <w:textDirection w:val="btLr"/>
            <w:vAlign w:val="center"/>
          </w:tcPr>
          <w:p w14:paraId="0B248B42" w14:textId="46B4A1C8" w:rsidR="00EB10F9" w:rsidRPr="0084045A" w:rsidRDefault="00EB10F9" w:rsidP="00EB10F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2011</w:t>
            </w:r>
            <w:r w:rsidR="00BD2359"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2012</w:t>
            </w:r>
          </w:p>
        </w:tc>
        <w:tc>
          <w:tcPr>
            <w:tcW w:w="852" w:type="dxa"/>
            <w:tcBorders>
              <w:bottom w:val="single" w:sz="4" w:space="0" w:color="auto"/>
            </w:tcBorders>
            <w:shd w:val="clear" w:color="auto" w:fill="auto"/>
            <w:noWrap/>
            <w:textDirection w:val="btLr"/>
            <w:vAlign w:val="center"/>
          </w:tcPr>
          <w:p w14:paraId="13FF0A9E" w14:textId="1AAF538B" w:rsidR="00EB10F9" w:rsidRPr="0084045A" w:rsidRDefault="00EB10F9" w:rsidP="00EB10F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2012</w:t>
            </w:r>
            <w:r w:rsidR="00BD2359"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2013</w:t>
            </w:r>
          </w:p>
        </w:tc>
        <w:tc>
          <w:tcPr>
            <w:tcW w:w="852" w:type="dxa"/>
            <w:tcBorders>
              <w:bottom w:val="single" w:sz="4" w:space="0" w:color="auto"/>
            </w:tcBorders>
            <w:shd w:val="clear" w:color="auto" w:fill="auto"/>
            <w:noWrap/>
            <w:textDirection w:val="btLr"/>
            <w:vAlign w:val="center"/>
          </w:tcPr>
          <w:p w14:paraId="3A47063F" w14:textId="5324C5D3" w:rsidR="00EB10F9" w:rsidRPr="0084045A" w:rsidRDefault="00EB10F9" w:rsidP="00EB10F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2013</w:t>
            </w:r>
            <w:r w:rsidR="00BD2359"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2014</w:t>
            </w:r>
          </w:p>
        </w:tc>
        <w:tc>
          <w:tcPr>
            <w:tcW w:w="852" w:type="dxa"/>
            <w:tcBorders>
              <w:bottom w:val="single" w:sz="4" w:space="0" w:color="auto"/>
            </w:tcBorders>
            <w:shd w:val="clear" w:color="auto" w:fill="auto"/>
            <w:noWrap/>
            <w:textDirection w:val="btLr"/>
            <w:vAlign w:val="center"/>
          </w:tcPr>
          <w:p w14:paraId="51C7773A" w14:textId="44C610AF" w:rsidR="00EB10F9" w:rsidRPr="0084045A" w:rsidRDefault="00EB10F9" w:rsidP="00EB10F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2014</w:t>
            </w:r>
            <w:r w:rsidR="00BD2359"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2015</w:t>
            </w:r>
          </w:p>
        </w:tc>
        <w:tc>
          <w:tcPr>
            <w:tcW w:w="852" w:type="dxa"/>
            <w:tcBorders>
              <w:bottom w:val="single" w:sz="4" w:space="0" w:color="auto"/>
            </w:tcBorders>
            <w:shd w:val="clear" w:color="auto" w:fill="auto"/>
            <w:noWrap/>
            <w:textDirection w:val="btLr"/>
            <w:vAlign w:val="center"/>
          </w:tcPr>
          <w:p w14:paraId="6C35CBD4" w14:textId="7D7AEC07" w:rsidR="00EB10F9" w:rsidRPr="0084045A" w:rsidRDefault="00EB10F9" w:rsidP="00EB10F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2015</w:t>
            </w:r>
            <w:r w:rsidR="00BD2359"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2016</w:t>
            </w:r>
          </w:p>
        </w:tc>
        <w:tc>
          <w:tcPr>
            <w:tcW w:w="852" w:type="dxa"/>
            <w:tcBorders>
              <w:bottom w:val="single" w:sz="4" w:space="0" w:color="auto"/>
            </w:tcBorders>
            <w:shd w:val="clear" w:color="auto" w:fill="auto"/>
            <w:noWrap/>
            <w:textDirection w:val="btLr"/>
            <w:vAlign w:val="center"/>
          </w:tcPr>
          <w:p w14:paraId="66D96319" w14:textId="6FBDBC4E" w:rsidR="00EB10F9" w:rsidRPr="0084045A" w:rsidRDefault="00EB10F9" w:rsidP="00EB10F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2016</w:t>
            </w:r>
            <w:r w:rsidR="00BD2359"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2017</w:t>
            </w:r>
          </w:p>
        </w:tc>
        <w:tc>
          <w:tcPr>
            <w:tcW w:w="902" w:type="dxa"/>
            <w:tcBorders>
              <w:bottom w:val="single" w:sz="4" w:space="0" w:color="auto"/>
            </w:tcBorders>
            <w:shd w:val="clear" w:color="auto" w:fill="auto"/>
            <w:noWrap/>
            <w:textDirection w:val="btLr"/>
            <w:vAlign w:val="center"/>
          </w:tcPr>
          <w:p w14:paraId="3CBBA341" w14:textId="5CEDEE9A" w:rsidR="00EB10F9" w:rsidRPr="0084045A" w:rsidRDefault="00EB10F9" w:rsidP="00EB10F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2017</w:t>
            </w:r>
            <w:r w:rsidR="00BD2359"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2018</w:t>
            </w:r>
          </w:p>
        </w:tc>
        <w:tc>
          <w:tcPr>
            <w:tcW w:w="852" w:type="dxa"/>
            <w:tcBorders>
              <w:bottom w:val="single" w:sz="4" w:space="0" w:color="auto"/>
            </w:tcBorders>
            <w:shd w:val="clear" w:color="auto" w:fill="auto"/>
            <w:noWrap/>
            <w:textDirection w:val="btLr"/>
            <w:vAlign w:val="center"/>
          </w:tcPr>
          <w:p w14:paraId="0572C10B" w14:textId="2EE763F0" w:rsidR="00EB10F9" w:rsidRPr="0084045A" w:rsidRDefault="00EB10F9" w:rsidP="00EB10F9">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b/>
                <w:bCs/>
                <w:noProof/>
                <w:color w:val="000000"/>
                <w:sz w:val="16"/>
                <w:szCs w:val="16"/>
                <w:lang w:val="en-GB" w:eastAsia="es-MX"/>
              </w:rPr>
              <w:t>2018</w:t>
            </w:r>
            <w:r w:rsidR="00BD2359" w:rsidRPr="0084045A">
              <w:rPr>
                <w:rFonts w:ascii="Arial" w:eastAsia="Times New Roman" w:hAnsi="Arial" w:cs="Arial"/>
                <w:b/>
                <w:bCs/>
                <w:noProof/>
                <w:color w:val="000000"/>
                <w:sz w:val="16"/>
                <w:szCs w:val="16"/>
                <w:lang w:val="en-GB" w:eastAsia="es-MX"/>
              </w:rPr>
              <w:t>–</w:t>
            </w:r>
            <w:r w:rsidRPr="0084045A">
              <w:rPr>
                <w:rFonts w:ascii="Arial" w:eastAsia="Times New Roman" w:hAnsi="Arial" w:cs="Arial"/>
                <w:b/>
                <w:bCs/>
                <w:noProof/>
                <w:color w:val="000000"/>
                <w:sz w:val="16"/>
                <w:szCs w:val="16"/>
                <w:lang w:val="en-GB" w:eastAsia="es-MX"/>
              </w:rPr>
              <w:t>2019</w:t>
            </w:r>
          </w:p>
        </w:tc>
        <w:tc>
          <w:tcPr>
            <w:tcW w:w="1200" w:type="dxa"/>
            <w:tcBorders>
              <w:bottom w:val="single" w:sz="4" w:space="0" w:color="auto"/>
            </w:tcBorders>
            <w:shd w:val="clear" w:color="auto" w:fill="auto"/>
            <w:noWrap/>
            <w:vAlign w:val="center"/>
          </w:tcPr>
          <w:p w14:paraId="1E6480F7" w14:textId="77777777" w:rsidR="00EB10F9" w:rsidRPr="0084045A" w:rsidRDefault="00EB10F9" w:rsidP="00EB10F9">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Total</w:t>
            </w:r>
          </w:p>
        </w:tc>
      </w:tr>
      <w:tr w:rsidR="009113A6" w:rsidRPr="0084045A" w14:paraId="7B4066D9" w14:textId="77777777" w:rsidTr="00512905">
        <w:trPr>
          <w:trHeight w:val="315"/>
        </w:trPr>
        <w:tc>
          <w:tcPr>
            <w:tcW w:w="851" w:type="dxa"/>
            <w:tcBorders>
              <w:bottom w:val="nil"/>
              <w:right w:val="nil"/>
            </w:tcBorders>
            <w:shd w:val="clear" w:color="auto" w:fill="auto"/>
            <w:vAlign w:val="center"/>
            <w:hideMark/>
          </w:tcPr>
          <w:p w14:paraId="6DF5CF91"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5</w:t>
            </w:r>
          </w:p>
        </w:tc>
        <w:tc>
          <w:tcPr>
            <w:tcW w:w="852" w:type="dxa"/>
            <w:tcBorders>
              <w:left w:val="nil"/>
              <w:bottom w:val="nil"/>
              <w:right w:val="nil"/>
            </w:tcBorders>
            <w:shd w:val="clear" w:color="auto" w:fill="auto"/>
            <w:noWrap/>
            <w:vAlign w:val="center"/>
            <w:hideMark/>
          </w:tcPr>
          <w:p w14:paraId="0A28F05B"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185,270</w:t>
            </w:r>
          </w:p>
        </w:tc>
        <w:tc>
          <w:tcPr>
            <w:tcW w:w="851" w:type="dxa"/>
            <w:tcBorders>
              <w:left w:val="nil"/>
              <w:bottom w:val="nil"/>
              <w:right w:val="nil"/>
            </w:tcBorders>
            <w:shd w:val="clear" w:color="auto" w:fill="auto"/>
            <w:noWrap/>
            <w:vAlign w:val="center"/>
            <w:hideMark/>
          </w:tcPr>
          <w:p w14:paraId="5F997E24"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83,455</w:t>
            </w:r>
          </w:p>
        </w:tc>
        <w:tc>
          <w:tcPr>
            <w:tcW w:w="852" w:type="dxa"/>
            <w:tcBorders>
              <w:left w:val="nil"/>
              <w:bottom w:val="nil"/>
              <w:right w:val="nil"/>
            </w:tcBorders>
            <w:shd w:val="clear" w:color="auto" w:fill="auto"/>
            <w:noWrap/>
            <w:vAlign w:val="center"/>
            <w:hideMark/>
          </w:tcPr>
          <w:p w14:paraId="1E8915EE"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278,491</w:t>
            </w:r>
          </w:p>
        </w:tc>
        <w:tc>
          <w:tcPr>
            <w:tcW w:w="852" w:type="dxa"/>
            <w:tcBorders>
              <w:left w:val="nil"/>
              <w:bottom w:val="nil"/>
              <w:right w:val="nil"/>
            </w:tcBorders>
            <w:shd w:val="clear" w:color="auto" w:fill="auto"/>
            <w:noWrap/>
            <w:vAlign w:val="center"/>
            <w:hideMark/>
          </w:tcPr>
          <w:p w14:paraId="0C1AFFB1"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165,983</w:t>
            </w:r>
          </w:p>
        </w:tc>
        <w:tc>
          <w:tcPr>
            <w:tcW w:w="852" w:type="dxa"/>
            <w:tcBorders>
              <w:left w:val="nil"/>
              <w:bottom w:val="nil"/>
              <w:right w:val="nil"/>
            </w:tcBorders>
            <w:shd w:val="clear" w:color="auto" w:fill="auto"/>
            <w:noWrap/>
            <w:vAlign w:val="center"/>
            <w:hideMark/>
          </w:tcPr>
          <w:p w14:paraId="02CFCD92"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265,372</w:t>
            </w:r>
          </w:p>
        </w:tc>
        <w:tc>
          <w:tcPr>
            <w:tcW w:w="852" w:type="dxa"/>
            <w:tcBorders>
              <w:left w:val="nil"/>
              <w:bottom w:val="nil"/>
              <w:right w:val="nil"/>
            </w:tcBorders>
            <w:shd w:val="clear" w:color="auto" w:fill="auto"/>
            <w:noWrap/>
            <w:vAlign w:val="center"/>
            <w:hideMark/>
          </w:tcPr>
          <w:p w14:paraId="790E0A37"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180,070</w:t>
            </w:r>
          </w:p>
        </w:tc>
        <w:tc>
          <w:tcPr>
            <w:tcW w:w="852" w:type="dxa"/>
            <w:tcBorders>
              <w:left w:val="nil"/>
              <w:bottom w:val="nil"/>
              <w:right w:val="nil"/>
            </w:tcBorders>
            <w:shd w:val="clear" w:color="auto" w:fill="auto"/>
            <w:noWrap/>
            <w:vAlign w:val="center"/>
            <w:hideMark/>
          </w:tcPr>
          <w:p w14:paraId="2AAAD852"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246,032</w:t>
            </w:r>
          </w:p>
        </w:tc>
        <w:tc>
          <w:tcPr>
            <w:tcW w:w="902" w:type="dxa"/>
            <w:tcBorders>
              <w:left w:val="nil"/>
              <w:bottom w:val="nil"/>
              <w:right w:val="nil"/>
            </w:tcBorders>
            <w:shd w:val="clear" w:color="auto" w:fill="auto"/>
            <w:noWrap/>
            <w:vAlign w:val="center"/>
            <w:hideMark/>
          </w:tcPr>
          <w:p w14:paraId="77398166"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309,937</w:t>
            </w:r>
          </w:p>
        </w:tc>
        <w:tc>
          <w:tcPr>
            <w:tcW w:w="852" w:type="dxa"/>
            <w:tcBorders>
              <w:left w:val="nil"/>
              <w:bottom w:val="nil"/>
              <w:right w:val="nil"/>
            </w:tcBorders>
            <w:shd w:val="clear" w:color="auto" w:fill="auto"/>
            <w:noWrap/>
            <w:vAlign w:val="center"/>
            <w:hideMark/>
          </w:tcPr>
          <w:p w14:paraId="74262E6C"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212,304</w:t>
            </w:r>
          </w:p>
        </w:tc>
        <w:tc>
          <w:tcPr>
            <w:tcW w:w="1200" w:type="dxa"/>
            <w:tcBorders>
              <w:left w:val="nil"/>
              <w:bottom w:val="nil"/>
            </w:tcBorders>
            <w:shd w:val="clear" w:color="auto" w:fill="auto"/>
            <w:noWrap/>
            <w:vAlign w:val="center"/>
            <w:hideMark/>
          </w:tcPr>
          <w:p w14:paraId="77CFD58C"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1,926,913</w:t>
            </w:r>
          </w:p>
        </w:tc>
      </w:tr>
      <w:tr w:rsidR="009113A6" w:rsidRPr="0084045A" w14:paraId="671232FC" w14:textId="77777777" w:rsidTr="00512905">
        <w:trPr>
          <w:trHeight w:val="315"/>
        </w:trPr>
        <w:tc>
          <w:tcPr>
            <w:tcW w:w="851" w:type="dxa"/>
            <w:tcBorders>
              <w:top w:val="nil"/>
              <w:bottom w:val="nil"/>
              <w:right w:val="nil"/>
            </w:tcBorders>
            <w:shd w:val="clear" w:color="auto" w:fill="auto"/>
            <w:vAlign w:val="center"/>
            <w:hideMark/>
          </w:tcPr>
          <w:p w14:paraId="70B690EF"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6</w:t>
            </w:r>
          </w:p>
        </w:tc>
        <w:tc>
          <w:tcPr>
            <w:tcW w:w="852" w:type="dxa"/>
            <w:tcBorders>
              <w:top w:val="nil"/>
              <w:left w:val="nil"/>
              <w:bottom w:val="nil"/>
              <w:right w:val="nil"/>
            </w:tcBorders>
            <w:shd w:val="clear" w:color="auto" w:fill="auto"/>
            <w:noWrap/>
            <w:vAlign w:val="center"/>
            <w:hideMark/>
          </w:tcPr>
          <w:p w14:paraId="26E315A4"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185,465</w:t>
            </w:r>
          </w:p>
        </w:tc>
        <w:tc>
          <w:tcPr>
            <w:tcW w:w="851" w:type="dxa"/>
            <w:tcBorders>
              <w:top w:val="nil"/>
              <w:left w:val="nil"/>
              <w:bottom w:val="nil"/>
              <w:right w:val="nil"/>
            </w:tcBorders>
            <w:shd w:val="clear" w:color="auto" w:fill="auto"/>
            <w:noWrap/>
            <w:vAlign w:val="center"/>
            <w:hideMark/>
          </w:tcPr>
          <w:p w14:paraId="70C1EEF2"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83,641</w:t>
            </w:r>
          </w:p>
        </w:tc>
        <w:tc>
          <w:tcPr>
            <w:tcW w:w="852" w:type="dxa"/>
            <w:tcBorders>
              <w:top w:val="nil"/>
              <w:left w:val="nil"/>
              <w:bottom w:val="nil"/>
              <w:right w:val="nil"/>
            </w:tcBorders>
            <w:shd w:val="clear" w:color="auto" w:fill="auto"/>
            <w:noWrap/>
            <w:vAlign w:val="center"/>
            <w:hideMark/>
          </w:tcPr>
          <w:p w14:paraId="5AF8A6DC"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278,896</w:t>
            </w:r>
          </w:p>
        </w:tc>
        <w:tc>
          <w:tcPr>
            <w:tcW w:w="852" w:type="dxa"/>
            <w:tcBorders>
              <w:top w:val="nil"/>
              <w:left w:val="nil"/>
              <w:bottom w:val="nil"/>
              <w:right w:val="nil"/>
            </w:tcBorders>
            <w:shd w:val="clear" w:color="auto" w:fill="auto"/>
            <w:noWrap/>
            <w:vAlign w:val="center"/>
            <w:hideMark/>
          </w:tcPr>
          <w:p w14:paraId="102623F6"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166,114</w:t>
            </w:r>
          </w:p>
        </w:tc>
        <w:tc>
          <w:tcPr>
            <w:tcW w:w="852" w:type="dxa"/>
            <w:tcBorders>
              <w:top w:val="nil"/>
              <w:left w:val="nil"/>
              <w:bottom w:val="nil"/>
              <w:right w:val="nil"/>
            </w:tcBorders>
            <w:shd w:val="clear" w:color="auto" w:fill="auto"/>
            <w:noWrap/>
            <w:vAlign w:val="center"/>
            <w:hideMark/>
          </w:tcPr>
          <w:p w14:paraId="223E4646"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265,851</w:t>
            </w:r>
          </w:p>
        </w:tc>
        <w:tc>
          <w:tcPr>
            <w:tcW w:w="852" w:type="dxa"/>
            <w:tcBorders>
              <w:top w:val="nil"/>
              <w:left w:val="nil"/>
              <w:bottom w:val="nil"/>
              <w:right w:val="nil"/>
            </w:tcBorders>
            <w:shd w:val="clear" w:color="auto" w:fill="auto"/>
            <w:noWrap/>
            <w:vAlign w:val="center"/>
            <w:hideMark/>
          </w:tcPr>
          <w:p w14:paraId="4A1A9DDB"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180,321</w:t>
            </w:r>
          </w:p>
        </w:tc>
        <w:tc>
          <w:tcPr>
            <w:tcW w:w="852" w:type="dxa"/>
            <w:tcBorders>
              <w:top w:val="nil"/>
              <w:left w:val="nil"/>
              <w:bottom w:val="nil"/>
              <w:right w:val="nil"/>
            </w:tcBorders>
            <w:shd w:val="clear" w:color="auto" w:fill="auto"/>
            <w:noWrap/>
            <w:vAlign w:val="center"/>
            <w:hideMark/>
          </w:tcPr>
          <w:p w14:paraId="7A26BDC3"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246,243</w:t>
            </w:r>
          </w:p>
        </w:tc>
        <w:tc>
          <w:tcPr>
            <w:tcW w:w="902" w:type="dxa"/>
            <w:tcBorders>
              <w:top w:val="nil"/>
              <w:left w:val="nil"/>
              <w:bottom w:val="nil"/>
              <w:right w:val="nil"/>
            </w:tcBorders>
            <w:shd w:val="clear" w:color="auto" w:fill="auto"/>
            <w:noWrap/>
            <w:vAlign w:val="center"/>
            <w:hideMark/>
          </w:tcPr>
          <w:p w14:paraId="3B4ACE90"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310,059</w:t>
            </w:r>
          </w:p>
        </w:tc>
        <w:tc>
          <w:tcPr>
            <w:tcW w:w="852" w:type="dxa"/>
            <w:tcBorders>
              <w:top w:val="nil"/>
              <w:left w:val="nil"/>
              <w:bottom w:val="nil"/>
              <w:right w:val="nil"/>
            </w:tcBorders>
            <w:shd w:val="clear" w:color="auto" w:fill="auto"/>
            <w:noWrap/>
            <w:vAlign w:val="center"/>
            <w:hideMark/>
          </w:tcPr>
          <w:p w14:paraId="3FE3335E"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212,542</w:t>
            </w:r>
          </w:p>
        </w:tc>
        <w:tc>
          <w:tcPr>
            <w:tcW w:w="1200" w:type="dxa"/>
            <w:tcBorders>
              <w:top w:val="nil"/>
              <w:left w:val="nil"/>
              <w:bottom w:val="nil"/>
            </w:tcBorders>
            <w:shd w:val="clear" w:color="auto" w:fill="auto"/>
            <w:noWrap/>
            <w:vAlign w:val="center"/>
            <w:hideMark/>
          </w:tcPr>
          <w:p w14:paraId="0A367AD0"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1,929,133</w:t>
            </w:r>
          </w:p>
        </w:tc>
      </w:tr>
      <w:tr w:rsidR="009113A6" w:rsidRPr="0084045A" w14:paraId="484CA434" w14:textId="77777777" w:rsidTr="00512905">
        <w:trPr>
          <w:trHeight w:val="315"/>
        </w:trPr>
        <w:tc>
          <w:tcPr>
            <w:tcW w:w="851" w:type="dxa"/>
            <w:tcBorders>
              <w:top w:val="nil"/>
              <w:bottom w:val="nil"/>
              <w:right w:val="nil"/>
            </w:tcBorders>
            <w:shd w:val="clear" w:color="auto" w:fill="auto"/>
            <w:vAlign w:val="center"/>
            <w:hideMark/>
          </w:tcPr>
          <w:p w14:paraId="403ADAF1"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7</w:t>
            </w:r>
          </w:p>
        </w:tc>
        <w:tc>
          <w:tcPr>
            <w:tcW w:w="852" w:type="dxa"/>
            <w:tcBorders>
              <w:top w:val="nil"/>
              <w:left w:val="nil"/>
              <w:bottom w:val="nil"/>
              <w:right w:val="nil"/>
            </w:tcBorders>
            <w:shd w:val="clear" w:color="auto" w:fill="auto"/>
            <w:noWrap/>
            <w:vAlign w:val="center"/>
            <w:hideMark/>
          </w:tcPr>
          <w:p w14:paraId="2CEE30E2"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184,967</w:t>
            </w:r>
          </w:p>
        </w:tc>
        <w:tc>
          <w:tcPr>
            <w:tcW w:w="851" w:type="dxa"/>
            <w:tcBorders>
              <w:top w:val="nil"/>
              <w:left w:val="nil"/>
              <w:bottom w:val="nil"/>
              <w:right w:val="nil"/>
            </w:tcBorders>
            <w:shd w:val="clear" w:color="auto" w:fill="auto"/>
            <w:noWrap/>
            <w:vAlign w:val="center"/>
            <w:hideMark/>
          </w:tcPr>
          <w:p w14:paraId="48D62611"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83,733</w:t>
            </w:r>
          </w:p>
        </w:tc>
        <w:tc>
          <w:tcPr>
            <w:tcW w:w="852" w:type="dxa"/>
            <w:tcBorders>
              <w:top w:val="nil"/>
              <w:left w:val="nil"/>
              <w:bottom w:val="nil"/>
              <w:right w:val="nil"/>
            </w:tcBorders>
            <w:shd w:val="clear" w:color="auto" w:fill="auto"/>
            <w:noWrap/>
            <w:vAlign w:val="center"/>
            <w:hideMark/>
          </w:tcPr>
          <w:p w14:paraId="5A7F3D74"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279,550</w:t>
            </w:r>
          </w:p>
        </w:tc>
        <w:tc>
          <w:tcPr>
            <w:tcW w:w="852" w:type="dxa"/>
            <w:tcBorders>
              <w:top w:val="nil"/>
              <w:left w:val="nil"/>
              <w:bottom w:val="nil"/>
              <w:right w:val="nil"/>
            </w:tcBorders>
            <w:shd w:val="clear" w:color="auto" w:fill="auto"/>
            <w:noWrap/>
            <w:vAlign w:val="center"/>
            <w:hideMark/>
          </w:tcPr>
          <w:p w14:paraId="5E657ED4"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166,366</w:t>
            </w:r>
          </w:p>
        </w:tc>
        <w:tc>
          <w:tcPr>
            <w:tcW w:w="852" w:type="dxa"/>
            <w:tcBorders>
              <w:top w:val="nil"/>
              <w:left w:val="nil"/>
              <w:bottom w:val="nil"/>
              <w:right w:val="nil"/>
            </w:tcBorders>
            <w:shd w:val="clear" w:color="auto" w:fill="auto"/>
            <w:noWrap/>
            <w:vAlign w:val="center"/>
            <w:hideMark/>
          </w:tcPr>
          <w:p w14:paraId="76BF763C"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266,094</w:t>
            </w:r>
          </w:p>
        </w:tc>
        <w:tc>
          <w:tcPr>
            <w:tcW w:w="852" w:type="dxa"/>
            <w:tcBorders>
              <w:top w:val="nil"/>
              <w:left w:val="nil"/>
              <w:bottom w:val="nil"/>
              <w:right w:val="nil"/>
            </w:tcBorders>
            <w:shd w:val="clear" w:color="auto" w:fill="auto"/>
            <w:noWrap/>
            <w:vAlign w:val="center"/>
            <w:hideMark/>
          </w:tcPr>
          <w:p w14:paraId="2A27D93A"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180,666</w:t>
            </w:r>
          </w:p>
        </w:tc>
        <w:tc>
          <w:tcPr>
            <w:tcW w:w="852" w:type="dxa"/>
            <w:tcBorders>
              <w:top w:val="nil"/>
              <w:left w:val="nil"/>
              <w:bottom w:val="nil"/>
              <w:right w:val="nil"/>
            </w:tcBorders>
            <w:shd w:val="clear" w:color="auto" w:fill="auto"/>
            <w:noWrap/>
            <w:vAlign w:val="center"/>
            <w:hideMark/>
          </w:tcPr>
          <w:p w14:paraId="55C5629B"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246,609</w:t>
            </w:r>
          </w:p>
        </w:tc>
        <w:tc>
          <w:tcPr>
            <w:tcW w:w="902" w:type="dxa"/>
            <w:tcBorders>
              <w:top w:val="nil"/>
              <w:left w:val="nil"/>
              <w:bottom w:val="nil"/>
              <w:right w:val="nil"/>
            </w:tcBorders>
            <w:shd w:val="clear" w:color="auto" w:fill="auto"/>
            <w:noWrap/>
            <w:vAlign w:val="center"/>
            <w:hideMark/>
          </w:tcPr>
          <w:p w14:paraId="1064BAAA"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310,352</w:t>
            </w:r>
          </w:p>
        </w:tc>
        <w:tc>
          <w:tcPr>
            <w:tcW w:w="852" w:type="dxa"/>
            <w:tcBorders>
              <w:top w:val="nil"/>
              <w:left w:val="nil"/>
              <w:bottom w:val="nil"/>
              <w:right w:val="nil"/>
            </w:tcBorders>
            <w:shd w:val="clear" w:color="auto" w:fill="auto"/>
            <w:noWrap/>
            <w:vAlign w:val="center"/>
            <w:hideMark/>
          </w:tcPr>
          <w:p w14:paraId="0359C3E2"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212,642</w:t>
            </w:r>
          </w:p>
        </w:tc>
        <w:tc>
          <w:tcPr>
            <w:tcW w:w="1200" w:type="dxa"/>
            <w:tcBorders>
              <w:top w:val="nil"/>
              <w:left w:val="nil"/>
              <w:bottom w:val="nil"/>
            </w:tcBorders>
            <w:shd w:val="clear" w:color="auto" w:fill="auto"/>
            <w:noWrap/>
            <w:vAlign w:val="center"/>
            <w:hideMark/>
          </w:tcPr>
          <w:p w14:paraId="25BC6A74"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1,930,978</w:t>
            </w:r>
          </w:p>
        </w:tc>
      </w:tr>
      <w:tr w:rsidR="009113A6" w:rsidRPr="0084045A" w14:paraId="1F2E338F" w14:textId="77777777" w:rsidTr="00512905">
        <w:trPr>
          <w:trHeight w:val="315"/>
        </w:trPr>
        <w:tc>
          <w:tcPr>
            <w:tcW w:w="851" w:type="dxa"/>
            <w:tcBorders>
              <w:top w:val="nil"/>
              <w:bottom w:val="nil"/>
              <w:right w:val="nil"/>
            </w:tcBorders>
            <w:shd w:val="clear" w:color="auto" w:fill="auto"/>
            <w:vAlign w:val="center"/>
            <w:hideMark/>
          </w:tcPr>
          <w:p w14:paraId="3F444458"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8</w:t>
            </w:r>
          </w:p>
        </w:tc>
        <w:tc>
          <w:tcPr>
            <w:tcW w:w="852" w:type="dxa"/>
            <w:tcBorders>
              <w:top w:val="nil"/>
              <w:left w:val="nil"/>
              <w:bottom w:val="nil"/>
              <w:right w:val="nil"/>
            </w:tcBorders>
            <w:shd w:val="clear" w:color="auto" w:fill="auto"/>
            <w:noWrap/>
            <w:vAlign w:val="center"/>
            <w:hideMark/>
          </w:tcPr>
          <w:p w14:paraId="38FEBB90"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184,380</w:t>
            </w:r>
          </w:p>
        </w:tc>
        <w:tc>
          <w:tcPr>
            <w:tcW w:w="851" w:type="dxa"/>
            <w:tcBorders>
              <w:top w:val="nil"/>
              <w:left w:val="nil"/>
              <w:bottom w:val="nil"/>
              <w:right w:val="nil"/>
            </w:tcBorders>
            <w:shd w:val="clear" w:color="auto" w:fill="auto"/>
            <w:noWrap/>
            <w:vAlign w:val="center"/>
            <w:hideMark/>
          </w:tcPr>
          <w:p w14:paraId="1F6E43C1"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83,511</w:t>
            </w:r>
          </w:p>
        </w:tc>
        <w:tc>
          <w:tcPr>
            <w:tcW w:w="852" w:type="dxa"/>
            <w:tcBorders>
              <w:top w:val="nil"/>
              <w:left w:val="nil"/>
              <w:bottom w:val="nil"/>
              <w:right w:val="nil"/>
            </w:tcBorders>
            <w:shd w:val="clear" w:color="auto" w:fill="auto"/>
            <w:noWrap/>
            <w:vAlign w:val="center"/>
            <w:hideMark/>
          </w:tcPr>
          <w:p w14:paraId="6429FEAE"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279,882</w:t>
            </w:r>
          </w:p>
        </w:tc>
        <w:tc>
          <w:tcPr>
            <w:tcW w:w="852" w:type="dxa"/>
            <w:tcBorders>
              <w:top w:val="nil"/>
              <w:left w:val="nil"/>
              <w:bottom w:val="nil"/>
              <w:right w:val="nil"/>
            </w:tcBorders>
            <w:shd w:val="clear" w:color="auto" w:fill="auto"/>
            <w:noWrap/>
            <w:vAlign w:val="center"/>
            <w:hideMark/>
          </w:tcPr>
          <w:p w14:paraId="3A1C4290"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166,769</w:t>
            </w:r>
          </w:p>
        </w:tc>
        <w:tc>
          <w:tcPr>
            <w:tcW w:w="852" w:type="dxa"/>
            <w:tcBorders>
              <w:top w:val="nil"/>
              <w:left w:val="nil"/>
              <w:bottom w:val="nil"/>
              <w:right w:val="nil"/>
            </w:tcBorders>
            <w:shd w:val="clear" w:color="auto" w:fill="auto"/>
            <w:noWrap/>
            <w:vAlign w:val="center"/>
            <w:hideMark/>
          </w:tcPr>
          <w:p w14:paraId="6932509F"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266,527</w:t>
            </w:r>
          </w:p>
        </w:tc>
        <w:tc>
          <w:tcPr>
            <w:tcW w:w="852" w:type="dxa"/>
            <w:tcBorders>
              <w:top w:val="nil"/>
              <w:left w:val="nil"/>
              <w:bottom w:val="nil"/>
              <w:right w:val="nil"/>
            </w:tcBorders>
            <w:shd w:val="clear" w:color="auto" w:fill="auto"/>
            <w:noWrap/>
            <w:vAlign w:val="center"/>
            <w:hideMark/>
          </w:tcPr>
          <w:p w14:paraId="4A4BDA73"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180,854</w:t>
            </w:r>
          </w:p>
        </w:tc>
        <w:tc>
          <w:tcPr>
            <w:tcW w:w="852" w:type="dxa"/>
            <w:tcBorders>
              <w:top w:val="nil"/>
              <w:left w:val="nil"/>
              <w:bottom w:val="nil"/>
              <w:right w:val="nil"/>
            </w:tcBorders>
            <w:shd w:val="clear" w:color="auto" w:fill="auto"/>
            <w:noWrap/>
            <w:vAlign w:val="center"/>
            <w:hideMark/>
          </w:tcPr>
          <w:p w14:paraId="5B083CD3"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247,102</w:t>
            </w:r>
          </w:p>
        </w:tc>
        <w:tc>
          <w:tcPr>
            <w:tcW w:w="902" w:type="dxa"/>
            <w:tcBorders>
              <w:top w:val="nil"/>
              <w:left w:val="nil"/>
              <w:bottom w:val="nil"/>
              <w:right w:val="nil"/>
            </w:tcBorders>
            <w:shd w:val="clear" w:color="auto" w:fill="auto"/>
            <w:noWrap/>
            <w:vAlign w:val="center"/>
            <w:hideMark/>
          </w:tcPr>
          <w:p w14:paraId="66125CB1"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310,838</w:t>
            </w:r>
          </w:p>
        </w:tc>
        <w:tc>
          <w:tcPr>
            <w:tcW w:w="852" w:type="dxa"/>
            <w:tcBorders>
              <w:top w:val="nil"/>
              <w:left w:val="nil"/>
              <w:bottom w:val="nil"/>
              <w:right w:val="nil"/>
            </w:tcBorders>
            <w:shd w:val="clear" w:color="auto" w:fill="auto"/>
            <w:noWrap/>
            <w:vAlign w:val="center"/>
            <w:hideMark/>
          </w:tcPr>
          <w:p w14:paraId="697ADDAC"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212,859</w:t>
            </w:r>
          </w:p>
        </w:tc>
        <w:tc>
          <w:tcPr>
            <w:tcW w:w="1200" w:type="dxa"/>
            <w:tcBorders>
              <w:top w:val="nil"/>
              <w:left w:val="nil"/>
              <w:bottom w:val="nil"/>
            </w:tcBorders>
            <w:shd w:val="clear" w:color="auto" w:fill="auto"/>
            <w:noWrap/>
            <w:vAlign w:val="center"/>
            <w:hideMark/>
          </w:tcPr>
          <w:p w14:paraId="2996F47D"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1,932,723</w:t>
            </w:r>
          </w:p>
        </w:tc>
      </w:tr>
      <w:tr w:rsidR="009113A6" w:rsidRPr="0084045A" w14:paraId="02E3854D" w14:textId="77777777" w:rsidTr="00512905">
        <w:trPr>
          <w:trHeight w:val="315"/>
        </w:trPr>
        <w:tc>
          <w:tcPr>
            <w:tcW w:w="851" w:type="dxa"/>
            <w:tcBorders>
              <w:top w:val="nil"/>
              <w:bottom w:val="nil"/>
              <w:right w:val="nil"/>
            </w:tcBorders>
            <w:shd w:val="clear" w:color="auto" w:fill="auto"/>
            <w:vAlign w:val="center"/>
            <w:hideMark/>
          </w:tcPr>
          <w:p w14:paraId="4A7CA7C0"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9</w:t>
            </w:r>
          </w:p>
        </w:tc>
        <w:tc>
          <w:tcPr>
            <w:tcW w:w="852" w:type="dxa"/>
            <w:tcBorders>
              <w:top w:val="nil"/>
              <w:left w:val="nil"/>
              <w:bottom w:val="nil"/>
              <w:right w:val="nil"/>
            </w:tcBorders>
            <w:shd w:val="clear" w:color="auto" w:fill="auto"/>
            <w:noWrap/>
            <w:vAlign w:val="center"/>
            <w:hideMark/>
          </w:tcPr>
          <w:p w14:paraId="2B3C506F"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184,019</w:t>
            </w:r>
          </w:p>
        </w:tc>
        <w:tc>
          <w:tcPr>
            <w:tcW w:w="851" w:type="dxa"/>
            <w:tcBorders>
              <w:top w:val="nil"/>
              <w:left w:val="nil"/>
              <w:bottom w:val="nil"/>
              <w:right w:val="nil"/>
            </w:tcBorders>
            <w:shd w:val="clear" w:color="auto" w:fill="auto"/>
            <w:noWrap/>
            <w:vAlign w:val="center"/>
            <w:hideMark/>
          </w:tcPr>
          <w:p w14:paraId="43E68A71"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83,250</w:t>
            </w:r>
          </w:p>
        </w:tc>
        <w:tc>
          <w:tcPr>
            <w:tcW w:w="852" w:type="dxa"/>
            <w:tcBorders>
              <w:top w:val="nil"/>
              <w:left w:val="nil"/>
              <w:bottom w:val="nil"/>
              <w:right w:val="nil"/>
            </w:tcBorders>
            <w:shd w:val="clear" w:color="auto" w:fill="auto"/>
            <w:noWrap/>
            <w:vAlign w:val="center"/>
            <w:hideMark/>
          </w:tcPr>
          <w:p w14:paraId="7E59DBE7"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279,165</w:t>
            </w:r>
          </w:p>
        </w:tc>
        <w:tc>
          <w:tcPr>
            <w:tcW w:w="852" w:type="dxa"/>
            <w:tcBorders>
              <w:top w:val="nil"/>
              <w:left w:val="nil"/>
              <w:bottom w:val="nil"/>
              <w:right w:val="nil"/>
            </w:tcBorders>
            <w:shd w:val="clear" w:color="auto" w:fill="auto"/>
            <w:noWrap/>
            <w:vAlign w:val="center"/>
            <w:hideMark/>
          </w:tcPr>
          <w:p w14:paraId="5856185D"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166,983</w:t>
            </w:r>
          </w:p>
        </w:tc>
        <w:tc>
          <w:tcPr>
            <w:tcW w:w="852" w:type="dxa"/>
            <w:tcBorders>
              <w:top w:val="nil"/>
              <w:left w:val="nil"/>
              <w:bottom w:val="nil"/>
              <w:right w:val="nil"/>
            </w:tcBorders>
            <w:shd w:val="clear" w:color="auto" w:fill="auto"/>
            <w:noWrap/>
            <w:vAlign w:val="center"/>
            <w:hideMark/>
          </w:tcPr>
          <w:p w14:paraId="79F193E7"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267,201</w:t>
            </w:r>
          </w:p>
        </w:tc>
        <w:tc>
          <w:tcPr>
            <w:tcW w:w="852" w:type="dxa"/>
            <w:tcBorders>
              <w:top w:val="nil"/>
              <w:left w:val="nil"/>
              <w:bottom w:val="nil"/>
              <w:right w:val="nil"/>
            </w:tcBorders>
            <w:shd w:val="clear" w:color="auto" w:fill="auto"/>
            <w:noWrap/>
            <w:vAlign w:val="center"/>
            <w:hideMark/>
          </w:tcPr>
          <w:p w14:paraId="43C4093E"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181,169</w:t>
            </w:r>
          </w:p>
        </w:tc>
        <w:tc>
          <w:tcPr>
            <w:tcW w:w="852" w:type="dxa"/>
            <w:tcBorders>
              <w:top w:val="nil"/>
              <w:left w:val="nil"/>
              <w:bottom w:val="nil"/>
              <w:right w:val="nil"/>
            </w:tcBorders>
            <w:shd w:val="clear" w:color="auto" w:fill="auto"/>
            <w:noWrap/>
            <w:vAlign w:val="center"/>
            <w:hideMark/>
          </w:tcPr>
          <w:p w14:paraId="52A360F8"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247,378</w:t>
            </w:r>
          </w:p>
        </w:tc>
        <w:tc>
          <w:tcPr>
            <w:tcW w:w="902" w:type="dxa"/>
            <w:tcBorders>
              <w:top w:val="nil"/>
              <w:left w:val="nil"/>
              <w:bottom w:val="nil"/>
              <w:right w:val="nil"/>
            </w:tcBorders>
            <w:shd w:val="clear" w:color="auto" w:fill="auto"/>
            <w:noWrap/>
            <w:vAlign w:val="center"/>
            <w:hideMark/>
          </w:tcPr>
          <w:p w14:paraId="60CBF4F1"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311,483</w:t>
            </w:r>
          </w:p>
        </w:tc>
        <w:tc>
          <w:tcPr>
            <w:tcW w:w="852" w:type="dxa"/>
            <w:tcBorders>
              <w:top w:val="nil"/>
              <w:left w:val="nil"/>
              <w:bottom w:val="nil"/>
              <w:right w:val="nil"/>
            </w:tcBorders>
            <w:shd w:val="clear" w:color="auto" w:fill="auto"/>
            <w:noWrap/>
            <w:vAlign w:val="center"/>
            <w:hideMark/>
          </w:tcPr>
          <w:p w14:paraId="0B809C25"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213,207</w:t>
            </w:r>
          </w:p>
        </w:tc>
        <w:tc>
          <w:tcPr>
            <w:tcW w:w="1200" w:type="dxa"/>
            <w:tcBorders>
              <w:top w:val="nil"/>
              <w:left w:val="nil"/>
              <w:bottom w:val="nil"/>
            </w:tcBorders>
            <w:shd w:val="clear" w:color="auto" w:fill="auto"/>
            <w:noWrap/>
            <w:vAlign w:val="center"/>
            <w:hideMark/>
          </w:tcPr>
          <w:p w14:paraId="5FF2DBB5"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1,933,854</w:t>
            </w:r>
          </w:p>
        </w:tc>
      </w:tr>
      <w:tr w:rsidR="009113A6" w:rsidRPr="0084045A" w14:paraId="198FFF05" w14:textId="77777777" w:rsidTr="00512905">
        <w:trPr>
          <w:trHeight w:val="315"/>
        </w:trPr>
        <w:tc>
          <w:tcPr>
            <w:tcW w:w="851" w:type="dxa"/>
            <w:tcBorders>
              <w:top w:val="nil"/>
              <w:bottom w:val="nil"/>
              <w:right w:val="nil"/>
            </w:tcBorders>
            <w:shd w:val="clear" w:color="auto" w:fill="auto"/>
            <w:vAlign w:val="center"/>
            <w:hideMark/>
          </w:tcPr>
          <w:p w14:paraId="6D7D8694"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10</w:t>
            </w:r>
          </w:p>
        </w:tc>
        <w:tc>
          <w:tcPr>
            <w:tcW w:w="852" w:type="dxa"/>
            <w:tcBorders>
              <w:top w:val="nil"/>
              <w:left w:val="nil"/>
              <w:bottom w:val="nil"/>
              <w:right w:val="nil"/>
            </w:tcBorders>
            <w:shd w:val="clear" w:color="auto" w:fill="auto"/>
            <w:noWrap/>
            <w:vAlign w:val="center"/>
            <w:hideMark/>
          </w:tcPr>
          <w:p w14:paraId="03A0D109"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183,614</w:t>
            </w:r>
          </w:p>
        </w:tc>
        <w:tc>
          <w:tcPr>
            <w:tcW w:w="851" w:type="dxa"/>
            <w:tcBorders>
              <w:top w:val="nil"/>
              <w:left w:val="nil"/>
              <w:bottom w:val="nil"/>
              <w:right w:val="nil"/>
            </w:tcBorders>
            <w:shd w:val="clear" w:color="auto" w:fill="auto"/>
            <w:noWrap/>
            <w:vAlign w:val="center"/>
            <w:hideMark/>
          </w:tcPr>
          <w:p w14:paraId="4B7FF4A6"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83,089</w:t>
            </w:r>
          </w:p>
        </w:tc>
        <w:tc>
          <w:tcPr>
            <w:tcW w:w="852" w:type="dxa"/>
            <w:tcBorders>
              <w:top w:val="nil"/>
              <w:left w:val="nil"/>
              <w:bottom w:val="nil"/>
              <w:right w:val="nil"/>
            </w:tcBorders>
            <w:shd w:val="clear" w:color="auto" w:fill="auto"/>
            <w:noWrap/>
            <w:vAlign w:val="center"/>
            <w:hideMark/>
          </w:tcPr>
          <w:p w14:paraId="06D96EDB"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278,309</w:t>
            </w:r>
          </w:p>
        </w:tc>
        <w:tc>
          <w:tcPr>
            <w:tcW w:w="852" w:type="dxa"/>
            <w:tcBorders>
              <w:top w:val="nil"/>
              <w:left w:val="nil"/>
              <w:bottom w:val="nil"/>
              <w:right w:val="nil"/>
            </w:tcBorders>
            <w:shd w:val="clear" w:color="auto" w:fill="auto"/>
            <w:noWrap/>
            <w:vAlign w:val="center"/>
            <w:hideMark/>
          </w:tcPr>
          <w:p w14:paraId="5E7E8646"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166,568</w:t>
            </w:r>
          </w:p>
        </w:tc>
        <w:tc>
          <w:tcPr>
            <w:tcW w:w="852" w:type="dxa"/>
            <w:tcBorders>
              <w:top w:val="nil"/>
              <w:left w:val="nil"/>
              <w:bottom w:val="nil"/>
              <w:right w:val="nil"/>
            </w:tcBorders>
            <w:shd w:val="clear" w:color="auto" w:fill="auto"/>
            <w:noWrap/>
            <w:vAlign w:val="center"/>
            <w:hideMark/>
          </w:tcPr>
          <w:p w14:paraId="36F2068B"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267,565</w:t>
            </w:r>
          </w:p>
        </w:tc>
        <w:tc>
          <w:tcPr>
            <w:tcW w:w="852" w:type="dxa"/>
            <w:tcBorders>
              <w:top w:val="nil"/>
              <w:left w:val="nil"/>
              <w:bottom w:val="nil"/>
              <w:right w:val="nil"/>
            </w:tcBorders>
            <w:shd w:val="clear" w:color="auto" w:fill="auto"/>
            <w:noWrap/>
            <w:vAlign w:val="center"/>
            <w:hideMark/>
          </w:tcPr>
          <w:p w14:paraId="7DF1D789"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181,642</w:t>
            </w:r>
          </w:p>
        </w:tc>
        <w:tc>
          <w:tcPr>
            <w:tcW w:w="852" w:type="dxa"/>
            <w:tcBorders>
              <w:top w:val="nil"/>
              <w:left w:val="nil"/>
              <w:bottom w:val="nil"/>
              <w:right w:val="nil"/>
            </w:tcBorders>
            <w:shd w:val="clear" w:color="auto" w:fill="auto"/>
            <w:noWrap/>
            <w:vAlign w:val="center"/>
            <w:hideMark/>
          </w:tcPr>
          <w:p w14:paraId="41E6A931"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247,822</w:t>
            </w:r>
          </w:p>
        </w:tc>
        <w:tc>
          <w:tcPr>
            <w:tcW w:w="902" w:type="dxa"/>
            <w:tcBorders>
              <w:top w:val="nil"/>
              <w:left w:val="nil"/>
              <w:bottom w:val="nil"/>
              <w:right w:val="nil"/>
            </w:tcBorders>
            <w:shd w:val="clear" w:color="auto" w:fill="auto"/>
            <w:noWrap/>
            <w:vAlign w:val="center"/>
            <w:hideMark/>
          </w:tcPr>
          <w:p w14:paraId="48F5918B"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311,847</w:t>
            </w:r>
          </w:p>
        </w:tc>
        <w:tc>
          <w:tcPr>
            <w:tcW w:w="852" w:type="dxa"/>
            <w:tcBorders>
              <w:top w:val="nil"/>
              <w:left w:val="nil"/>
              <w:bottom w:val="nil"/>
              <w:right w:val="nil"/>
            </w:tcBorders>
            <w:shd w:val="clear" w:color="auto" w:fill="auto"/>
            <w:noWrap/>
            <w:vAlign w:val="center"/>
            <w:hideMark/>
          </w:tcPr>
          <w:p w14:paraId="0FDD6C0C"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213,660</w:t>
            </w:r>
          </w:p>
        </w:tc>
        <w:tc>
          <w:tcPr>
            <w:tcW w:w="1200" w:type="dxa"/>
            <w:tcBorders>
              <w:top w:val="nil"/>
              <w:left w:val="nil"/>
              <w:bottom w:val="nil"/>
            </w:tcBorders>
            <w:shd w:val="clear" w:color="auto" w:fill="auto"/>
            <w:noWrap/>
            <w:vAlign w:val="center"/>
            <w:hideMark/>
          </w:tcPr>
          <w:p w14:paraId="3C86C713"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1,934,115</w:t>
            </w:r>
          </w:p>
        </w:tc>
      </w:tr>
      <w:tr w:rsidR="009113A6" w:rsidRPr="0084045A" w14:paraId="2B7598E3" w14:textId="77777777" w:rsidTr="00512905">
        <w:trPr>
          <w:trHeight w:val="315"/>
        </w:trPr>
        <w:tc>
          <w:tcPr>
            <w:tcW w:w="851" w:type="dxa"/>
            <w:tcBorders>
              <w:top w:val="nil"/>
              <w:right w:val="nil"/>
            </w:tcBorders>
            <w:shd w:val="clear" w:color="auto" w:fill="auto"/>
            <w:vAlign w:val="center"/>
            <w:hideMark/>
          </w:tcPr>
          <w:p w14:paraId="4437117F"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11</w:t>
            </w:r>
          </w:p>
        </w:tc>
        <w:tc>
          <w:tcPr>
            <w:tcW w:w="852" w:type="dxa"/>
            <w:tcBorders>
              <w:top w:val="nil"/>
              <w:left w:val="nil"/>
              <w:right w:val="nil"/>
            </w:tcBorders>
            <w:shd w:val="clear" w:color="auto" w:fill="auto"/>
            <w:noWrap/>
            <w:vAlign w:val="center"/>
            <w:hideMark/>
          </w:tcPr>
          <w:p w14:paraId="0FA71533"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183,297</w:t>
            </w:r>
          </w:p>
        </w:tc>
        <w:tc>
          <w:tcPr>
            <w:tcW w:w="851" w:type="dxa"/>
            <w:tcBorders>
              <w:top w:val="nil"/>
              <w:left w:val="nil"/>
              <w:right w:val="nil"/>
            </w:tcBorders>
            <w:shd w:val="clear" w:color="auto" w:fill="auto"/>
            <w:noWrap/>
            <w:vAlign w:val="center"/>
            <w:hideMark/>
          </w:tcPr>
          <w:p w14:paraId="17E4F3C3"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82,905</w:t>
            </w:r>
          </w:p>
        </w:tc>
        <w:tc>
          <w:tcPr>
            <w:tcW w:w="852" w:type="dxa"/>
            <w:tcBorders>
              <w:top w:val="nil"/>
              <w:left w:val="nil"/>
              <w:right w:val="nil"/>
            </w:tcBorders>
            <w:shd w:val="clear" w:color="auto" w:fill="auto"/>
            <w:noWrap/>
            <w:vAlign w:val="center"/>
            <w:hideMark/>
          </w:tcPr>
          <w:p w14:paraId="45683617"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277,775</w:t>
            </w:r>
          </w:p>
        </w:tc>
        <w:tc>
          <w:tcPr>
            <w:tcW w:w="852" w:type="dxa"/>
            <w:tcBorders>
              <w:top w:val="nil"/>
              <w:left w:val="nil"/>
              <w:right w:val="nil"/>
            </w:tcBorders>
            <w:shd w:val="clear" w:color="auto" w:fill="auto"/>
            <w:noWrap/>
            <w:vAlign w:val="center"/>
            <w:hideMark/>
          </w:tcPr>
          <w:p w14:paraId="49EFD750"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166,060</w:t>
            </w:r>
          </w:p>
        </w:tc>
        <w:tc>
          <w:tcPr>
            <w:tcW w:w="852" w:type="dxa"/>
            <w:tcBorders>
              <w:top w:val="nil"/>
              <w:left w:val="nil"/>
              <w:right w:val="nil"/>
            </w:tcBorders>
            <w:shd w:val="clear" w:color="auto" w:fill="auto"/>
            <w:noWrap/>
            <w:vAlign w:val="center"/>
            <w:hideMark/>
          </w:tcPr>
          <w:p w14:paraId="1123F26E"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266,904</w:t>
            </w:r>
          </w:p>
        </w:tc>
        <w:tc>
          <w:tcPr>
            <w:tcW w:w="852" w:type="dxa"/>
            <w:tcBorders>
              <w:top w:val="nil"/>
              <w:left w:val="nil"/>
              <w:right w:val="nil"/>
            </w:tcBorders>
            <w:shd w:val="clear" w:color="auto" w:fill="auto"/>
            <w:noWrap/>
            <w:vAlign w:val="center"/>
            <w:hideMark/>
          </w:tcPr>
          <w:p w14:paraId="2B181BB0"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181,894</w:t>
            </w:r>
          </w:p>
        </w:tc>
        <w:tc>
          <w:tcPr>
            <w:tcW w:w="852" w:type="dxa"/>
            <w:tcBorders>
              <w:top w:val="nil"/>
              <w:left w:val="nil"/>
              <w:right w:val="nil"/>
            </w:tcBorders>
            <w:shd w:val="clear" w:color="auto" w:fill="auto"/>
            <w:noWrap/>
            <w:vAlign w:val="center"/>
            <w:hideMark/>
          </w:tcPr>
          <w:p w14:paraId="56EAEB7A"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248,470</w:t>
            </w:r>
          </w:p>
        </w:tc>
        <w:tc>
          <w:tcPr>
            <w:tcW w:w="902" w:type="dxa"/>
            <w:tcBorders>
              <w:top w:val="nil"/>
              <w:left w:val="nil"/>
              <w:right w:val="nil"/>
            </w:tcBorders>
            <w:shd w:val="clear" w:color="auto" w:fill="auto"/>
            <w:noWrap/>
            <w:vAlign w:val="center"/>
            <w:hideMark/>
          </w:tcPr>
          <w:p w14:paraId="0D589E89"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312,408</w:t>
            </w:r>
          </w:p>
        </w:tc>
        <w:tc>
          <w:tcPr>
            <w:tcW w:w="852" w:type="dxa"/>
            <w:tcBorders>
              <w:top w:val="nil"/>
              <w:left w:val="nil"/>
              <w:right w:val="nil"/>
            </w:tcBorders>
            <w:shd w:val="clear" w:color="auto" w:fill="auto"/>
            <w:noWrap/>
            <w:vAlign w:val="center"/>
            <w:hideMark/>
          </w:tcPr>
          <w:p w14:paraId="1BC6A0E0" w14:textId="77777777" w:rsidR="009113A6" w:rsidRPr="0084045A" w:rsidRDefault="009113A6" w:rsidP="003F0904">
            <w:pPr>
              <w:spacing w:after="0" w:line="480" w:lineRule="auto"/>
              <w:jc w:val="center"/>
              <w:rPr>
                <w:rFonts w:ascii="Arial" w:eastAsia="Times New Roman" w:hAnsi="Arial" w:cs="Arial"/>
                <w:noProof/>
                <w:color w:val="000000"/>
                <w:sz w:val="16"/>
                <w:szCs w:val="16"/>
                <w:lang w:val="en-GB" w:eastAsia="es-MX"/>
              </w:rPr>
            </w:pPr>
            <w:r w:rsidRPr="0084045A">
              <w:rPr>
                <w:rFonts w:ascii="Arial" w:eastAsia="Times New Roman" w:hAnsi="Arial" w:cs="Arial"/>
                <w:noProof/>
                <w:color w:val="000000"/>
                <w:sz w:val="16"/>
                <w:szCs w:val="16"/>
                <w:lang w:val="en-GB" w:eastAsia="es-MX"/>
              </w:rPr>
              <w:t>213,911</w:t>
            </w:r>
          </w:p>
        </w:tc>
        <w:tc>
          <w:tcPr>
            <w:tcW w:w="1200" w:type="dxa"/>
            <w:tcBorders>
              <w:top w:val="nil"/>
              <w:left w:val="nil"/>
            </w:tcBorders>
            <w:shd w:val="clear" w:color="auto" w:fill="auto"/>
            <w:noWrap/>
            <w:vAlign w:val="center"/>
            <w:hideMark/>
          </w:tcPr>
          <w:p w14:paraId="2E166035"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1,933,625</w:t>
            </w:r>
          </w:p>
        </w:tc>
      </w:tr>
      <w:tr w:rsidR="009113A6" w:rsidRPr="0084045A" w14:paraId="1D65C985" w14:textId="77777777" w:rsidTr="005A74BE">
        <w:trPr>
          <w:trHeight w:val="300"/>
        </w:trPr>
        <w:tc>
          <w:tcPr>
            <w:tcW w:w="851" w:type="dxa"/>
            <w:shd w:val="clear" w:color="auto" w:fill="auto"/>
            <w:noWrap/>
            <w:vAlign w:val="bottom"/>
            <w:hideMark/>
          </w:tcPr>
          <w:p w14:paraId="597708D1"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Total</w:t>
            </w:r>
          </w:p>
        </w:tc>
        <w:tc>
          <w:tcPr>
            <w:tcW w:w="852" w:type="dxa"/>
            <w:shd w:val="clear" w:color="auto" w:fill="auto"/>
            <w:noWrap/>
            <w:vAlign w:val="bottom"/>
            <w:hideMark/>
          </w:tcPr>
          <w:p w14:paraId="469A1749"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1,291,012</w:t>
            </w:r>
          </w:p>
        </w:tc>
        <w:tc>
          <w:tcPr>
            <w:tcW w:w="851" w:type="dxa"/>
            <w:shd w:val="clear" w:color="auto" w:fill="auto"/>
            <w:noWrap/>
            <w:vAlign w:val="bottom"/>
            <w:hideMark/>
          </w:tcPr>
          <w:p w14:paraId="207C31CD"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583,585</w:t>
            </w:r>
          </w:p>
        </w:tc>
        <w:tc>
          <w:tcPr>
            <w:tcW w:w="852" w:type="dxa"/>
            <w:shd w:val="clear" w:color="auto" w:fill="auto"/>
            <w:noWrap/>
            <w:vAlign w:val="bottom"/>
            <w:hideMark/>
          </w:tcPr>
          <w:p w14:paraId="578F36A0"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1,952,068</w:t>
            </w:r>
          </w:p>
        </w:tc>
        <w:tc>
          <w:tcPr>
            <w:tcW w:w="852" w:type="dxa"/>
            <w:shd w:val="clear" w:color="auto" w:fill="auto"/>
            <w:noWrap/>
            <w:vAlign w:val="bottom"/>
            <w:hideMark/>
          </w:tcPr>
          <w:p w14:paraId="2C2F77F6"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1,164,843</w:t>
            </w:r>
          </w:p>
        </w:tc>
        <w:tc>
          <w:tcPr>
            <w:tcW w:w="852" w:type="dxa"/>
            <w:shd w:val="clear" w:color="auto" w:fill="auto"/>
            <w:noWrap/>
            <w:vAlign w:val="bottom"/>
            <w:hideMark/>
          </w:tcPr>
          <w:p w14:paraId="3419D80F"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1,865,513</w:t>
            </w:r>
          </w:p>
        </w:tc>
        <w:tc>
          <w:tcPr>
            <w:tcW w:w="852" w:type="dxa"/>
            <w:shd w:val="clear" w:color="auto" w:fill="auto"/>
            <w:noWrap/>
            <w:vAlign w:val="bottom"/>
            <w:hideMark/>
          </w:tcPr>
          <w:p w14:paraId="5E827A0F"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1,266,616</w:t>
            </w:r>
          </w:p>
        </w:tc>
        <w:tc>
          <w:tcPr>
            <w:tcW w:w="852" w:type="dxa"/>
            <w:shd w:val="clear" w:color="auto" w:fill="auto"/>
            <w:noWrap/>
            <w:vAlign w:val="bottom"/>
            <w:hideMark/>
          </w:tcPr>
          <w:p w14:paraId="4E917DA5"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1,729,655</w:t>
            </w:r>
          </w:p>
        </w:tc>
        <w:tc>
          <w:tcPr>
            <w:tcW w:w="902" w:type="dxa"/>
            <w:shd w:val="clear" w:color="auto" w:fill="auto"/>
            <w:noWrap/>
            <w:vAlign w:val="bottom"/>
            <w:hideMark/>
          </w:tcPr>
          <w:p w14:paraId="3E8E07DF"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2,176,925</w:t>
            </w:r>
          </w:p>
        </w:tc>
        <w:tc>
          <w:tcPr>
            <w:tcW w:w="852" w:type="dxa"/>
            <w:shd w:val="clear" w:color="auto" w:fill="auto"/>
            <w:noWrap/>
            <w:vAlign w:val="bottom"/>
            <w:hideMark/>
          </w:tcPr>
          <w:p w14:paraId="69D0C330"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1,491,125</w:t>
            </w:r>
          </w:p>
        </w:tc>
        <w:tc>
          <w:tcPr>
            <w:tcW w:w="1200" w:type="dxa"/>
            <w:shd w:val="clear" w:color="auto" w:fill="auto"/>
            <w:noWrap/>
            <w:vAlign w:val="bottom"/>
            <w:hideMark/>
          </w:tcPr>
          <w:p w14:paraId="08DCE5BA" w14:textId="77777777" w:rsidR="009113A6" w:rsidRPr="0084045A" w:rsidRDefault="009113A6" w:rsidP="003F0904">
            <w:pPr>
              <w:spacing w:after="0" w:line="480" w:lineRule="auto"/>
              <w:jc w:val="center"/>
              <w:rPr>
                <w:rFonts w:ascii="Arial" w:eastAsia="Times New Roman" w:hAnsi="Arial" w:cs="Arial"/>
                <w:b/>
                <w:noProof/>
                <w:color w:val="000000"/>
                <w:sz w:val="16"/>
                <w:szCs w:val="16"/>
                <w:lang w:val="en-GB" w:eastAsia="es-MX"/>
              </w:rPr>
            </w:pPr>
            <w:r w:rsidRPr="0084045A">
              <w:rPr>
                <w:rFonts w:ascii="Arial" w:eastAsia="Times New Roman" w:hAnsi="Arial" w:cs="Arial"/>
                <w:b/>
                <w:noProof/>
                <w:color w:val="000000"/>
                <w:sz w:val="16"/>
                <w:szCs w:val="16"/>
                <w:lang w:val="en-GB" w:eastAsia="es-MX"/>
              </w:rPr>
              <w:t>13,521,341</w:t>
            </w:r>
          </w:p>
        </w:tc>
      </w:tr>
    </w:tbl>
    <w:p w14:paraId="64F0A897" w14:textId="77777777" w:rsidR="009113A6" w:rsidRPr="002F66A4" w:rsidRDefault="009113A6" w:rsidP="009113A6">
      <w:pPr>
        <w:spacing w:after="0" w:line="480" w:lineRule="auto"/>
        <w:jc w:val="both"/>
        <w:rPr>
          <w:rFonts w:ascii="Arial" w:hAnsi="Arial" w:cs="Arial"/>
          <w:noProof/>
          <w:color w:val="000000" w:themeColor="text1"/>
          <w:sz w:val="10"/>
          <w:szCs w:val="10"/>
          <w:lang w:val="en-GB"/>
        </w:rPr>
      </w:pPr>
    </w:p>
    <w:p w14:paraId="7F808850" w14:textId="77777777" w:rsidR="009113A6" w:rsidRPr="0084045A" w:rsidRDefault="009113A6" w:rsidP="002F66A4">
      <w:pPr>
        <w:spacing w:after="0" w:line="480" w:lineRule="auto"/>
        <w:ind w:right="-801"/>
        <w:jc w:val="right"/>
        <w:rPr>
          <w:rFonts w:ascii="Arial" w:hAnsi="Arial" w:cs="Arial"/>
          <w:noProof/>
          <w:color w:val="000000" w:themeColor="text1"/>
          <w:sz w:val="20"/>
          <w:lang w:val="en-GB"/>
        </w:rPr>
      </w:pPr>
      <w:r w:rsidRPr="0084045A">
        <w:rPr>
          <w:rFonts w:ascii="Arial" w:hAnsi="Arial" w:cs="Arial"/>
          <w:i/>
          <w:noProof/>
          <w:color w:val="000000" w:themeColor="text1"/>
          <w:sz w:val="20"/>
          <w:lang w:val="en-GB"/>
        </w:rPr>
        <w:t>Source:</w:t>
      </w:r>
      <w:r w:rsidRPr="0084045A">
        <w:rPr>
          <w:rFonts w:ascii="Arial" w:hAnsi="Arial" w:cs="Arial"/>
          <w:noProof/>
          <w:color w:val="000000" w:themeColor="text1"/>
          <w:sz w:val="20"/>
          <w:lang w:val="en-GB"/>
        </w:rPr>
        <w:t xml:space="preserve"> SISVEFLU</w:t>
      </w:r>
    </w:p>
    <w:p w14:paraId="00FA4EA4" w14:textId="77777777" w:rsidR="009113A6" w:rsidRPr="0084045A" w:rsidRDefault="009113A6" w:rsidP="009113A6">
      <w:pPr>
        <w:spacing w:after="0" w:line="480" w:lineRule="auto"/>
        <w:jc w:val="both"/>
        <w:rPr>
          <w:rFonts w:ascii="Arial" w:hAnsi="Arial" w:cs="Arial"/>
          <w:noProof/>
          <w:sz w:val="24"/>
          <w:szCs w:val="24"/>
          <w:lang w:val="en-GB"/>
        </w:rPr>
      </w:pPr>
    </w:p>
    <w:sectPr w:rsidR="009113A6" w:rsidRPr="0084045A" w:rsidSect="00645F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C8D7" w14:textId="77777777" w:rsidR="006B11C2" w:rsidRDefault="006B11C2" w:rsidP="00A6558E">
      <w:pPr>
        <w:spacing w:after="0" w:line="240" w:lineRule="auto"/>
      </w:pPr>
      <w:r>
        <w:separator/>
      </w:r>
    </w:p>
  </w:endnote>
  <w:endnote w:type="continuationSeparator" w:id="0">
    <w:p w14:paraId="3CBEB535" w14:textId="77777777" w:rsidR="006B11C2" w:rsidRDefault="006B11C2" w:rsidP="00A6558E">
      <w:pPr>
        <w:spacing w:after="0" w:line="240" w:lineRule="auto"/>
      </w:pPr>
      <w:r>
        <w:continuationSeparator/>
      </w:r>
    </w:p>
  </w:endnote>
  <w:endnote w:type="continuationNotice" w:id="1">
    <w:p w14:paraId="0FF50834" w14:textId="77777777" w:rsidR="006B11C2" w:rsidRDefault="006B1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4573"/>
      <w:docPartObj>
        <w:docPartGallery w:val="Page Numbers (Bottom of Page)"/>
        <w:docPartUnique/>
      </w:docPartObj>
    </w:sdtPr>
    <w:sdtEndPr>
      <w:rPr>
        <w:rFonts w:ascii="Arial" w:hAnsi="Arial" w:cs="Arial"/>
        <w:color w:val="7F7F7F" w:themeColor="text1" w:themeTint="80"/>
      </w:rPr>
    </w:sdtEndPr>
    <w:sdtContent>
      <w:p w14:paraId="63754EAE" w14:textId="06DBCC66" w:rsidR="00EF0C97" w:rsidRPr="00F10105" w:rsidRDefault="00EF0C97">
        <w:pPr>
          <w:pStyle w:val="Piedepgina"/>
          <w:jc w:val="center"/>
          <w:rPr>
            <w:rFonts w:ascii="Arial" w:hAnsi="Arial" w:cs="Arial"/>
            <w:color w:val="7F7F7F" w:themeColor="text1" w:themeTint="80"/>
          </w:rPr>
        </w:pPr>
        <w:r w:rsidRPr="00F10105">
          <w:rPr>
            <w:rFonts w:ascii="Arial" w:hAnsi="Arial" w:cs="Arial"/>
            <w:color w:val="7F7F7F" w:themeColor="text1" w:themeTint="80"/>
          </w:rPr>
          <w:fldChar w:fldCharType="begin"/>
        </w:r>
        <w:r w:rsidRPr="00F10105">
          <w:rPr>
            <w:rFonts w:ascii="Arial" w:hAnsi="Arial" w:cs="Arial"/>
            <w:color w:val="7F7F7F" w:themeColor="text1" w:themeTint="80"/>
          </w:rPr>
          <w:instrText>PAGE   \* MERGEFORMAT</w:instrText>
        </w:r>
        <w:r w:rsidRPr="00F10105">
          <w:rPr>
            <w:rFonts w:ascii="Arial" w:hAnsi="Arial" w:cs="Arial"/>
            <w:color w:val="7F7F7F" w:themeColor="text1" w:themeTint="80"/>
          </w:rPr>
          <w:fldChar w:fldCharType="separate"/>
        </w:r>
        <w:r w:rsidR="003B2744" w:rsidRPr="003B2744">
          <w:rPr>
            <w:rFonts w:ascii="Arial" w:hAnsi="Arial" w:cs="Arial"/>
            <w:noProof/>
            <w:color w:val="7F7F7F" w:themeColor="text1" w:themeTint="80"/>
            <w:lang w:val="es-ES"/>
          </w:rPr>
          <w:t>10</w:t>
        </w:r>
        <w:r w:rsidRPr="00F10105">
          <w:rPr>
            <w:rFonts w:ascii="Arial" w:hAnsi="Arial" w:cs="Arial"/>
            <w:color w:val="7F7F7F" w:themeColor="text1" w:themeTint="80"/>
          </w:rPr>
          <w:fldChar w:fldCharType="end"/>
        </w:r>
      </w:p>
    </w:sdtContent>
  </w:sdt>
  <w:p w14:paraId="18F84F69" w14:textId="77777777" w:rsidR="00EF0C97" w:rsidRDefault="00EF0C9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31937"/>
      <w:docPartObj>
        <w:docPartGallery w:val="Page Numbers (Bottom of Page)"/>
        <w:docPartUnique/>
      </w:docPartObj>
    </w:sdtPr>
    <w:sdtEndPr>
      <w:rPr>
        <w:rFonts w:ascii="Arial" w:hAnsi="Arial" w:cs="Arial"/>
      </w:rPr>
    </w:sdtEndPr>
    <w:sdtContent>
      <w:p w14:paraId="3B0BA92D" w14:textId="0D4141DB" w:rsidR="00EF0C97" w:rsidRPr="00645F53" w:rsidRDefault="00EF0C97">
        <w:pPr>
          <w:pStyle w:val="Piedepgina"/>
          <w:jc w:val="center"/>
          <w:rPr>
            <w:rFonts w:ascii="Arial" w:hAnsi="Arial" w:cs="Arial"/>
          </w:rPr>
        </w:pPr>
        <w:r w:rsidRPr="00645F53">
          <w:rPr>
            <w:rFonts w:ascii="Arial" w:hAnsi="Arial" w:cs="Arial"/>
          </w:rPr>
          <w:fldChar w:fldCharType="begin"/>
        </w:r>
        <w:r w:rsidRPr="00645F53">
          <w:rPr>
            <w:rFonts w:ascii="Arial" w:hAnsi="Arial" w:cs="Arial"/>
          </w:rPr>
          <w:instrText>PAGE   \* MERGEFORMAT</w:instrText>
        </w:r>
        <w:r w:rsidRPr="00645F53">
          <w:rPr>
            <w:rFonts w:ascii="Arial" w:hAnsi="Arial" w:cs="Arial"/>
          </w:rPr>
          <w:fldChar w:fldCharType="separate"/>
        </w:r>
        <w:r w:rsidR="003B2744" w:rsidRPr="003B2744">
          <w:rPr>
            <w:rFonts w:ascii="Arial" w:hAnsi="Arial" w:cs="Arial"/>
            <w:noProof/>
            <w:lang w:val="es-ES"/>
          </w:rPr>
          <w:t>40</w:t>
        </w:r>
        <w:r w:rsidRPr="00645F53">
          <w:rPr>
            <w:rFonts w:ascii="Arial" w:hAnsi="Arial" w:cs="Arial"/>
          </w:rPr>
          <w:fldChar w:fldCharType="end"/>
        </w:r>
      </w:p>
    </w:sdtContent>
  </w:sdt>
  <w:p w14:paraId="7EBEA2E9" w14:textId="77777777" w:rsidR="00EF0C97" w:rsidRDefault="00EF0C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E99D2" w14:textId="77777777" w:rsidR="006B11C2" w:rsidRDefault="006B11C2" w:rsidP="00A6558E">
      <w:pPr>
        <w:spacing w:after="0" w:line="240" w:lineRule="auto"/>
      </w:pPr>
      <w:r>
        <w:separator/>
      </w:r>
    </w:p>
  </w:footnote>
  <w:footnote w:type="continuationSeparator" w:id="0">
    <w:p w14:paraId="5EDC3ABA" w14:textId="77777777" w:rsidR="006B11C2" w:rsidRDefault="006B11C2" w:rsidP="00A6558E">
      <w:pPr>
        <w:spacing w:after="0" w:line="240" w:lineRule="auto"/>
      </w:pPr>
      <w:r>
        <w:continuationSeparator/>
      </w:r>
    </w:p>
  </w:footnote>
  <w:footnote w:type="continuationNotice" w:id="1">
    <w:p w14:paraId="5DA8DAD7" w14:textId="77777777" w:rsidR="006B11C2" w:rsidRDefault="006B11C2">
      <w:pPr>
        <w:spacing w:after="0" w:line="240" w:lineRule="auto"/>
      </w:pPr>
    </w:p>
  </w:footnote>
  <w:footnote w:id="2">
    <w:p w14:paraId="17B80DC1" w14:textId="328132FB" w:rsidR="00EF0C97" w:rsidRPr="00D10B33" w:rsidRDefault="00EF0C97">
      <w:pPr>
        <w:pStyle w:val="Textonotapie"/>
        <w:rPr>
          <w:lang w:val="en-GB"/>
        </w:rPr>
      </w:pPr>
      <w:r w:rsidRPr="00D10B33">
        <w:rPr>
          <w:rStyle w:val="Refdenotaalpie"/>
        </w:rPr>
        <w:footnoteRef/>
      </w:r>
      <w:r w:rsidRPr="00D10B33">
        <w:rPr>
          <w:lang w:val="en-GB"/>
        </w:rPr>
        <w:t xml:space="preserve"> </w:t>
      </w:r>
      <w:hyperlink r:id="rId1" w:history="1">
        <w:r w:rsidRPr="00D10B33">
          <w:rPr>
            <w:rStyle w:val="Hipervnculo"/>
            <w:rFonts w:ascii="Arial" w:hAnsi="Arial" w:cs="Arial"/>
            <w:sz w:val="16"/>
            <w:szCs w:val="16"/>
            <w:lang w:val="en-GB"/>
          </w:rPr>
          <w:t>https://www.farmaciasanpablo.com.mx/medicamentos/genericos/a---b---c---d/clorhidrato-de-amantadina-50-mg-clorfenamina-3-mg-paracetamol-300-mg/p/000000000060160010</w:t>
        </w:r>
      </w:hyperlink>
      <w:r w:rsidRPr="00D10B33">
        <w:rPr>
          <w:rFonts w:ascii="Arial" w:hAnsi="Arial" w:cs="Arial"/>
          <w:sz w:val="16"/>
          <w:szCs w:val="16"/>
          <w:lang w:val="en-GB"/>
        </w:rPr>
        <w:t>)</w:t>
      </w:r>
    </w:p>
  </w:footnote>
  <w:footnote w:id="3">
    <w:p w14:paraId="0B85C943" w14:textId="2D67F894" w:rsidR="00EF0C97" w:rsidRPr="00CF2BC7" w:rsidRDefault="00EF0C97">
      <w:pPr>
        <w:pStyle w:val="Textonotapie"/>
        <w:rPr>
          <w:sz w:val="16"/>
          <w:szCs w:val="16"/>
          <w:lang w:val="en-GB"/>
        </w:rPr>
      </w:pPr>
      <w:r w:rsidRPr="00CF2BC7">
        <w:rPr>
          <w:rStyle w:val="Refdenotaalpie"/>
          <w:lang w:val="en-GB"/>
        </w:rPr>
        <w:footnoteRef/>
      </w:r>
      <w:r w:rsidRPr="00CF2BC7">
        <w:rPr>
          <w:lang w:val="en-GB"/>
        </w:rPr>
        <w:t xml:space="preserve"> </w:t>
      </w:r>
      <w:hyperlink r:id="rId2" w:history="1">
        <w:r w:rsidRPr="00CF2BC7">
          <w:rPr>
            <w:rStyle w:val="Hipervnculo"/>
            <w:rFonts w:ascii="Arial" w:hAnsi="Arial" w:cs="Arial"/>
            <w:sz w:val="16"/>
            <w:szCs w:val="16"/>
            <w:lang w:val="en-GB"/>
          </w:rPr>
          <w:t>http://www.issste.gob.mx/images/downloads/instituto/administracion/paaas_2019.pdf</w:t>
        </w:r>
      </w:hyperlink>
    </w:p>
  </w:footnote>
  <w:footnote w:id="4">
    <w:p w14:paraId="64FF0FC1" w14:textId="1156A644" w:rsidR="00EF0C97" w:rsidRPr="00096BA7" w:rsidRDefault="00EF0C97">
      <w:pPr>
        <w:pStyle w:val="Textonotapie"/>
        <w:rPr>
          <w:sz w:val="16"/>
          <w:szCs w:val="16"/>
        </w:rPr>
      </w:pPr>
      <w:r w:rsidRPr="00CF2BC7">
        <w:rPr>
          <w:rStyle w:val="Refdenotaalpie"/>
          <w:lang w:val="en-GB"/>
        </w:rPr>
        <w:footnoteRef/>
      </w:r>
      <w:r w:rsidRPr="00096BA7">
        <w:t xml:space="preserve"> </w:t>
      </w:r>
      <w:r w:rsidRPr="00096BA7">
        <w:rPr>
          <w:rFonts w:ascii="Arial" w:hAnsi="Arial" w:cs="Arial"/>
          <w:sz w:val="16"/>
          <w:szCs w:val="16"/>
        </w:rPr>
        <w:t>ACUERDO ACDO.AS3.HCT.291117/275.P.DF y Anexos, dictado por el H. Consejo Técnico en la sesión ordinaria celebrada el día 29 de noviembre de dos mil diecisiete, relativo a la Aprobación de los Costos Unitarios por Nivel de Atención Médica actualizados al año 2018 [</w:t>
      </w:r>
      <w:r w:rsidRPr="003B2744">
        <w:rPr>
          <w:rFonts w:ascii="Arial" w:hAnsi="Arial" w:cs="Arial"/>
          <w:sz w:val="16"/>
          <w:szCs w:val="16"/>
          <w:lang w:val="en-US"/>
        </w:rPr>
        <w:t>dictated by H. Technical Council in ordinary session held on 29 November 2017 on the Approval of Unit Costs by Level</w:t>
      </w:r>
      <w:r w:rsidR="00626DDA">
        <w:rPr>
          <w:rFonts w:ascii="Arial" w:hAnsi="Arial" w:cs="Arial"/>
          <w:sz w:val="16"/>
          <w:szCs w:val="16"/>
          <w:lang w:val="en-US"/>
        </w:rPr>
        <w:t xml:space="preserve"> </w:t>
      </w:r>
      <w:r w:rsidRPr="003B2744">
        <w:rPr>
          <w:rFonts w:ascii="Arial" w:hAnsi="Arial" w:cs="Arial"/>
          <w:sz w:val="16"/>
          <w:szCs w:val="16"/>
          <w:lang w:val="en-US"/>
        </w:rPr>
        <w:t>of Medical Care, updated 2018] (available via</w:t>
      </w:r>
      <w:r w:rsidRPr="00096BA7">
        <w:rPr>
          <w:rFonts w:ascii="Arial" w:hAnsi="Arial" w:cs="Arial"/>
          <w:sz w:val="16"/>
          <w:szCs w:val="16"/>
        </w:rPr>
        <w:t xml:space="preserve"> </w:t>
      </w:r>
      <w:hyperlink r:id="rId3" w:history="1">
        <w:r w:rsidRPr="00096BA7">
          <w:rPr>
            <w:rStyle w:val="Hipervnculo"/>
            <w:rFonts w:ascii="Arial" w:hAnsi="Arial" w:cs="Arial"/>
            <w:sz w:val="16"/>
            <w:szCs w:val="16"/>
          </w:rPr>
          <w:t>http://www.dof.gob.mx/nota_detalle.php?codigo=5509604&amp;fecha=28/12/2017</w:t>
        </w:r>
      </w:hyperlink>
    </w:p>
  </w:footnote>
  <w:footnote w:id="5">
    <w:p w14:paraId="28EE68DF" w14:textId="07FA6540" w:rsidR="00EF0C97" w:rsidRPr="00096BA7" w:rsidRDefault="00EF0C97">
      <w:pPr>
        <w:pStyle w:val="Textonotapie"/>
      </w:pPr>
      <w:r w:rsidRPr="00CF2BC7">
        <w:rPr>
          <w:rStyle w:val="Refdenotaalpie"/>
          <w:lang w:val="en-GB"/>
        </w:rPr>
        <w:footnoteRef/>
      </w:r>
      <w:r w:rsidRPr="00096BA7">
        <w:rPr>
          <w:sz w:val="16"/>
          <w:szCs w:val="16"/>
        </w:rPr>
        <w:t xml:space="preserve"> </w:t>
      </w:r>
      <w:hyperlink r:id="rId4" w:history="1">
        <w:r w:rsidRPr="00096BA7">
          <w:rPr>
            <w:rStyle w:val="Hipervnculo"/>
            <w:rFonts w:ascii="Arial" w:hAnsi="Arial" w:cs="Arial"/>
            <w:sz w:val="16"/>
            <w:szCs w:val="16"/>
          </w:rPr>
          <w:t>http://compras.imss.gob.mx/?P=imsscomprofich&amp;f=22409921&amp;pr=</w:t>
        </w:r>
      </w:hyperlink>
    </w:p>
  </w:footnote>
  <w:footnote w:id="6">
    <w:p w14:paraId="5315CAF3" w14:textId="24D9E955" w:rsidR="00EF0C97" w:rsidRPr="00D10B33" w:rsidRDefault="00EF0C97">
      <w:pPr>
        <w:pStyle w:val="Textonotapie"/>
      </w:pPr>
      <w:r w:rsidRPr="00CF2BC7">
        <w:rPr>
          <w:rStyle w:val="Refdenotaalpie"/>
          <w:lang w:val="en-GB"/>
        </w:rPr>
        <w:footnoteRef/>
      </w:r>
      <w:r w:rsidRPr="00096BA7">
        <w:t xml:space="preserve"> </w:t>
      </w:r>
      <w:hyperlink r:id="rId5" w:history="1">
        <w:r w:rsidRPr="00096BA7">
          <w:rPr>
            <w:rStyle w:val="Hipervnculo"/>
            <w:rFonts w:ascii="Arial" w:hAnsi="Arial" w:cs="Arial"/>
            <w:sz w:val="16"/>
            <w:szCs w:val="16"/>
          </w:rPr>
          <w:t>http://compras.imss.gob.mx/?P=imsscomprofich&amp;f=22409744&amp;pr=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FC55" w14:textId="7428E435" w:rsidR="00EF0C97" w:rsidRDefault="00EF0C9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8A9F" w14:textId="5FC7C96D" w:rsidR="00EF0C97" w:rsidRDefault="00EF0C9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77B8" w14:textId="27D36726" w:rsidR="00EF0C97" w:rsidRDefault="00EF0C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29C"/>
    <w:multiLevelType w:val="hybridMultilevel"/>
    <w:tmpl w:val="A1C2F9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23B22"/>
    <w:multiLevelType w:val="hybridMultilevel"/>
    <w:tmpl w:val="7DDCF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8422A4"/>
    <w:multiLevelType w:val="hybridMultilevel"/>
    <w:tmpl w:val="6DF01634"/>
    <w:lvl w:ilvl="0" w:tplc="329613D4">
      <w:start w:val="16"/>
      <w:numFmt w:val="decimal"/>
      <w:lvlText w:val="%1)"/>
      <w:lvlJc w:val="left"/>
      <w:pPr>
        <w:tabs>
          <w:tab w:val="num" w:pos="720"/>
        </w:tabs>
        <w:ind w:left="720" w:hanging="360"/>
      </w:pPr>
    </w:lvl>
    <w:lvl w:ilvl="1" w:tplc="2D16041C" w:tentative="1">
      <w:start w:val="1"/>
      <w:numFmt w:val="decimal"/>
      <w:lvlText w:val="%2)"/>
      <w:lvlJc w:val="left"/>
      <w:pPr>
        <w:tabs>
          <w:tab w:val="num" w:pos="1440"/>
        </w:tabs>
        <w:ind w:left="1440" w:hanging="360"/>
      </w:pPr>
    </w:lvl>
    <w:lvl w:ilvl="2" w:tplc="2266041C" w:tentative="1">
      <w:start w:val="1"/>
      <w:numFmt w:val="decimal"/>
      <w:lvlText w:val="%3)"/>
      <w:lvlJc w:val="left"/>
      <w:pPr>
        <w:tabs>
          <w:tab w:val="num" w:pos="2160"/>
        </w:tabs>
        <w:ind w:left="2160" w:hanging="360"/>
      </w:pPr>
    </w:lvl>
    <w:lvl w:ilvl="3" w:tplc="14DCA476" w:tentative="1">
      <w:start w:val="1"/>
      <w:numFmt w:val="decimal"/>
      <w:lvlText w:val="%4)"/>
      <w:lvlJc w:val="left"/>
      <w:pPr>
        <w:tabs>
          <w:tab w:val="num" w:pos="2880"/>
        </w:tabs>
        <w:ind w:left="2880" w:hanging="360"/>
      </w:pPr>
    </w:lvl>
    <w:lvl w:ilvl="4" w:tplc="CCE6361E" w:tentative="1">
      <w:start w:val="1"/>
      <w:numFmt w:val="decimal"/>
      <w:lvlText w:val="%5)"/>
      <w:lvlJc w:val="left"/>
      <w:pPr>
        <w:tabs>
          <w:tab w:val="num" w:pos="3600"/>
        </w:tabs>
        <w:ind w:left="3600" w:hanging="360"/>
      </w:pPr>
    </w:lvl>
    <w:lvl w:ilvl="5" w:tplc="91F61CCC" w:tentative="1">
      <w:start w:val="1"/>
      <w:numFmt w:val="decimal"/>
      <w:lvlText w:val="%6)"/>
      <w:lvlJc w:val="left"/>
      <w:pPr>
        <w:tabs>
          <w:tab w:val="num" w:pos="4320"/>
        </w:tabs>
        <w:ind w:left="4320" w:hanging="360"/>
      </w:pPr>
    </w:lvl>
    <w:lvl w:ilvl="6" w:tplc="102E3178" w:tentative="1">
      <w:start w:val="1"/>
      <w:numFmt w:val="decimal"/>
      <w:lvlText w:val="%7)"/>
      <w:lvlJc w:val="left"/>
      <w:pPr>
        <w:tabs>
          <w:tab w:val="num" w:pos="5040"/>
        </w:tabs>
        <w:ind w:left="5040" w:hanging="360"/>
      </w:pPr>
    </w:lvl>
    <w:lvl w:ilvl="7" w:tplc="1868B46C" w:tentative="1">
      <w:start w:val="1"/>
      <w:numFmt w:val="decimal"/>
      <w:lvlText w:val="%8)"/>
      <w:lvlJc w:val="left"/>
      <w:pPr>
        <w:tabs>
          <w:tab w:val="num" w:pos="5760"/>
        </w:tabs>
        <w:ind w:left="5760" w:hanging="360"/>
      </w:pPr>
    </w:lvl>
    <w:lvl w:ilvl="8" w:tplc="3460BDE0" w:tentative="1">
      <w:start w:val="1"/>
      <w:numFmt w:val="decimal"/>
      <w:lvlText w:val="%9)"/>
      <w:lvlJc w:val="left"/>
      <w:pPr>
        <w:tabs>
          <w:tab w:val="num" w:pos="6480"/>
        </w:tabs>
        <w:ind w:left="6480" w:hanging="360"/>
      </w:pPr>
    </w:lvl>
  </w:abstractNum>
  <w:abstractNum w:abstractNumId="3" w15:restartNumberingAfterBreak="0">
    <w:nsid w:val="04BA14B3"/>
    <w:multiLevelType w:val="hybridMultilevel"/>
    <w:tmpl w:val="B3A8BC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7B75B4"/>
    <w:multiLevelType w:val="hybridMultilevel"/>
    <w:tmpl w:val="71A8B2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E32380"/>
    <w:multiLevelType w:val="hybridMultilevel"/>
    <w:tmpl w:val="3FE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6531F"/>
    <w:multiLevelType w:val="hybridMultilevel"/>
    <w:tmpl w:val="05249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5067A4"/>
    <w:multiLevelType w:val="multilevel"/>
    <w:tmpl w:val="D6D071B4"/>
    <w:lvl w:ilvl="0">
      <w:start w:val="8"/>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7752" w:hanging="1800"/>
      </w:pPr>
      <w:rPr>
        <w:rFonts w:hint="default"/>
      </w:rPr>
    </w:lvl>
  </w:abstractNum>
  <w:abstractNum w:abstractNumId="8" w15:restartNumberingAfterBreak="0">
    <w:nsid w:val="11FC18F2"/>
    <w:multiLevelType w:val="hybridMultilevel"/>
    <w:tmpl w:val="81B2EF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016764"/>
    <w:multiLevelType w:val="hybridMultilevel"/>
    <w:tmpl w:val="9E664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F40F3"/>
    <w:multiLevelType w:val="multilevel"/>
    <w:tmpl w:val="1BE47960"/>
    <w:lvl w:ilvl="0">
      <w:start w:val="9"/>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5B39DA"/>
    <w:multiLevelType w:val="hybridMultilevel"/>
    <w:tmpl w:val="3732FB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63667E"/>
    <w:multiLevelType w:val="hybridMultilevel"/>
    <w:tmpl w:val="3A08CE18"/>
    <w:lvl w:ilvl="0" w:tplc="3398BB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443B87"/>
    <w:multiLevelType w:val="hybridMultilevel"/>
    <w:tmpl w:val="9CF878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6686A"/>
    <w:multiLevelType w:val="hybridMultilevel"/>
    <w:tmpl w:val="11A2BF5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2D7F58"/>
    <w:multiLevelType w:val="hybridMultilevel"/>
    <w:tmpl w:val="68784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690579"/>
    <w:multiLevelType w:val="hybridMultilevel"/>
    <w:tmpl w:val="5AB2D3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C66C4D"/>
    <w:multiLevelType w:val="hybridMultilevel"/>
    <w:tmpl w:val="2E2E1C56"/>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1E24F7"/>
    <w:multiLevelType w:val="hybridMultilevel"/>
    <w:tmpl w:val="A264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AC32B4"/>
    <w:multiLevelType w:val="hybridMultilevel"/>
    <w:tmpl w:val="BF06BF5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137DE1"/>
    <w:multiLevelType w:val="hybridMultilevel"/>
    <w:tmpl w:val="F2E284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FE1BEF"/>
    <w:multiLevelType w:val="hybridMultilevel"/>
    <w:tmpl w:val="36A6F690"/>
    <w:lvl w:ilvl="0" w:tplc="6E9CEC84">
      <w:start w:val="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E57FEC"/>
    <w:multiLevelType w:val="hybridMultilevel"/>
    <w:tmpl w:val="91CA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311BA"/>
    <w:multiLevelType w:val="hybridMultilevel"/>
    <w:tmpl w:val="8EA2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44599"/>
    <w:multiLevelType w:val="hybridMultilevel"/>
    <w:tmpl w:val="524E0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7690681"/>
    <w:multiLevelType w:val="hybridMultilevel"/>
    <w:tmpl w:val="56EAC46A"/>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82C34C5"/>
    <w:multiLevelType w:val="hybridMultilevel"/>
    <w:tmpl w:val="1D9089E0"/>
    <w:lvl w:ilvl="0" w:tplc="226286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E61449E"/>
    <w:multiLevelType w:val="hybridMultilevel"/>
    <w:tmpl w:val="524E0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E62642F"/>
    <w:multiLevelType w:val="hybridMultilevel"/>
    <w:tmpl w:val="5AEA42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1C67D2C"/>
    <w:multiLevelType w:val="hybridMultilevel"/>
    <w:tmpl w:val="A168AC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50F02DC"/>
    <w:multiLevelType w:val="hybridMultilevel"/>
    <w:tmpl w:val="D27803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7673AD"/>
    <w:multiLevelType w:val="hybridMultilevel"/>
    <w:tmpl w:val="18142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1D6343"/>
    <w:multiLevelType w:val="hybridMultilevel"/>
    <w:tmpl w:val="91CA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24741"/>
    <w:multiLevelType w:val="hybridMultilevel"/>
    <w:tmpl w:val="B928A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CB20072"/>
    <w:multiLevelType w:val="hybridMultilevel"/>
    <w:tmpl w:val="A13E3E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CE531CD"/>
    <w:multiLevelType w:val="hybridMultilevel"/>
    <w:tmpl w:val="6C36F5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0854B69"/>
    <w:multiLevelType w:val="hybridMultilevel"/>
    <w:tmpl w:val="92C288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14D4865"/>
    <w:multiLevelType w:val="hybridMultilevel"/>
    <w:tmpl w:val="2B2EDC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3287C9A"/>
    <w:multiLevelType w:val="hybridMultilevel"/>
    <w:tmpl w:val="1FF2F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4515E2D"/>
    <w:multiLevelType w:val="hybridMultilevel"/>
    <w:tmpl w:val="730AD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8450592"/>
    <w:multiLevelType w:val="hybridMultilevel"/>
    <w:tmpl w:val="C58049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8D36015"/>
    <w:multiLevelType w:val="hybridMultilevel"/>
    <w:tmpl w:val="8B9C71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98D3CF7"/>
    <w:multiLevelType w:val="hybridMultilevel"/>
    <w:tmpl w:val="B05065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A9B22C3"/>
    <w:multiLevelType w:val="hybridMultilevel"/>
    <w:tmpl w:val="9EC45B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BE3C55"/>
    <w:multiLevelType w:val="hybridMultilevel"/>
    <w:tmpl w:val="3E800B0A"/>
    <w:lvl w:ilvl="0" w:tplc="8ECEEE9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D7AB4"/>
    <w:multiLevelType w:val="multilevel"/>
    <w:tmpl w:val="D6D071B4"/>
    <w:lvl w:ilvl="0">
      <w:start w:val="4"/>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7752" w:hanging="1800"/>
      </w:pPr>
      <w:rPr>
        <w:rFonts w:hint="default"/>
      </w:rPr>
    </w:lvl>
  </w:abstractNum>
  <w:abstractNum w:abstractNumId="46" w15:restartNumberingAfterBreak="0">
    <w:nsid w:val="61680F86"/>
    <w:multiLevelType w:val="hybridMultilevel"/>
    <w:tmpl w:val="6756B5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E556F6"/>
    <w:multiLevelType w:val="hybridMultilevel"/>
    <w:tmpl w:val="E368CA5C"/>
    <w:lvl w:ilvl="0" w:tplc="080E4D32">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28550DC"/>
    <w:multiLevelType w:val="hybridMultilevel"/>
    <w:tmpl w:val="EA7649C4"/>
    <w:lvl w:ilvl="0" w:tplc="F6189148">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62A51FEA"/>
    <w:multiLevelType w:val="hybridMultilevel"/>
    <w:tmpl w:val="C7A47A86"/>
    <w:lvl w:ilvl="0" w:tplc="080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F41604"/>
    <w:multiLevelType w:val="hybridMultilevel"/>
    <w:tmpl w:val="7D0A6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94D6DA8"/>
    <w:multiLevelType w:val="hybridMultilevel"/>
    <w:tmpl w:val="323A3C5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9E42786"/>
    <w:multiLevelType w:val="hybridMultilevel"/>
    <w:tmpl w:val="E10C19F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E41707C"/>
    <w:multiLevelType w:val="hybridMultilevel"/>
    <w:tmpl w:val="A9BC0CBC"/>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E516927"/>
    <w:multiLevelType w:val="multilevel"/>
    <w:tmpl w:val="D6D071B4"/>
    <w:lvl w:ilvl="0">
      <w:start w:val="8"/>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7752" w:hanging="1800"/>
      </w:pPr>
      <w:rPr>
        <w:rFonts w:hint="default"/>
      </w:rPr>
    </w:lvl>
  </w:abstractNum>
  <w:abstractNum w:abstractNumId="55" w15:restartNumberingAfterBreak="0">
    <w:nsid w:val="6E527DA9"/>
    <w:multiLevelType w:val="hybridMultilevel"/>
    <w:tmpl w:val="08AC1A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E83C56"/>
    <w:multiLevelType w:val="hybridMultilevel"/>
    <w:tmpl w:val="FDBEE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29D50A2"/>
    <w:multiLevelType w:val="hybridMultilevel"/>
    <w:tmpl w:val="2FD09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3623BD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5620B80"/>
    <w:multiLevelType w:val="hybridMultilevel"/>
    <w:tmpl w:val="70527C26"/>
    <w:lvl w:ilvl="0" w:tplc="5C64E61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6D47E27"/>
    <w:multiLevelType w:val="hybridMultilevel"/>
    <w:tmpl w:val="EAC87ED8"/>
    <w:lvl w:ilvl="0" w:tplc="080A0001">
      <w:start w:val="1"/>
      <w:numFmt w:val="bullet"/>
      <w:lvlText w:val=""/>
      <w:lvlJc w:val="left"/>
      <w:pPr>
        <w:ind w:left="720" w:hanging="360"/>
      </w:pPr>
      <w:rPr>
        <w:rFonts w:ascii="Symbol" w:hAnsi="Symbol" w:hint="default"/>
      </w:rPr>
    </w:lvl>
    <w:lvl w:ilvl="1" w:tplc="8AF68804">
      <w:numFmt w:val="bullet"/>
      <w:lvlText w:val="-"/>
      <w:lvlJc w:val="left"/>
      <w:pPr>
        <w:ind w:left="1440" w:hanging="360"/>
      </w:pPr>
      <w:rPr>
        <w:rFonts w:ascii="Calibri" w:eastAsia="Times New Roman"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B596B56"/>
    <w:multiLevelType w:val="hybridMultilevel"/>
    <w:tmpl w:val="3FFA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436C10"/>
    <w:multiLevelType w:val="multilevel"/>
    <w:tmpl w:val="D6D071B4"/>
    <w:lvl w:ilvl="0">
      <w:start w:val="8"/>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7752" w:hanging="1800"/>
      </w:pPr>
      <w:rPr>
        <w:rFonts w:hint="default"/>
      </w:rPr>
    </w:lvl>
  </w:abstractNum>
  <w:abstractNum w:abstractNumId="63" w15:restartNumberingAfterBreak="0">
    <w:nsid w:val="7E206BE2"/>
    <w:multiLevelType w:val="hybridMultilevel"/>
    <w:tmpl w:val="3AB0E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55"/>
  </w:num>
  <w:num w:numId="3">
    <w:abstractNumId w:val="35"/>
  </w:num>
  <w:num w:numId="4">
    <w:abstractNumId w:val="56"/>
  </w:num>
  <w:num w:numId="5">
    <w:abstractNumId w:val="43"/>
  </w:num>
  <w:num w:numId="6">
    <w:abstractNumId w:val="57"/>
  </w:num>
  <w:num w:numId="7">
    <w:abstractNumId w:val="60"/>
  </w:num>
  <w:num w:numId="8">
    <w:abstractNumId w:val="33"/>
  </w:num>
  <w:num w:numId="9">
    <w:abstractNumId w:val="18"/>
  </w:num>
  <w:num w:numId="10">
    <w:abstractNumId w:val="39"/>
  </w:num>
  <w:num w:numId="11">
    <w:abstractNumId w:val="63"/>
  </w:num>
  <w:num w:numId="12">
    <w:abstractNumId w:val="58"/>
  </w:num>
  <w:num w:numId="13">
    <w:abstractNumId w:val="53"/>
  </w:num>
  <w:num w:numId="14">
    <w:abstractNumId w:val="10"/>
  </w:num>
  <w:num w:numId="15">
    <w:abstractNumId w:val="47"/>
  </w:num>
  <w:num w:numId="16">
    <w:abstractNumId w:val="29"/>
  </w:num>
  <w:num w:numId="17">
    <w:abstractNumId w:val="30"/>
  </w:num>
  <w:num w:numId="18">
    <w:abstractNumId w:val="37"/>
  </w:num>
  <w:num w:numId="19">
    <w:abstractNumId w:val="46"/>
  </w:num>
  <w:num w:numId="20">
    <w:abstractNumId w:val="51"/>
  </w:num>
  <w:num w:numId="21">
    <w:abstractNumId w:val="17"/>
  </w:num>
  <w:num w:numId="22">
    <w:abstractNumId w:val="52"/>
  </w:num>
  <w:num w:numId="23">
    <w:abstractNumId w:val="28"/>
  </w:num>
  <w:num w:numId="24">
    <w:abstractNumId w:val="62"/>
  </w:num>
  <w:num w:numId="25">
    <w:abstractNumId w:val="16"/>
  </w:num>
  <w:num w:numId="26">
    <w:abstractNumId w:val="50"/>
  </w:num>
  <w:num w:numId="27">
    <w:abstractNumId w:val="21"/>
  </w:num>
  <w:num w:numId="28">
    <w:abstractNumId w:val="8"/>
  </w:num>
  <w:num w:numId="29">
    <w:abstractNumId w:val="26"/>
  </w:num>
  <w:num w:numId="30">
    <w:abstractNumId w:val="59"/>
  </w:num>
  <w:num w:numId="31">
    <w:abstractNumId w:val="41"/>
  </w:num>
  <w:num w:numId="32">
    <w:abstractNumId w:val="12"/>
  </w:num>
  <w:num w:numId="33">
    <w:abstractNumId w:val="19"/>
  </w:num>
  <w:num w:numId="34">
    <w:abstractNumId w:val="0"/>
  </w:num>
  <w:num w:numId="35">
    <w:abstractNumId w:val="7"/>
  </w:num>
  <w:num w:numId="36">
    <w:abstractNumId w:val="5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7"/>
  </w:num>
  <w:num w:numId="40">
    <w:abstractNumId w:val="9"/>
  </w:num>
  <w:num w:numId="41">
    <w:abstractNumId w:val="48"/>
  </w:num>
  <w:num w:numId="42">
    <w:abstractNumId w:val="45"/>
  </w:num>
  <w:num w:numId="43">
    <w:abstractNumId w:val="11"/>
  </w:num>
  <w:num w:numId="44">
    <w:abstractNumId w:val="34"/>
  </w:num>
  <w:num w:numId="45">
    <w:abstractNumId w:val="42"/>
  </w:num>
  <w:num w:numId="46">
    <w:abstractNumId w:val="4"/>
  </w:num>
  <w:num w:numId="47">
    <w:abstractNumId w:val="36"/>
  </w:num>
  <w:num w:numId="48">
    <w:abstractNumId w:val="6"/>
  </w:num>
  <w:num w:numId="49">
    <w:abstractNumId w:val="13"/>
  </w:num>
  <w:num w:numId="50">
    <w:abstractNumId w:val="49"/>
  </w:num>
  <w:num w:numId="51">
    <w:abstractNumId w:val="2"/>
  </w:num>
  <w:num w:numId="52">
    <w:abstractNumId w:val="31"/>
  </w:num>
  <w:num w:numId="53">
    <w:abstractNumId w:val="14"/>
  </w:num>
  <w:num w:numId="54">
    <w:abstractNumId w:val="15"/>
  </w:num>
  <w:num w:numId="55">
    <w:abstractNumId w:val="25"/>
  </w:num>
  <w:num w:numId="56">
    <w:abstractNumId w:val="3"/>
  </w:num>
  <w:num w:numId="57">
    <w:abstractNumId w:val="20"/>
  </w:num>
  <w:num w:numId="58">
    <w:abstractNumId w:val="1"/>
  </w:num>
  <w:num w:numId="59">
    <w:abstractNumId w:val="40"/>
  </w:num>
  <w:num w:numId="60">
    <w:abstractNumId w:val="32"/>
  </w:num>
  <w:num w:numId="61">
    <w:abstractNumId w:val="22"/>
  </w:num>
  <w:num w:numId="62">
    <w:abstractNumId w:val="23"/>
  </w:num>
  <w:num w:numId="63">
    <w:abstractNumId w:val="61"/>
  </w:num>
  <w:num w:numId="64">
    <w:abstractNumId w:val="5"/>
  </w:num>
  <w:num w:numId="65">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708"/>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2E"/>
    <w:rsid w:val="00000256"/>
    <w:rsid w:val="00004043"/>
    <w:rsid w:val="00004E55"/>
    <w:rsid w:val="00010049"/>
    <w:rsid w:val="0001137D"/>
    <w:rsid w:val="000124A5"/>
    <w:rsid w:val="0001354A"/>
    <w:rsid w:val="00013E5A"/>
    <w:rsid w:val="00014073"/>
    <w:rsid w:val="0001422D"/>
    <w:rsid w:val="00014477"/>
    <w:rsid w:val="0002112F"/>
    <w:rsid w:val="0002210C"/>
    <w:rsid w:val="00024046"/>
    <w:rsid w:val="000251F2"/>
    <w:rsid w:val="00025CCE"/>
    <w:rsid w:val="00025DA7"/>
    <w:rsid w:val="00027A6A"/>
    <w:rsid w:val="00031FFE"/>
    <w:rsid w:val="00034AAA"/>
    <w:rsid w:val="00036DAF"/>
    <w:rsid w:val="00040267"/>
    <w:rsid w:val="000431CB"/>
    <w:rsid w:val="00046115"/>
    <w:rsid w:val="00046E80"/>
    <w:rsid w:val="000475E2"/>
    <w:rsid w:val="0005187F"/>
    <w:rsid w:val="00052259"/>
    <w:rsid w:val="0005435C"/>
    <w:rsid w:val="00054ED9"/>
    <w:rsid w:val="000565AE"/>
    <w:rsid w:val="000605B4"/>
    <w:rsid w:val="00063940"/>
    <w:rsid w:val="00064F06"/>
    <w:rsid w:val="00066B49"/>
    <w:rsid w:val="00066DA9"/>
    <w:rsid w:val="0007125B"/>
    <w:rsid w:val="00075FEF"/>
    <w:rsid w:val="000772CE"/>
    <w:rsid w:val="000807D0"/>
    <w:rsid w:val="000812B2"/>
    <w:rsid w:val="00081DC3"/>
    <w:rsid w:val="00083069"/>
    <w:rsid w:val="00083A8E"/>
    <w:rsid w:val="00091A14"/>
    <w:rsid w:val="00092BC4"/>
    <w:rsid w:val="00093A99"/>
    <w:rsid w:val="00094075"/>
    <w:rsid w:val="00096BA7"/>
    <w:rsid w:val="000973DF"/>
    <w:rsid w:val="000A04D0"/>
    <w:rsid w:val="000A061D"/>
    <w:rsid w:val="000A164C"/>
    <w:rsid w:val="000A31C7"/>
    <w:rsid w:val="000A3C4E"/>
    <w:rsid w:val="000A4276"/>
    <w:rsid w:val="000A5ED3"/>
    <w:rsid w:val="000A65EB"/>
    <w:rsid w:val="000B0B4C"/>
    <w:rsid w:val="000B2133"/>
    <w:rsid w:val="000B30E8"/>
    <w:rsid w:val="000B4530"/>
    <w:rsid w:val="000B4DB0"/>
    <w:rsid w:val="000C0FCC"/>
    <w:rsid w:val="000C12CA"/>
    <w:rsid w:val="000C405C"/>
    <w:rsid w:val="000C41AE"/>
    <w:rsid w:val="000D2A74"/>
    <w:rsid w:val="000D2DB8"/>
    <w:rsid w:val="000D3256"/>
    <w:rsid w:val="000D4D6F"/>
    <w:rsid w:val="000D6006"/>
    <w:rsid w:val="000E0436"/>
    <w:rsid w:val="000E3187"/>
    <w:rsid w:val="000E5017"/>
    <w:rsid w:val="000F07FB"/>
    <w:rsid w:val="000F2F5F"/>
    <w:rsid w:val="000F76DD"/>
    <w:rsid w:val="00103564"/>
    <w:rsid w:val="001037E7"/>
    <w:rsid w:val="00104791"/>
    <w:rsid w:val="00110FD1"/>
    <w:rsid w:val="00111243"/>
    <w:rsid w:val="0011129B"/>
    <w:rsid w:val="0011333F"/>
    <w:rsid w:val="00113BEB"/>
    <w:rsid w:val="001160A3"/>
    <w:rsid w:val="0011669A"/>
    <w:rsid w:val="001172F7"/>
    <w:rsid w:val="00120586"/>
    <w:rsid w:val="001213E0"/>
    <w:rsid w:val="00124672"/>
    <w:rsid w:val="00125C1F"/>
    <w:rsid w:val="00126096"/>
    <w:rsid w:val="00132EE1"/>
    <w:rsid w:val="00133D34"/>
    <w:rsid w:val="00134911"/>
    <w:rsid w:val="00135B2A"/>
    <w:rsid w:val="001360A6"/>
    <w:rsid w:val="001378E5"/>
    <w:rsid w:val="00137CE4"/>
    <w:rsid w:val="0014109E"/>
    <w:rsid w:val="001410D3"/>
    <w:rsid w:val="00141700"/>
    <w:rsid w:val="00141C8A"/>
    <w:rsid w:val="00142A44"/>
    <w:rsid w:val="00143E3B"/>
    <w:rsid w:val="001443E3"/>
    <w:rsid w:val="00146E16"/>
    <w:rsid w:val="001516F6"/>
    <w:rsid w:val="00151E5F"/>
    <w:rsid w:val="00153B7F"/>
    <w:rsid w:val="001546C3"/>
    <w:rsid w:val="0015649E"/>
    <w:rsid w:val="00156571"/>
    <w:rsid w:val="00157137"/>
    <w:rsid w:val="00157198"/>
    <w:rsid w:val="00157B43"/>
    <w:rsid w:val="0016091A"/>
    <w:rsid w:val="00160EC2"/>
    <w:rsid w:val="00162546"/>
    <w:rsid w:val="001631DF"/>
    <w:rsid w:val="00164EBE"/>
    <w:rsid w:val="001660F7"/>
    <w:rsid w:val="00166738"/>
    <w:rsid w:val="00167462"/>
    <w:rsid w:val="00167C95"/>
    <w:rsid w:val="00172710"/>
    <w:rsid w:val="0017370C"/>
    <w:rsid w:val="00174830"/>
    <w:rsid w:val="001749F8"/>
    <w:rsid w:val="0017519E"/>
    <w:rsid w:val="0018247F"/>
    <w:rsid w:val="00183F9E"/>
    <w:rsid w:val="001872C6"/>
    <w:rsid w:val="0019028B"/>
    <w:rsid w:val="00190606"/>
    <w:rsid w:val="0019486B"/>
    <w:rsid w:val="00194C35"/>
    <w:rsid w:val="0019675C"/>
    <w:rsid w:val="001A1B4E"/>
    <w:rsid w:val="001A2C96"/>
    <w:rsid w:val="001A3BEC"/>
    <w:rsid w:val="001A502F"/>
    <w:rsid w:val="001A6A9D"/>
    <w:rsid w:val="001A6E5E"/>
    <w:rsid w:val="001A719C"/>
    <w:rsid w:val="001A7A97"/>
    <w:rsid w:val="001B0905"/>
    <w:rsid w:val="001B1950"/>
    <w:rsid w:val="001B1B04"/>
    <w:rsid w:val="001B5141"/>
    <w:rsid w:val="001B723D"/>
    <w:rsid w:val="001B76A8"/>
    <w:rsid w:val="001B7D46"/>
    <w:rsid w:val="001C0EA4"/>
    <w:rsid w:val="001D0622"/>
    <w:rsid w:val="001D1453"/>
    <w:rsid w:val="001D1AD1"/>
    <w:rsid w:val="001D2C73"/>
    <w:rsid w:val="001E0156"/>
    <w:rsid w:val="001E154C"/>
    <w:rsid w:val="001E4190"/>
    <w:rsid w:val="001E48CC"/>
    <w:rsid w:val="001E7650"/>
    <w:rsid w:val="001E76FF"/>
    <w:rsid w:val="001E7BA0"/>
    <w:rsid w:val="001F11B3"/>
    <w:rsid w:val="001F1A0B"/>
    <w:rsid w:val="001F29A3"/>
    <w:rsid w:val="001F4E28"/>
    <w:rsid w:val="001F5D9B"/>
    <w:rsid w:val="001F69EF"/>
    <w:rsid w:val="001F69F5"/>
    <w:rsid w:val="001F6BDD"/>
    <w:rsid w:val="0020154A"/>
    <w:rsid w:val="00201856"/>
    <w:rsid w:val="002025F5"/>
    <w:rsid w:val="00205869"/>
    <w:rsid w:val="00205E4D"/>
    <w:rsid w:val="00205EEA"/>
    <w:rsid w:val="002168B4"/>
    <w:rsid w:val="00217F13"/>
    <w:rsid w:val="002229F4"/>
    <w:rsid w:val="0022382D"/>
    <w:rsid w:val="00224AB1"/>
    <w:rsid w:val="00225FB4"/>
    <w:rsid w:val="002261E2"/>
    <w:rsid w:val="00227753"/>
    <w:rsid w:val="00230274"/>
    <w:rsid w:val="00232F17"/>
    <w:rsid w:val="00233423"/>
    <w:rsid w:val="00235A9F"/>
    <w:rsid w:val="00235BC0"/>
    <w:rsid w:val="002360F7"/>
    <w:rsid w:val="002365EB"/>
    <w:rsid w:val="0023683E"/>
    <w:rsid w:val="00237812"/>
    <w:rsid w:val="00240A09"/>
    <w:rsid w:val="00240A25"/>
    <w:rsid w:val="00240C19"/>
    <w:rsid w:val="00243475"/>
    <w:rsid w:val="00243F3D"/>
    <w:rsid w:val="00244120"/>
    <w:rsid w:val="0024733F"/>
    <w:rsid w:val="00250065"/>
    <w:rsid w:val="002502C6"/>
    <w:rsid w:val="00251D11"/>
    <w:rsid w:val="002529AA"/>
    <w:rsid w:val="00254887"/>
    <w:rsid w:val="00255055"/>
    <w:rsid w:val="00263438"/>
    <w:rsid w:val="0026691C"/>
    <w:rsid w:val="002669E6"/>
    <w:rsid w:val="00266E6A"/>
    <w:rsid w:val="002675FB"/>
    <w:rsid w:val="00270F0F"/>
    <w:rsid w:val="00271F72"/>
    <w:rsid w:val="00272229"/>
    <w:rsid w:val="00272DC9"/>
    <w:rsid w:val="002734F2"/>
    <w:rsid w:val="00274999"/>
    <w:rsid w:val="0028042A"/>
    <w:rsid w:val="00280795"/>
    <w:rsid w:val="00280B93"/>
    <w:rsid w:val="00281B0B"/>
    <w:rsid w:val="0028703F"/>
    <w:rsid w:val="00287FFE"/>
    <w:rsid w:val="00291426"/>
    <w:rsid w:val="002914DB"/>
    <w:rsid w:val="00291F70"/>
    <w:rsid w:val="00297DD0"/>
    <w:rsid w:val="002A0598"/>
    <w:rsid w:val="002A1131"/>
    <w:rsid w:val="002A4822"/>
    <w:rsid w:val="002A683E"/>
    <w:rsid w:val="002A6AF4"/>
    <w:rsid w:val="002A6B43"/>
    <w:rsid w:val="002B0BAB"/>
    <w:rsid w:val="002B2F54"/>
    <w:rsid w:val="002B425E"/>
    <w:rsid w:val="002B5983"/>
    <w:rsid w:val="002B795A"/>
    <w:rsid w:val="002B7CE5"/>
    <w:rsid w:val="002C0AC9"/>
    <w:rsid w:val="002C14CB"/>
    <w:rsid w:val="002C151B"/>
    <w:rsid w:val="002C151C"/>
    <w:rsid w:val="002C1FDD"/>
    <w:rsid w:val="002C1FEA"/>
    <w:rsid w:val="002C31BA"/>
    <w:rsid w:val="002C3A3E"/>
    <w:rsid w:val="002C3BD7"/>
    <w:rsid w:val="002C3BF9"/>
    <w:rsid w:val="002D02C4"/>
    <w:rsid w:val="002D073A"/>
    <w:rsid w:val="002D1438"/>
    <w:rsid w:val="002D14E3"/>
    <w:rsid w:val="002D1B8B"/>
    <w:rsid w:val="002D208E"/>
    <w:rsid w:val="002D3A7F"/>
    <w:rsid w:val="002D46CE"/>
    <w:rsid w:val="002D52CB"/>
    <w:rsid w:val="002D5E56"/>
    <w:rsid w:val="002E04F5"/>
    <w:rsid w:val="002E0D01"/>
    <w:rsid w:val="002E12FE"/>
    <w:rsid w:val="002E3C09"/>
    <w:rsid w:val="002E3F2F"/>
    <w:rsid w:val="002E645E"/>
    <w:rsid w:val="002E7F7F"/>
    <w:rsid w:val="002F0D81"/>
    <w:rsid w:val="002F49A7"/>
    <w:rsid w:val="002F54EB"/>
    <w:rsid w:val="002F66A4"/>
    <w:rsid w:val="002F68F9"/>
    <w:rsid w:val="00300641"/>
    <w:rsid w:val="0030418F"/>
    <w:rsid w:val="003063CA"/>
    <w:rsid w:val="00307445"/>
    <w:rsid w:val="00313141"/>
    <w:rsid w:val="003132C7"/>
    <w:rsid w:val="00313362"/>
    <w:rsid w:val="00313EDA"/>
    <w:rsid w:val="00314796"/>
    <w:rsid w:val="003165B4"/>
    <w:rsid w:val="00321213"/>
    <w:rsid w:val="0032271A"/>
    <w:rsid w:val="00322EF8"/>
    <w:rsid w:val="003254CE"/>
    <w:rsid w:val="0032667A"/>
    <w:rsid w:val="00327342"/>
    <w:rsid w:val="003276E4"/>
    <w:rsid w:val="00331769"/>
    <w:rsid w:val="00333403"/>
    <w:rsid w:val="00333428"/>
    <w:rsid w:val="00333E30"/>
    <w:rsid w:val="0033479F"/>
    <w:rsid w:val="00334A79"/>
    <w:rsid w:val="00334E72"/>
    <w:rsid w:val="00335FB4"/>
    <w:rsid w:val="0033680E"/>
    <w:rsid w:val="003448DF"/>
    <w:rsid w:val="00345625"/>
    <w:rsid w:val="003503FD"/>
    <w:rsid w:val="00350D54"/>
    <w:rsid w:val="003529BC"/>
    <w:rsid w:val="00353320"/>
    <w:rsid w:val="0035492C"/>
    <w:rsid w:val="003559AF"/>
    <w:rsid w:val="0035608F"/>
    <w:rsid w:val="00357908"/>
    <w:rsid w:val="00357B2D"/>
    <w:rsid w:val="00357F57"/>
    <w:rsid w:val="00361E9B"/>
    <w:rsid w:val="00363320"/>
    <w:rsid w:val="00363DEC"/>
    <w:rsid w:val="00364C3E"/>
    <w:rsid w:val="00370762"/>
    <w:rsid w:val="003723F5"/>
    <w:rsid w:val="003747C9"/>
    <w:rsid w:val="003757E7"/>
    <w:rsid w:val="003769DE"/>
    <w:rsid w:val="00380913"/>
    <w:rsid w:val="003809AA"/>
    <w:rsid w:val="003809AC"/>
    <w:rsid w:val="00382039"/>
    <w:rsid w:val="003827C7"/>
    <w:rsid w:val="0038290A"/>
    <w:rsid w:val="00383947"/>
    <w:rsid w:val="003840D9"/>
    <w:rsid w:val="00384BCD"/>
    <w:rsid w:val="0038595B"/>
    <w:rsid w:val="0038744E"/>
    <w:rsid w:val="00390C54"/>
    <w:rsid w:val="00394B7A"/>
    <w:rsid w:val="00395FAB"/>
    <w:rsid w:val="00395FED"/>
    <w:rsid w:val="0039723C"/>
    <w:rsid w:val="00397B7B"/>
    <w:rsid w:val="003A0049"/>
    <w:rsid w:val="003A129C"/>
    <w:rsid w:val="003A2C8E"/>
    <w:rsid w:val="003A3A11"/>
    <w:rsid w:val="003A4133"/>
    <w:rsid w:val="003A5744"/>
    <w:rsid w:val="003A6A60"/>
    <w:rsid w:val="003A713D"/>
    <w:rsid w:val="003A79E3"/>
    <w:rsid w:val="003B19E1"/>
    <w:rsid w:val="003B1F38"/>
    <w:rsid w:val="003B2473"/>
    <w:rsid w:val="003B2744"/>
    <w:rsid w:val="003B7B03"/>
    <w:rsid w:val="003C329C"/>
    <w:rsid w:val="003D3090"/>
    <w:rsid w:val="003D38AB"/>
    <w:rsid w:val="003D5933"/>
    <w:rsid w:val="003D64A1"/>
    <w:rsid w:val="003D6F8A"/>
    <w:rsid w:val="003D747A"/>
    <w:rsid w:val="003E16F5"/>
    <w:rsid w:val="003E1848"/>
    <w:rsid w:val="003E216B"/>
    <w:rsid w:val="003F07E9"/>
    <w:rsid w:val="003F0856"/>
    <w:rsid w:val="003F0904"/>
    <w:rsid w:val="003F3A0A"/>
    <w:rsid w:val="003F3F69"/>
    <w:rsid w:val="003F41AE"/>
    <w:rsid w:val="003F5579"/>
    <w:rsid w:val="00400848"/>
    <w:rsid w:val="00402518"/>
    <w:rsid w:val="004028DA"/>
    <w:rsid w:val="00403805"/>
    <w:rsid w:val="00403A61"/>
    <w:rsid w:val="00412C41"/>
    <w:rsid w:val="004132C5"/>
    <w:rsid w:val="004135DA"/>
    <w:rsid w:val="0041430B"/>
    <w:rsid w:val="00414C4C"/>
    <w:rsid w:val="00415CEC"/>
    <w:rsid w:val="004160FA"/>
    <w:rsid w:val="00417A17"/>
    <w:rsid w:val="004201BA"/>
    <w:rsid w:val="004214B8"/>
    <w:rsid w:val="004215FD"/>
    <w:rsid w:val="00422D7B"/>
    <w:rsid w:val="00423050"/>
    <w:rsid w:val="0042400F"/>
    <w:rsid w:val="004254F3"/>
    <w:rsid w:val="004268D5"/>
    <w:rsid w:val="004273DF"/>
    <w:rsid w:val="00427945"/>
    <w:rsid w:val="0043147E"/>
    <w:rsid w:val="004334A9"/>
    <w:rsid w:val="0043413D"/>
    <w:rsid w:val="00435138"/>
    <w:rsid w:val="00436350"/>
    <w:rsid w:val="004402EE"/>
    <w:rsid w:val="00440707"/>
    <w:rsid w:val="00440797"/>
    <w:rsid w:val="004435E1"/>
    <w:rsid w:val="004445E6"/>
    <w:rsid w:val="004463CF"/>
    <w:rsid w:val="00446CDD"/>
    <w:rsid w:val="00447030"/>
    <w:rsid w:val="0045072C"/>
    <w:rsid w:val="00450B8A"/>
    <w:rsid w:val="00451B07"/>
    <w:rsid w:val="0045235B"/>
    <w:rsid w:val="00453A87"/>
    <w:rsid w:val="00454590"/>
    <w:rsid w:val="00455ECF"/>
    <w:rsid w:val="004603F2"/>
    <w:rsid w:val="00460841"/>
    <w:rsid w:val="00461536"/>
    <w:rsid w:val="00462026"/>
    <w:rsid w:val="0046293F"/>
    <w:rsid w:val="00462C90"/>
    <w:rsid w:val="00464AB6"/>
    <w:rsid w:val="00464E0F"/>
    <w:rsid w:val="00470B3E"/>
    <w:rsid w:val="004715A2"/>
    <w:rsid w:val="00471682"/>
    <w:rsid w:val="00472121"/>
    <w:rsid w:val="004723AF"/>
    <w:rsid w:val="0047277E"/>
    <w:rsid w:val="00473210"/>
    <w:rsid w:val="004746A8"/>
    <w:rsid w:val="004757EF"/>
    <w:rsid w:val="00475907"/>
    <w:rsid w:val="004774FE"/>
    <w:rsid w:val="00481111"/>
    <w:rsid w:val="00481EF6"/>
    <w:rsid w:val="0048223E"/>
    <w:rsid w:val="00483E68"/>
    <w:rsid w:val="00484134"/>
    <w:rsid w:val="00485E0F"/>
    <w:rsid w:val="00490444"/>
    <w:rsid w:val="004905DB"/>
    <w:rsid w:val="00490EEB"/>
    <w:rsid w:val="00490F71"/>
    <w:rsid w:val="00491BDF"/>
    <w:rsid w:val="00491E0C"/>
    <w:rsid w:val="0049790C"/>
    <w:rsid w:val="004A1075"/>
    <w:rsid w:val="004A1B69"/>
    <w:rsid w:val="004A27DD"/>
    <w:rsid w:val="004A280D"/>
    <w:rsid w:val="004A4ECE"/>
    <w:rsid w:val="004A6E96"/>
    <w:rsid w:val="004A73E3"/>
    <w:rsid w:val="004B4B6E"/>
    <w:rsid w:val="004B5AE2"/>
    <w:rsid w:val="004B5B53"/>
    <w:rsid w:val="004C0DB1"/>
    <w:rsid w:val="004C2E9E"/>
    <w:rsid w:val="004C36CD"/>
    <w:rsid w:val="004C3F3E"/>
    <w:rsid w:val="004C4886"/>
    <w:rsid w:val="004C52D6"/>
    <w:rsid w:val="004D2534"/>
    <w:rsid w:val="004D5CEA"/>
    <w:rsid w:val="004E15BE"/>
    <w:rsid w:val="004E182D"/>
    <w:rsid w:val="004E1FE5"/>
    <w:rsid w:val="004E667B"/>
    <w:rsid w:val="004F1BBA"/>
    <w:rsid w:val="004F4E31"/>
    <w:rsid w:val="004F5A01"/>
    <w:rsid w:val="004F5AD0"/>
    <w:rsid w:val="004F6A40"/>
    <w:rsid w:val="00500574"/>
    <w:rsid w:val="00500E7F"/>
    <w:rsid w:val="00502189"/>
    <w:rsid w:val="00502590"/>
    <w:rsid w:val="00502E6C"/>
    <w:rsid w:val="005030DD"/>
    <w:rsid w:val="005043C3"/>
    <w:rsid w:val="00505A0C"/>
    <w:rsid w:val="00505FFF"/>
    <w:rsid w:val="005069FD"/>
    <w:rsid w:val="00512116"/>
    <w:rsid w:val="00512905"/>
    <w:rsid w:val="00512C36"/>
    <w:rsid w:val="00513840"/>
    <w:rsid w:val="00514EFC"/>
    <w:rsid w:val="00516474"/>
    <w:rsid w:val="00522573"/>
    <w:rsid w:val="00523076"/>
    <w:rsid w:val="00527C09"/>
    <w:rsid w:val="00527EEF"/>
    <w:rsid w:val="0053466B"/>
    <w:rsid w:val="00536EF3"/>
    <w:rsid w:val="00536F96"/>
    <w:rsid w:val="005372A1"/>
    <w:rsid w:val="005373C6"/>
    <w:rsid w:val="005375A4"/>
    <w:rsid w:val="00537FA9"/>
    <w:rsid w:val="00541361"/>
    <w:rsid w:val="0054164C"/>
    <w:rsid w:val="00541A41"/>
    <w:rsid w:val="00543EEC"/>
    <w:rsid w:val="0054518C"/>
    <w:rsid w:val="005470A8"/>
    <w:rsid w:val="00550B87"/>
    <w:rsid w:val="00552122"/>
    <w:rsid w:val="00553565"/>
    <w:rsid w:val="0055380A"/>
    <w:rsid w:val="00553F9D"/>
    <w:rsid w:val="005544A9"/>
    <w:rsid w:val="0055522A"/>
    <w:rsid w:val="005563AD"/>
    <w:rsid w:val="0055657D"/>
    <w:rsid w:val="005565B9"/>
    <w:rsid w:val="00556A1E"/>
    <w:rsid w:val="00557341"/>
    <w:rsid w:val="005606B2"/>
    <w:rsid w:val="0056158A"/>
    <w:rsid w:val="00561C24"/>
    <w:rsid w:val="00562155"/>
    <w:rsid w:val="00564E58"/>
    <w:rsid w:val="005652DE"/>
    <w:rsid w:val="00567395"/>
    <w:rsid w:val="0056771C"/>
    <w:rsid w:val="00573CC7"/>
    <w:rsid w:val="005740E4"/>
    <w:rsid w:val="005747D3"/>
    <w:rsid w:val="005758D3"/>
    <w:rsid w:val="005773E5"/>
    <w:rsid w:val="00577C7B"/>
    <w:rsid w:val="005806CB"/>
    <w:rsid w:val="00583AC5"/>
    <w:rsid w:val="00585DF6"/>
    <w:rsid w:val="005922DF"/>
    <w:rsid w:val="0059329F"/>
    <w:rsid w:val="005952CE"/>
    <w:rsid w:val="005953A7"/>
    <w:rsid w:val="00595E6C"/>
    <w:rsid w:val="00596962"/>
    <w:rsid w:val="00596AF3"/>
    <w:rsid w:val="005A1598"/>
    <w:rsid w:val="005A1693"/>
    <w:rsid w:val="005A2DFC"/>
    <w:rsid w:val="005A3103"/>
    <w:rsid w:val="005A74BE"/>
    <w:rsid w:val="005B07DB"/>
    <w:rsid w:val="005B0BAA"/>
    <w:rsid w:val="005B1FC1"/>
    <w:rsid w:val="005B445D"/>
    <w:rsid w:val="005B4720"/>
    <w:rsid w:val="005C1247"/>
    <w:rsid w:val="005C1D31"/>
    <w:rsid w:val="005C2239"/>
    <w:rsid w:val="005C3F1C"/>
    <w:rsid w:val="005D03AF"/>
    <w:rsid w:val="005D1911"/>
    <w:rsid w:val="005D1924"/>
    <w:rsid w:val="005D215F"/>
    <w:rsid w:val="005D2409"/>
    <w:rsid w:val="005D3DA4"/>
    <w:rsid w:val="005D71CF"/>
    <w:rsid w:val="005E373A"/>
    <w:rsid w:val="005E3FC5"/>
    <w:rsid w:val="005E5C84"/>
    <w:rsid w:val="005E792E"/>
    <w:rsid w:val="005F05D4"/>
    <w:rsid w:val="005F07C1"/>
    <w:rsid w:val="005F0977"/>
    <w:rsid w:val="005F14AD"/>
    <w:rsid w:val="005F3F9A"/>
    <w:rsid w:val="005F4B8C"/>
    <w:rsid w:val="005F6682"/>
    <w:rsid w:val="005F76CB"/>
    <w:rsid w:val="00600D81"/>
    <w:rsid w:val="00603655"/>
    <w:rsid w:val="006044FD"/>
    <w:rsid w:val="0060578B"/>
    <w:rsid w:val="00605B2A"/>
    <w:rsid w:val="00607A1D"/>
    <w:rsid w:val="00612547"/>
    <w:rsid w:val="0061672B"/>
    <w:rsid w:val="0062055B"/>
    <w:rsid w:val="00620709"/>
    <w:rsid w:val="00621297"/>
    <w:rsid w:val="006215FB"/>
    <w:rsid w:val="00621F64"/>
    <w:rsid w:val="00626DDA"/>
    <w:rsid w:val="00626DF9"/>
    <w:rsid w:val="00626FE2"/>
    <w:rsid w:val="00627DEB"/>
    <w:rsid w:val="00637053"/>
    <w:rsid w:val="00637862"/>
    <w:rsid w:val="00641AAB"/>
    <w:rsid w:val="00642466"/>
    <w:rsid w:val="00642BEE"/>
    <w:rsid w:val="00644272"/>
    <w:rsid w:val="00644767"/>
    <w:rsid w:val="00644D07"/>
    <w:rsid w:val="006453EA"/>
    <w:rsid w:val="00645F53"/>
    <w:rsid w:val="006537E9"/>
    <w:rsid w:val="00653C45"/>
    <w:rsid w:val="00654B35"/>
    <w:rsid w:val="006562AD"/>
    <w:rsid w:val="00656316"/>
    <w:rsid w:val="00656B8D"/>
    <w:rsid w:val="00660CCB"/>
    <w:rsid w:val="00662439"/>
    <w:rsid w:val="00664491"/>
    <w:rsid w:val="006650FC"/>
    <w:rsid w:val="00666B68"/>
    <w:rsid w:val="00666F4C"/>
    <w:rsid w:val="00667E91"/>
    <w:rsid w:val="00672F50"/>
    <w:rsid w:val="00673FCF"/>
    <w:rsid w:val="006747A3"/>
    <w:rsid w:val="00674DEE"/>
    <w:rsid w:val="00675936"/>
    <w:rsid w:val="00675DF4"/>
    <w:rsid w:val="00684D10"/>
    <w:rsid w:val="00686A81"/>
    <w:rsid w:val="006872D9"/>
    <w:rsid w:val="00691984"/>
    <w:rsid w:val="00692C1F"/>
    <w:rsid w:val="00692FDB"/>
    <w:rsid w:val="006931B5"/>
    <w:rsid w:val="00694BAB"/>
    <w:rsid w:val="006970AE"/>
    <w:rsid w:val="00697507"/>
    <w:rsid w:val="00697E60"/>
    <w:rsid w:val="006A0568"/>
    <w:rsid w:val="006A3A3F"/>
    <w:rsid w:val="006A472E"/>
    <w:rsid w:val="006A5B15"/>
    <w:rsid w:val="006B02F0"/>
    <w:rsid w:val="006B10EA"/>
    <w:rsid w:val="006B11C2"/>
    <w:rsid w:val="006B26FD"/>
    <w:rsid w:val="006B5CA8"/>
    <w:rsid w:val="006C1BC9"/>
    <w:rsid w:val="006C1F61"/>
    <w:rsid w:val="006C2EB9"/>
    <w:rsid w:val="006C6146"/>
    <w:rsid w:val="006D0AC1"/>
    <w:rsid w:val="006D0BC6"/>
    <w:rsid w:val="006D2424"/>
    <w:rsid w:val="006D2D75"/>
    <w:rsid w:val="006D3FB3"/>
    <w:rsid w:val="006D5F68"/>
    <w:rsid w:val="006D606D"/>
    <w:rsid w:val="006D75D1"/>
    <w:rsid w:val="006D7722"/>
    <w:rsid w:val="006E621F"/>
    <w:rsid w:val="006E6C37"/>
    <w:rsid w:val="006F150A"/>
    <w:rsid w:val="006F6FCE"/>
    <w:rsid w:val="00700EB4"/>
    <w:rsid w:val="00702523"/>
    <w:rsid w:val="00703F86"/>
    <w:rsid w:val="00704086"/>
    <w:rsid w:val="007046DA"/>
    <w:rsid w:val="00705118"/>
    <w:rsid w:val="007057BA"/>
    <w:rsid w:val="007071BA"/>
    <w:rsid w:val="007130DA"/>
    <w:rsid w:val="007133C6"/>
    <w:rsid w:val="0071576C"/>
    <w:rsid w:val="0071728C"/>
    <w:rsid w:val="007219CE"/>
    <w:rsid w:val="00721D34"/>
    <w:rsid w:val="007220DF"/>
    <w:rsid w:val="007225D1"/>
    <w:rsid w:val="0072354A"/>
    <w:rsid w:val="00723E7A"/>
    <w:rsid w:val="00725D2D"/>
    <w:rsid w:val="00727504"/>
    <w:rsid w:val="00732770"/>
    <w:rsid w:val="00733CA6"/>
    <w:rsid w:val="007344E3"/>
    <w:rsid w:val="0073453E"/>
    <w:rsid w:val="00736250"/>
    <w:rsid w:val="00736BCB"/>
    <w:rsid w:val="00736F24"/>
    <w:rsid w:val="00737156"/>
    <w:rsid w:val="0073786C"/>
    <w:rsid w:val="00740890"/>
    <w:rsid w:val="00740BB8"/>
    <w:rsid w:val="00740EF2"/>
    <w:rsid w:val="0074550D"/>
    <w:rsid w:val="0074793A"/>
    <w:rsid w:val="0075254F"/>
    <w:rsid w:val="00756534"/>
    <w:rsid w:val="00756EF6"/>
    <w:rsid w:val="00757014"/>
    <w:rsid w:val="00757488"/>
    <w:rsid w:val="00757772"/>
    <w:rsid w:val="0076064C"/>
    <w:rsid w:val="00762DA1"/>
    <w:rsid w:val="00767F96"/>
    <w:rsid w:val="007705A8"/>
    <w:rsid w:val="0077101B"/>
    <w:rsid w:val="00772401"/>
    <w:rsid w:val="00773D73"/>
    <w:rsid w:val="00774B8A"/>
    <w:rsid w:val="00775FB5"/>
    <w:rsid w:val="00776546"/>
    <w:rsid w:val="00777789"/>
    <w:rsid w:val="00782C2F"/>
    <w:rsid w:val="00783D8B"/>
    <w:rsid w:val="0079017C"/>
    <w:rsid w:val="00790299"/>
    <w:rsid w:val="00790891"/>
    <w:rsid w:val="0079179E"/>
    <w:rsid w:val="0079338F"/>
    <w:rsid w:val="0079382F"/>
    <w:rsid w:val="007957AD"/>
    <w:rsid w:val="00795C48"/>
    <w:rsid w:val="007A1F8E"/>
    <w:rsid w:val="007A24E2"/>
    <w:rsid w:val="007A315E"/>
    <w:rsid w:val="007A48C7"/>
    <w:rsid w:val="007A4CCE"/>
    <w:rsid w:val="007A6782"/>
    <w:rsid w:val="007A6BCD"/>
    <w:rsid w:val="007A6BD1"/>
    <w:rsid w:val="007B0213"/>
    <w:rsid w:val="007B1363"/>
    <w:rsid w:val="007B17A8"/>
    <w:rsid w:val="007B1CDE"/>
    <w:rsid w:val="007B22EE"/>
    <w:rsid w:val="007B29A0"/>
    <w:rsid w:val="007B3F9D"/>
    <w:rsid w:val="007B494A"/>
    <w:rsid w:val="007B5439"/>
    <w:rsid w:val="007B5560"/>
    <w:rsid w:val="007B5DF5"/>
    <w:rsid w:val="007B7008"/>
    <w:rsid w:val="007B7D42"/>
    <w:rsid w:val="007C0419"/>
    <w:rsid w:val="007C11F0"/>
    <w:rsid w:val="007C2400"/>
    <w:rsid w:val="007C348F"/>
    <w:rsid w:val="007C4147"/>
    <w:rsid w:val="007C5D84"/>
    <w:rsid w:val="007C778B"/>
    <w:rsid w:val="007C7882"/>
    <w:rsid w:val="007D08D6"/>
    <w:rsid w:val="007D0CD6"/>
    <w:rsid w:val="007D4F46"/>
    <w:rsid w:val="007E10F2"/>
    <w:rsid w:val="007E16FF"/>
    <w:rsid w:val="007E459F"/>
    <w:rsid w:val="007E4E9C"/>
    <w:rsid w:val="007E6AAD"/>
    <w:rsid w:val="007E730C"/>
    <w:rsid w:val="007F1FDD"/>
    <w:rsid w:val="007F2AEB"/>
    <w:rsid w:val="007F3E98"/>
    <w:rsid w:val="007F3F1F"/>
    <w:rsid w:val="007F49ED"/>
    <w:rsid w:val="007F520C"/>
    <w:rsid w:val="007F69E5"/>
    <w:rsid w:val="007F70BB"/>
    <w:rsid w:val="007F7F8D"/>
    <w:rsid w:val="00801272"/>
    <w:rsid w:val="0080154E"/>
    <w:rsid w:val="00801B5E"/>
    <w:rsid w:val="00802300"/>
    <w:rsid w:val="00806C73"/>
    <w:rsid w:val="008121AD"/>
    <w:rsid w:val="008121C5"/>
    <w:rsid w:val="008147F3"/>
    <w:rsid w:val="00814B22"/>
    <w:rsid w:val="008153A5"/>
    <w:rsid w:val="008179CF"/>
    <w:rsid w:val="008202DC"/>
    <w:rsid w:val="0082037B"/>
    <w:rsid w:val="0082169E"/>
    <w:rsid w:val="00824628"/>
    <w:rsid w:val="00826F62"/>
    <w:rsid w:val="0082754C"/>
    <w:rsid w:val="00827FCD"/>
    <w:rsid w:val="00830A56"/>
    <w:rsid w:val="00832DDD"/>
    <w:rsid w:val="00832EB3"/>
    <w:rsid w:val="00833EB9"/>
    <w:rsid w:val="00837ED3"/>
    <w:rsid w:val="0084045A"/>
    <w:rsid w:val="00851283"/>
    <w:rsid w:val="008521DC"/>
    <w:rsid w:val="0085238A"/>
    <w:rsid w:val="008540A7"/>
    <w:rsid w:val="00854786"/>
    <w:rsid w:val="00854EC6"/>
    <w:rsid w:val="0086056D"/>
    <w:rsid w:val="00861457"/>
    <w:rsid w:val="00862197"/>
    <w:rsid w:val="008648FD"/>
    <w:rsid w:val="00865590"/>
    <w:rsid w:val="008666FE"/>
    <w:rsid w:val="008712F5"/>
    <w:rsid w:val="0087199E"/>
    <w:rsid w:val="008721E1"/>
    <w:rsid w:val="00872B18"/>
    <w:rsid w:val="00874F1F"/>
    <w:rsid w:val="00875AAD"/>
    <w:rsid w:val="008765F5"/>
    <w:rsid w:val="00881FBB"/>
    <w:rsid w:val="0088353E"/>
    <w:rsid w:val="00883717"/>
    <w:rsid w:val="00884FE0"/>
    <w:rsid w:val="0088534E"/>
    <w:rsid w:val="00887243"/>
    <w:rsid w:val="0089111E"/>
    <w:rsid w:val="00892226"/>
    <w:rsid w:val="00892AB3"/>
    <w:rsid w:val="008949E0"/>
    <w:rsid w:val="00897716"/>
    <w:rsid w:val="008A1522"/>
    <w:rsid w:val="008A3A3A"/>
    <w:rsid w:val="008A3DEC"/>
    <w:rsid w:val="008A4D3C"/>
    <w:rsid w:val="008A505A"/>
    <w:rsid w:val="008A5245"/>
    <w:rsid w:val="008A7114"/>
    <w:rsid w:val="008A753F"/>
    <w:rsid w:val="008A7CF4"/>
    <w:rsid w:val="008B26D9"/>
    <w:rsid w:val="008B2A3B"/>
    <w:rsid w:val="008B489C"/>
    <w:rsid w:val="008B57F2"/>
    <w:rsid w:val="008B63E8"/>
    <w:rsid w:val="008B73F9"/>
    <w:rsid w:val="008C05C0"/>
    <w:rsid w:val="008C1BBF"/>
    <w:rsid w:val="008C2F1C"/>
    <w:rsid w:val="008D17B6"/>
    <w:rsid w:val="008D33D1"/>
    <w:rsid w:val="008D33DA"/>
    <w:rsid w:val="008E092B"/>
    <w:rsid w:val="008E12E9"/>
    <w:rsid w:val="008E150C"/>
    <w:rsid w:val="008E161B"/>
    <w:rsid w:val="008E31E2"/>
    <w:rsid w:val="008E42FC"/>
    <w:rsid w:val="008E743F"/>
    <w:rsid w:val="008E756D"/>
    <w:rsid w:val="008F3C2B"/>
    <w:rsid w:val="008F3FEF"/>
    <w:rsid w:val="008F40C4"/>
    <w:rsid w:val="00900E0A"/>
    <w:rsid w:val="009010A9"/>
    <w:rsid w:val="00902072"/>
    <w:rsid w:val="0090224B"/>
    <w:rsid w:val="00904E5F"/>
    <w:rsid w:val="009056BC"/>
    <w:rsid w:val="00905B6D"/>
    <w:rsid w:val="00905FFD"/>
    <w:rsid w:val="00906E5E"/>
    <w:rsid w:val="00907ED0"/>
    <w:rsid w:val="009113A6"/>
    <w:rsid w:val="00913178"/>
    <w:rsid w:val="009141C6"/>
    <w:rsid w:val="00915AF0"/>
    <w:rsid w:val="009202DF"/>
    <w:rsid w:val="0092188B"/>
    <w:rsid w:val="00923C34"/>
    <w:rsid w:val="00930264"/>
    <w:rsid w:val="00931973"/>
    <w:rsid w:val="00932113"/>
    <w:rsid w:val="00933D4A"/>
    <w:rsid w:val="009358F5"/>
    <w:rsid w:val="00935A29"/>
    <w:rsid w:val="00936473"/>
    <w:rsid w:val="009371C1"/>
    <w:rsid w:val="00942EFD"/>
    <w:rsid w:val="0094555C"/>
    <w:rsid w:val="00945CB8"/>
    <w:rsid w:val="009476B9"/>
    <w:rsid w:val="009508CD"/>
    <w:rsid w:val="00950FFA"/>
    <w:rsid w:val="009522FA"/>
    <w:rsid w:val="00953EFE"/>
    <w:rsid w:val="00956C9F"/>
    <w:rsid w:val="00961102"/>
    <w:rsid w:val="00961709"/>
    <w:rsid w:val="00962888"/>
    <w:rsid w:val="009650F1"/>
    <w:rsid w:val="009726A8"/>
    <w:rsid w:val="009763B1"/>
    <w:rsid w:val="00980823"/>
    <w:rsid w:val="00980F88"/>
    <w:rsid w:val="009812F5"/>
    <w:rsid w:val="0098238D"/>
    <w:rsid w:val="00983820"/>
    <w:rsid w:val="00986523"/>
    <w:rsid w:val="00990917"/>
    <w:rsid w:val="009929DD"/>
    <w:rsid w:val="00994225"/>
    <w:rsid w:val="0099438A"/>
    <w:rsid w:val="00994669"/>
    <w:rsid w:val="00997212"/>
    <w:rsid w:val="009A04F9"/>
    <w:rsid w:val="009A0C70"/>
    <w:rsid w:val="009A4FBB"/>
    <w:rsid w:val="009A51B2"/>
    <w:rsid w:val="009A5A76"/>
    <w:rsid w:val="009B5F1C"/>
    <w:rsid w:val="009B6095"/>
    <w:rsid w:val="009B650C"/>
    <w:rsid w:val="009B7329"/>
    <w:rsid w:val="009B7468"/>
    <w:rsid w:val="009C2765"/>
    <w:rsid w:val="009C28E4"/>
    <w:rsid w:val="009C41B8"/>
    <w:rsid w:val="009C7391"/>
    <w:rsid w:val="009C7A7C"/>
    <w:rsid w:val="009D0F11"/>
    <w:rsid w:val="009D1D74"/>
    <w:rsid w:val="009D76C8"/>
    <w:rsid w:val="009D7ADD"/>
    <w:rsid w:val="009E1E1D"/>
    <w:rsid w:val="009E1F09"/>
    <w:rsid w:val="009E2BC7"/>
    <w:rsid w:val="009E54AF"/>
    <w:rsid w:val="009E5C32"/>
    <w:rsid w:val="009E7827"/>
    <w:rsid w:val="009F0D22"/>
    <w:rsid w:val="009F3CCB"/>
    <w:rsid w:val="00A0205C"/>
    <w:rsid w:val="00A025C8"/>
    <w:rsid w:val="00A02868"/>
    <w:rsid w:val="00A02A83"/>
    <w:rsid w:val="00A02D30"/>
    <w:rsid w:val="00A02DD9"/>
    <w:rsid w:val="00A05363"/>
    <w:rsid w:val="00A05FAA"/>
    <w:rsid w:val="00A0608B"/>
    <w:rsid w:val="00A0641D"/>
    <w:rsid w:val="00A06E76"/>
    <w:rsid w:val="00A12F2A"/>
    <w:rsid w:val="00A14B24"/>
    <w:rsid w:val="00A14C61"/>
    <w:rsid w:val="00A16ADB"/>
    <w:rsid w:val="00A17493"/>
    <w:rsid w:val="00A20980"/>
    <w:rsid w:val="00A22C2C"/>
    <w:rsid w:val="00A2340F"/>
    <w:rsid w:val="00A236DB"/>
    <w:rsid w:val="00A2391A"/>
    <w:rsid w:val="00A23D59"/>
    <w:rsid w:val="00A2725E"/>
    <w:rsid w:val="00A310A3"/>
    <w:rsid w:val="00A311A5"/>
    <w:rsid w:val="00A31B3A"/>
    <w:rsid w:val="00A32255"/>
    <w:rsid w:val="00A32FA4"/>
    <w:rsid w:val="00A335CD"/>
    <w:rsid w:val="00A33754"/>
    <w:rsid w:val="00A35E17"/>
    <w:rsid w:val="00A37F23"/>
    <w:rsid w:val="00A41109"/>
    <w:rsid w:val="00A4142C"/>
    <w:rsid w:val="00A41E59"/>
    <w:rsid w:val="00A42072"/>
    <w:rsid w:val="00A43981"/>
    <w:rsid w:val="00A44CDF"/>
    <w:rsid w:val="00A44E27"/>
    <w:rsid w:val="00A45DA0"/>
    <w:rsid w:val="00A45EA0"/>
    <w:rsid w:val="00A467FD"/>
    <w:rsid w:val="00A4772D"/>
    <w:rsid w:val="00A47E0A"/>
    <w:rsid w:val="00A47F2B"/>
    <w:rsid w:val="00A511F3"/>
    <w:rsid w:val="00A51F3A"/>
    <w:rsid w:val="00A53738"/>
    <w:rsid w:val="00A55248"/>
    <w:rsid w:val="00A559EB"/>
    <w:rsid w:val="00A56633"/>
    <w:rsid w:val="00A61A34"/>
    <w:rsid w:val="00A635D2"/>
    <w:rsid w:val="00A635D4"/>
    <w:rsid w:val="00A6558E"/>
    <w:rsid w:val="00A657F1"/>
    <w:rsid w:val="00A67212"/>
    <w:rsid w:val="00A673C6"/>
    <w:rsid w:val="00A745AB"/>
    <w:rsid w:val="00A7467B"/>
    <w:rsid w:val="00A7531B"/>
    <w:rsid w:val="00A76394"/>
    <w:rsid w:val="00A7642C"/>
    <w:rsid w:val="00A76525"/>
    <w:rsid w:val="00A76A60"/>
    <w:rsid w:val="00A77C35"/>
    <w:rsid w:val="00A801EA"/>
    <w:rsid w:val="00A808F9"/>
    <w:rsid w:val="00A81002"/>
    <w:rsid w:val="00A81F33"/>
    <w:rsid w:val="00A8285D"/>
    <w:rsid w:val="00A85CF5"/>
    <w:rsid w:val="00A86096"/>
    <w:rsid w:val="00A913DC"/>
    <w:rsid w:val="00A9317E"/>
    <w:rsid w:val="00A93BAB"/>
    <w:rsid w:val="00A94AEA"/>
    <w:rsid w:val="00A9669B"/>
    <w:rsid w:val="00AA07C4"/>
    <w:rsid w:val="00AA11D4"/>
    <w:rsid w:val="00AA23BE"/>
    <w:rsid w:val="00AA41B4"/>
    <w:rsid w:val="00AA42E3"/>
    <w:rsid w:val="00AA5242"/>
    <w:rsid w:val="00AA55A5"/>
    <w:rsid w:val="00AA6B9D"/>
    <w:rsid w:val="00AA7413"/>
    <w:rsid w:val="00AA7644"/>
    <w:rsid w:val="00AA7C4E"/>
    <w:rsid w:val="00AB02B2"/>
    <w:rsid w:val="00AB0784"/>
    <w:rsid w:val="00AB1972"/>
    <w:rsid w:val="00AB28E3"/>
    <w:rsid w:val="00AB3922"/>
    <w:rsid w:val="00AB43B8"/>
    <w:rsid w:val="00AB4CE4"/>
    <w:rsid w:val="00AB6FF5"/>
    <w:rsid w:val="00AC1A4E"/>
    <w:rsid w:val="00AC1DE3"/>
    <w:rsid w:val="00AC388A"/>
    <w:rsid w:val="00AC4679"/>
    <w:rsid w:val="00AC7C14"/>
    <w:rsid w:val="00AD1583"/>
    <w:rsid w:val="00AD33A1"/>
    <w:rsid w:val="00AD5DA6"/>
    <w:rsid w:val="00AD5ECF"/>
    <w:rsid w:val="00AE0B76"/>
    <w:rsid w:val="00AE1F55"/>
    <w:rsid w:val="00AE27CE"/>
    <w:rsid w:val="00AE2C09"/>
    <w:rsid w:val="00AE3CE0"/>
    <w:rsid w:val="00AE3E0B"/>
    <w:rsid w:val="00AE571E"/>
    <w:rsid w:val="00AF2472"/>
    <w:rsid w:val="00AF4382"/>
    <w:rsid w:val="00AF5E5F"/>
    <w:rsid w:val="00AF766F"/>
    <w:rsid w:val="00B03C62"/>
    <w:rsid w:val="00B03D2B"/>
    <w:rsid w:val="00B03DAF"/>
    <w:rsid w:val="00B04274"/>
    <w:rsid w:val="00B050C7"/>
    <w:rsid w:val="00B07188"/>
    <w:rsid w:val="00B07C98"/>
    <w:rsid w:val="00B12403"/>
    <w:rsid w:val="00B1296F"/>
    <w:rsid w:val="00B13150"/>
    <w:rsid w:val="00B17214"/>
    <w:rsid w:val="00B253EC"/>
    <w:rsid w:val="00B25FAA"/>
    <w:rsid w:val="00B26F0D"/>
    <w:rsid w:val="00B27B97"/>
    <w:rsid w:val="00B30D92"/>
    <w:rsid w:val="00B30EBF"/>
    <w:rsid w:val="00B327B6"/>
    <w:rsid w:val="00B331C4"/>
    <w:rsid w:val="00B34A87"/>
    <w:rsid w:val="00B36EA4"/>
    <w:rsid w:val="00B37DDC"/>
    <w:rsid w:val="00B429B1"/>
    <w:rsid w:val="00B4430D"/>
    <w:rsid w:val="00B44875"/>
    <w:rsid w:val="00B474B0"/>
    <w:rsid w:val="00B50CC7"/>
    <w:rsid w:val="00B52C9E"/>
    <w:rsid w:val="00B53172"/>
    <w:rsid w:val="00B54703"/>
    <w:rsid w:val="00B55879"/>
    <w:rsid w:val="00B5776D"/>
    <w:rsid w:val="00B57C56"/>
    <w:rsid w:val="00B57F17"/>
    <w:rsid w:val="00B639CA"/>
    <w:rsid w:val="00B6441E"/>
    <w:rsid w:val="00B66D6A"/>
    <w:rsid w:val="00B670CD"/>
    <w:rsid w:val="00B67729"/>
    <w:rsid w:val="00B700FE"/>
    <w:rsid w:val="00B72B79"/>
    <w:rsid w:val="00B73530"/>
    <w:rsid w:val="00B73B60"/>
    <w:rsid w:val="00B75C8F"/>
    <w:rsid w:val="00B8141E"/>
    <w:rsid w:val="00B8149E"/>
    <w:rsid w:val="00B84152"/>
    <w:rsid w:val="00B845E3"/>
    <w:rsid w:val="00B854CF"/>
    <w:rsid w:val="00B87D21"/>
    <w:rsid w:val="00B87D35"/>
    <w:rsid w:val="00B90B60"/>
    <w:rsid w:val="00B94251"/>
    <w:rsid w:val="00B94792"/>
    <w:rsid w:val="00B95C43"/>
    <w:rsid w:val="00B97899"/>
    <w:rsid w:val="00B97C8C"/>
    <w:rsid w:val="00B97FCF"/>
    <w:rsid w:val="00BA0EA8"/>
    <w:rsid w:val="00BA4019"/>
    <w:rsid w:val="00BA4518"/>
    <w:rsid w:val="00BB2733"/>
    <w:rsid w:val="00BB4069"/>
    <w:rsid w:val="00BB496F"/>
    <w:rsid w:val="00BB5F2F"/>
    <w:rsid w:val="00BC034E"/>
    <w:rsid w:val="00BC121D"/>
    <w:rsid w:val="00BC15B5"/>
    <w:rsid w:val="00BC218E"/>
    <w:rsid w:val="00BC73A2"/>
    <w:rsid w:val="00BD0165"/>
    <w:rsid w:val="00BD1676"/>
    <w:rsid w:val="00BD2359"/>
    <w:rsid w:val="00BD262F"/>
    <w:rsid w:val="00BD3587"/>
    <w:rsid w:val="00BD413B"/>
    <w:rsid w:val="00BD4C44"/>
    <w:rsid w:val="00BD55B2"/>
    <w:rsid w:val="00BD606D"/>
    <w:rsid w:val="00BE0017"/>
    <w:rsid w:val="00BE1163"/>
    <w:rsid w:val="00BE52CF"/>
    <w:rsid w:val="00BE767B"/>
    <w:rsid w:val="00BF10A9"/>
    <w:rsid w:val="00BF21C6"/>
    <w:rsid w:val="00BF24D2"/>
    <w:rsid w:val="00BF3439"/>
    <w:rsid w:val="00BF43A5"/>
    <w:rsid w:val="00BF5C74"/>
    <w:rsid w:val="00BF6D2E"/>
    <w:rsid w:val="00BF711E"/>
    <w:rsid w:val="00BF7F84"/>
    <w:rsid w:val="00C0034E"/>
    <w:rsid w:val="00C01668"/>
    <w:rsid w:val="00C031CA"/>
    <w:rsid w:val="00C04016"/>
    <w:rsid w:val="00C05673"/>
    <w:rsid w:val="00C05AB9"/>
    <w:rsid w:val="00C0700D"/>
    <w:rsid w:val="00C07EB0"/>
    <w:rsid w:val="00C10B91"/>
    <w:rsid w:val="00C12D1D"/>
    <w:rsid w:val="00C1444F"/>
    <w:rsid w:val="00C14635"/>
    <w:rsid w:val="00C14C1F"/>
    <w:rsid w:val="00C14D4A"/>
    <w:rsid w:val="00C15652"/>
    <w:rsid w:val="00C15979"/>
    <w:rsid w:val="00C175F1"/>
    <w:rsid w:val="00C215FF"/>
    <w:rsid w:val="00C21616"/>
    <w:rsid w:val="00C22E49"/>
    <w:rsid w:val="00C23EC8"/>
    <w:rsid w:val="00C23F97"/>
    <w:rsid w:val="00C24370"/>
    <w:rsid w:val="00C259C3"/>
    <w:rsid w:val="00C2664C"/>
    <w:rsid w:val="00C27568"/>
    <w:rsid w:val="00C3004D"/>
    <w:rsid w:val="00C3290D"/>
    <w:rsid w:val="00C3352F"/>
    <w:rsid w:val="00C34444"/>
    <w:rsid w:val="00C3606E"/>
    <w:rsid w:val="00C37F44"/>
    <w:rsid w:val="00C40EAD"/>
    <w:rsid w:val="00C45691"/>
    <w:rsid w:val="00C50E7E"/>
    <w:rsid w:val="00C5284D"/>
    <w:rsid w:val="00C53DDC"/>
    <w:rsid w:val="00C55203"/>
    <w:rsid w:val="00C55308"/>
    <w:rsid w:val="00C56D5A"/>
    <w:rsid w:val="00C5788E"/>
    <w:rsid w:val="00C63E67"/>
    <w:rsid w:val="00C667D1"/>
    <w:rsid w:val="00C67E6B"/>
    <w:rsid w:val="00C72233"/>
    <w:rsid w:val="00C73007"/>
    <w:rsid w:val="00C735DE"/>
    <w:rsid w:val="00C74174"/>
    <w:rsid w:val="00C741A4"/>
    <w:rsid w:val="00C74B75"/>
    <w:rsid w:val="00C772CA"/>
    <w:rsid w:val="00C81665"/>
    <w:rsid w:val="00C832FE"/>
    <w:rsid w:val="00C864CF"/>
    <w:rsid w:val="00C9167C"/>
    <w:rsid w:val="00C932D5"/>
    <w:rsid w:val="00C939A8"/>
    <w:rsid w:val="00C94535"/>
    <w:rsid w:val="00C94A95"/>
    <w:rsid w:val="00C94ACA"/>
    <w:rsid w:val="00C952FA"/>
    <w:rsid w:val="00C97D26"/>
    <w:rsid w:val="00CA34FB"/>
    <w:rsid w:val="00CA5480"/>
    <w:rsid w:val="00CA6722"/>
    <w:rsid w:val="00CA7049"/>
    <w:rsid w:val="00CB0D6F"/>
    <w:rsid w:val="00CB16DB"/>
    <w:rsid w:val="00CB48F8"/>
    <w:rsid w:val="00CB5A02"/>
    <w:rsid w:val="00CB7558"/>
    <w:rsid w:val="00CC1842"/>
    <w:rsid w:val="00CC1D26"/>
    <w:rsid w:val="00CC4874"/>
    <w:rsid w:val="00CC4CF0"/>
    <w:rsid w:val="00CD05B4"/>
    <w:rsid w:val="00CD2191"/>
    <w:rsid w:val="00CD2DFE"/>
    <w:rsid w:val="00CD33AF"/>
    <w:rsid w:val="00CD4AAB"/>
    <w:rsid w:val="00CD567E"/>
    <w:rsid w:val="00CD7A9A"/>
    <w:rsid w:val="00CE17AB"/>
    <w:rsid w:val="00CE3095"/>
    <w:rsid w:val="00CE5C2C"/>
    <w:rsid w:val="00CE7AF7"/>
    <w:rsid w:val="00CF092A"/>
    <w:rsid w:val="00CF0FC0"/>
    <w:rsid w:val="00CF150A"/>
    <w:rsid w:val="00CF277A"/>
    <w:rsid w:val="00CF2BC7"/>
    <w:rsid w:val="00CF51E0"/>
    <w:rsid w:val="00D021BF"/>
    <w:rsid w:val="00D03848"/>
    <w:rsid w:val="00D04F31"/>
    <w:rsid w:val="00D05349"/>
    <w:rsid w:val="00D053FD"/>
    <w:rsid w:val="00D059DD"/>
    <w:rsid w:val="00D10B33"/>
    <w:rsid w:val="00D10DFF"/>
    <w:rsid w:val="00D10F4D"/>
    <w:rsid w:val="00D122C5"/>
    <w:rsid w:val="00D128CE"/>
    <w:rsid w:val="00D12C20"/>
    <w:rsid w:val="00D1485C"/>
    <w:rsid w:val="00D14DD7"/>
    <w:rsid w:val="00D1790A"/>
    <w:rsid w:val="00D27C65"/>
    <w:rsid w:val="00D3042F"/>
    <w:rsid w:val="00D30CF8"/>
    <w:rsid w:val="00D317BA"/>
    <w:rsid w:val="00D32B27"/>
    <w:rsid w:val="00D338FE"/>
    <w:rsid w:val="00D34F4F"/>
    <w:rsid w:val="00D35CD2"/>
    <w:rsid w:val="00D368D7"/>
    <w:rsid w:val="00D36F19"/>
    <w:rsid w:val="00D37F4C"/>
    <w:rsid w:val="00D406DA"/>
    <w:rsid w:val="00D42B5A"/>
    <w:rsid w:val="00D44D28"/>
    <w:rsid w:val="00D44F64"/>
    <w:rsid w:val="00D504CB"/>
    <w:rsid w:val="00D50F77"/>
    <w:rsid w:val="00D51237"/>
    <w:rsid w:val="00D51C83"/>
    <w:rsid w:val="00D55623"/>
    <w:rsid w:val="00D568EF"/>
    <w:rsid w:val="00D57372"/>
    <w:rsid w:val="00D60F5D"/>
    <w:rsid w:val="00D61C8E"/>
    <w:rsid w:val="00D62AB1"/>
    <w:rsid w:val="00D63945"/>
    <w:rsid w:val="00D645C6"/>
    <w:rsid w:val="00D648E0"/>
    <w:rsid w:val="00D64A60"/>
    <w:rsid w:val="00D65061"/>
    <w:rsid w:val="00D705EF"/>
    <w:rsid w:val="00D71280"/>
    <w:rsid w:val="00D735B1"/>
    <w:rsid w:val="00D737F9"/>
    <w:rsid w:val="00D75E40"/>
    <w:rsid w:val="00D76773"/>
    <w:rsid w:val="00D76AA3"/>
    <w:rsid w:val="00D776F0"/>
    <w:rsid w:val="00D8083B"/>
    <w:rsid w:val="00D81FD4"/>
    <w:rsid w:val="00D84D89"/>
    <w:rsid w:val="00D85925"/>
    <w:rsid w:val="00D85F47"/>
    <w:rsid w:val="00D87AD2"/>
    <w:rsid w:val="00D90D71"/>
    <w:rsid w:val="00D94B39"/>
    <w:rsid w:val="00D970ED"/>
    <w:rsid w:val="00DA1A57"/>
    <w:rsid w:val="00DA4347"/>
    <w:rsid w:val="00DA6DCF"/>
    <w:rsid w:val="00DA74DE"/>
    <w:rsid w:val="00DA77BD"/>
    <w:rsid w:val="00DB0E64"/>
    <w:rsid w:val="00DB0E78"/>
    <w:rsid w:val="00DB1509"/>
    <w:rsid w:val="00DB170D"/>
    <w:rsid w:val="00DB2E07"/>
    <w:rsid w:val="00DB30E3"/>
    <w:rsid w:val="00DB3CFA"/>
    <w:rsid w:val="00DB6478"/>
    <w:rsid w:val="00DB7049"/>
    <w:rsid w:val="00DB7802"/>
    <w:rsid w:val="00DB79D6"/>
    <w:rsid w:val="00DC07E3"/>
    <w:rsid w:val="00DC0AE0"/>
    <w:rsid w:val="00DC23DC"/>
    <w:rsid w:val="00DC4246"/>
    <w:rsid w:val="00DC450F"/>
    <w:rsid w:val="00DC5792"/>
    <w:rsid w:val="00DC72A6"/>
    <w:rsid w:val="00DD084A"/>
    <w:rsid w:val="00DD0A99"/>
    <w:rsid w:val="00DD1305"/>
    <w:rsid w:val="00DD59B5"/>
    <w:rsid w:val="00DD713D"/>
    <w:rsid w:val="00DD7690"/>
    <w:rsid w:val="00DE030C"/>
    <w:rsid w:val="00DE1F84"/>
    <w:rsid w:val="00DE4F26"/>
    <w:rsid w:val="00DE5881"/>
    <w:rsid w:val="00DE58E8"/>
    <w:rsid w:val="00DE59B4"/>
    <w:rsid w:val="00DE690E"/>
    <w:rsid w:val="00DE7810"/>
    <w:rsid w:val="00DE7B7C"/>
    <w:rsid w:val="00DF04E7"/>
    <w:rsid w:val="00DF468C"/>
    <w:rsid w:val="00DF636A"/>
    <w:rsid w:val="00DF6733"/>
    <w:rsid w:val="00E003EF"/>
    <w:rsid w:val="00E043AB"/>
    <w:rsid w:val="00E07590"/>
    <w:rsid w:val="00E12D95"/>
    <w:rsid w:val="00E14E4B"/>
    <w:rsid w:val="00E14FEF"/>
    <w:rsid w:val="00E15677"/>
    <w:rsid w:val="00E16C69"/>
    <w:rsid w:val="00E22504"/>
    <w:rsid w:val="00E22989"/>
    <w:rsid w:val="00E22D3A"/>
    <w:rsid w:val="00E23BC2"/>
    <w:rsid w:val="00E24031"/>
    <w:rsid w:val="00E244A4"/>
    <w:rsid w:val="00E2586A"/>
    <w:rsid w:val="00E26870"/>
    <w:rsid w:val="00E31A7B"/>
    <w:rsid w:val="00E34003"/>
    <w:rsid w:val="00E36311"/>
    <w:rsid w:val="00E3671E"/>
    <w:rsid w:val="00E37859"/>
    <w:rsid w:val="00E37BFE"/>
    <w:rsid w:val="00E40598"/>
    <w:rsid w:val="00E405BB"/>
    <w:rsid w:val="00E41813"/>
    <w:rsid w:val="00E4340D"/>
    <w:rsid w:val="00E5325C"/>
    <w:rsid w:val="00E53774"/>
    <w:rsid w:val="00E53A9F"/>
    <w:rsid w:val="00E53CF0"/>
    <w:rsid w:val="00E54268"/>
    <w:rsid w:val="00E62974"/>
    <w:rsid w:val="00E6318B"/>
    <w:rsid w:val="00E63C28"/>
    <w:rsid w:val="00E64FB6"/>
    <w:rsid w:val="00E66C48"/>
    <w:rsid w:val="00E67D9F"/>
    <w:rsid w:val="00E70E73"/>
    <w:rsid w:val="00E73AD5"/>
    <w:rsid w:val="00E746AF"/>
    <w:rsid w:val="00E74BB5"/>
    <w:rsid w:val="00E752ED"/>
    <w:rsid w:val="00E7590C"/>
    <w:rsid w:val="00E766BB"/>
    <w:rsid w:val="00E769A1"/>
    <w:rsid w:val="00E77B31"/>
    <w:rsid w:val="00E77C56"/>
    <w:rsid w:val="00E80539"/>
    <w:rsid w:val="00E80CD5"/>
    <w:rsid w:val="00E8410E"/>
    <w:rsid w:val="00E841BE"/>
    <w:rsid w:val="00E84B5E"/>
    <w:rsid w:val="00E85224"/>
    <w:rsid w:val="00E86D6D"/>
    <w:rsid w:val="00E913DC"/>
    <w:rsid w:val="00E936EE"/>
    <w:rsid w:val="00E93D34"/>
    <w:rsid w:val="00E95DE6"/>
    <w:rsid w:val="00E96D05"/>
    <w:rsid w:val="00E97211"/>
    <w:rsid w:val="00EA0E11"/>
    <w:rsid w:val="00EA1215"/>
    <w:rsid w:val="00EA1C9A"/>
    <w:rsid w:val="00EA221C"/>
    <w:rsid w:val="00EA45CC"/>
    <w:rsid w:val="00EA4AFC"/>
    <w:rsid w:val="00EA70ED"/>
    <w:rsid w:val="00EA7302"/>
    <w:rsid w:val="00EA7763"/>
    <w:rsid w:val="00EA7998"/>
    <w:rsid w:val="00EB056E"/>
    <w:rsid w:val="00EB10F9"/>
    <w:rsid w:val="00EB15B2"/>
    <w:rsid w:val="00EB1815"/>
    <w:rsid w:val="00EB29E5"/>
    <w:rsid w:val="00EB3A54"/>
    <w:rsid w:val="00EB5135"/>
    <w:rsid w:val="00EB5CAC"/>
    <w:rsid w:val="00EC05C1"/>
    <w:rsid w:val="00EC14EB"/>
    <w:rsid w:val="00EC41DF"/>
    <w:rsid w:val="00EC688C"/>
    <w:rsid w:val="00ED008E"/>
    <w:rsid w:val="00ED01A9"/>
    <w:rsid w:val="00ED3597"/>
    <w:rsid w:val="00ED4E73"/>
    <w:rsid w:val="00ED67C9"/>
    <w:rsid w:val="00ED7C6B"/>
    <w:rsid w:val="00EE0C61"/>
    <w:rsid w:val="00EE1E88"/>
    <w:rsid w:val="00EE36E6"/>
    <w:rsid w:val="00EE3C2F"/>
    <w:rsid w:val="00EE5085"/>
    <w:rsid w:val="00EE72A9"/>
    <w:rsid w:val="00EF0125"/>
    <w:rsid w:val="00EF0C97"/>
    <w:rsid w:val="00EF18F3"/>
    <w:rsid w:val="00EF1C53"/>
    <w:rsid w:val="00EF2803"/>
    <w:rsid w:val="00EF30BF"/>
    <w:rsid w:val="00EF5983"/>
    <w:rsid w:val="00EF5EDF"/>
    <w:rsid w:val="00F039CD"/>
    <w:rsid w:val="00F0465F"/>
    <w:rsid w:val="00F06F10"/>
    <w:rsid w:val="00F075D7"/>
    <w:rsid w:val="00F10105"/>
    <w:rsid w:val="00F103CE"/>
    <w:rsid w:val="00F14C9B"/>
    <w:rsid w:val="00F15DB4"/>
    <w:rsid w:val="00F16AF2"/>
    <w:rsid w:val="00F20EF9"/>
    <w:rsid w:val="00F228A8"/>
    <w:rsid w:val="00F244EF"/>
    <w:rsid w:val="00F26890"/>
    <w:rsid w:val="00F309D1"/>
    <w:rsid w:val="00F317B9"/>
    <w:rsid w:val="00F334CA"/>
    <w:rsid w:val="00F3514D"/>
    <w:rsid w:val="00F35E46"/>
    <w:rsid w:val="00F40341"/>
    <w:rsid w:val="00F40711"/>
    <w:rsid w:val="00F40E1D"/>
    <w:rsid w:val="00F41DC9"/>
    <w:rsid w:val="00F42CDC"/>
    <w:rsid w:val="00F4494C"/>
    <w:rsid w:val="00F45507"/>
    <w:rsid w:val="00F4591F"/>
    <w:rsid w:val="00F512AA"/>
    <w:rsid w:val="00F51876"/>
    <w:rsid w:val="00F525A7"/>
    <w:rsid w:val="00F55A43"/>
    <w:rsid w:val="00F55D4D"/>
    <w:rsid w:val="00F56165"/>
    <w:rsid w:val="00F57C1E"/>
    <w:rsid w:val="00F6045B"/>
    <w:rsid w:val="00F60F89"/>
    <w:rsid w:val="00F6444F"/>
    <w:rsid w:val="00F65549"/>
    <w:rsid w:val="00F671E8"/>
    <w:rsid w:val="00F70EAF"/>
    <w:rsid w:val="00F714E7"/>
    <w:rsid w:val="00F731B8"/>
    <w:rsid w:val="00F73D84"/>
    <w:rsid w:val="00F73FC0"/>
    <w:rsid w:val="00F774AC"/>
    <w:rsid w:val="00F80080"/>
    <w:rsid w:val="00F81567"/>
    <w:rsid w:val="00F815F8"/>
    <w:rsid w:val="00F824A0"/>
    <w:rsid w:val="00F82804"/>
    <w:rsid w:val="00F8290B"/>
    <w:rsid w:val="00F82EE6"/>
    <w:rsid w:val="00F8418E"/>
    <w:rsid w:val="00F841CA"/>
    <w:rsid w:val="00F84458"/>
    <w:rsid w:val="00F851D4"/>
    <w:rsid w:val="00F8579B"/>
    <w:rsid w:val="00F85F1D"/>
    <w:rsid w:val="00F87641"/>
    <w:rsid w:val="00F901C5"/>
    <w:rsid w:val="00F903C9"/>
    <w:rsid w:val="00F90599"/>
    <w:rsid w:val="00F906C0"/>
    <w:rsid w:val="00F90947"/>
    <w:rsid w:val="00F90F59"/>
    <w:rsid w:val="00F95311"/>
    <w:rsid w:val="00F96F94"/>
    <w:rsid w:val="00FA2170"/>
    <w:rsid w:val="00FA3C1A"/>
    <w:rsid w:val="00FA55B4"/>
    <w:rsid w:val="00FB1EB9"/>
    <w:rsid w:val="00FB2146"/>
    <w:rsid w:val="00FB3E72"/>
    <w:rsid w:val="00FB3EAE"/>
    <w:rsid w:val="00FB650B"/>
    <w:rsid w:val="00FB6B80"/>
    <w:rsid w:val="00FB6DE4"/>
    <w:rsid w:val="00FB7753"/>
    <w:rsid w:val="00FB7815"/>
    <w:rsid w:val="00FC0615"/>
    <w:rsid w:val="00FC2B78"/>
    <w:rsid w:val="00FC322C"/>
    <w:rsid w:val="00FC7E94"/>
    <w:rsid w:val="00FD5889"/>
    <w:rsid w:val="00FD60C7"/>
    <w:rsid w:val="00FD6615"/>
    <w:rsid w:val="00FD7CE6"/>
    <w:rsid w:val="00FE03E5"/>
    <w:rsid w:val="00FE6664"/>
    <w:rsid w:val="00FF0D74"/>
    <w:rsid w:val="00FF1ADF"/>
    <w:rsid w:val="00FF31FF"/>
    <w:rsid w:val="00FF4D2E"/>
    <w:rsid w:val="00FF4F4E"/>
    <w:rsid w:val="00FF799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D64452"/>
  <w15:docId w15:val="{BA7BD8C4-38D6-43E4-807A-3B212F74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C45"/>
  </w:style>
  <w:style w:type="paragraph" w:styleId="Ttulo1">
    <w:name w:val="heading 1"/>
    <w:basedOn w:val="Normal"/>
    <w:next w:val="Normal"/>
    <w:link w:val="Ttulo1Car"/>
    <w:uiPriority w:val="9"/>
    <w:qFormat/>
    <w:rsid w:val="00F317B9"/>
    <w:pPr>
      <w:keepNext/>
      <w:keepLines/>
      <w:spacing w:after="0" w:line="480" w:lineRule="auto"/>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F317B9"/>
    <w:pPr>
      <w:keepNext/>
      <w:keepLines/>
      <w:spacing w:after="0" w:line="480" w:lineRule="auto"/>
      <w:outlineLvl w:val="1"/>
    </w:pPr>
    <w:rPr>
      <w:rFonts w:ascii="Arial" w:eastAsiaTheme="majorEastAsia" w:hAnsi="Arial" w:cstheme="majorBidi"/>
      <w:b/>
      <w:i/>
      <w:szCs w:val="26"/>
    </w:rPr>
  </w:style>
  <w:style w:type="paragraph" w:styleId="Ttulo3">
    <w:name w:val="heading 3"/>
    <w:basedOn w:val="Normal"/>
    <w:next w:val="Normal"/>
    <w:link w:val="Ttulo3Car"/>
    <w:uiPriority w:val="9"/>
    <w:unhideWhenUsed/>
    <w:qFormat/>
    <w:rsid w:val="003A57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B17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B29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A05363"/>
  </w:style>
  <w:style w:type="paragraph" w:styleId="Prrafodelista">
    <w:name w:val="List Paragraph"/>
    <w:basedOn w:val="Normal"/>
    <w:uiPriority w:val="34"/>
    <w:qFormat/>
    <w:rsid w:val="00363320"/>
    <w:pPr>
      <w:ind w:left="720"/>
      <w:contextualSpacing/>
    </w:pPr>
  </w:style>
  <w:style w:type="paragraph" w:styleId="Encabezado">
    <w:name w:val="header"/>
    <w:basedOn w:val="Normal"/>
    <w:link w:val="EncabezadoCar"/>
    <w:uiPriority w:val="99"/>
    <w:unhideWhenUsed/>
    <w:rsid w:val="00A655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58E"/>
  </w:style>
  <w:style w:type="paragraph" w:styleId="Piedepgina">
    <w:name w:val="footer"/>
    <w:basedOn w:val="Normal"/>
    <w:link w:val="PiedepginaCar"/>
    <w:uiPriority w:val="99"/>
    <w:unhideWhenUsed/>
    <w:rsid w:val="00A655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58E"/>
  </w:style>
  <w:style w:type="character" w:styleId="Hipervnculo">
    <w:name w:val="Hyperlink"/>
    <w:basedOn w:val="Fuentedeprrafopredeter"/>
    <w:uiPriority w:val="99"/>
    <w:unhideWhenUsed/>
    <w:rsid w:val="00983820"/>
    <w:rPr>
      <w:color w:val="0563C1" w:themeColor="hyperlink"/>
      <w:u w:val="single"/>
    </w:rPr>
  </w:style>
  <w:style w:type="character" w:customStyle="1" w:styleId="Ttulo1Car">
    <w:name w:val="Título 1 Car"/>
    <w:basedOn w:val="Fuentedeprrafopredeter"/>
    <w:link w:val="Ttulo1"/>
    <w:uiPriority w:val="9"/>
    <w:rsid w:val="00F317B9"/>
    <w:rPr>
      <w:rFonts w:ascii="Arial" w:eastAsiaTheme="majorEastAsia" w:hAnsi="Arial" w:cstheme="majorBidi"/>
      <w:b/>
      <w:szCs w:val="32"/>
    </w:rPr>
  </w:style>
  <w:style w:type="character" w:customStyle="1" w:styleId="Ttulo2Car">
    <w:name w:val="Título 2 Car"/>
    <w:basedOn w:val="Fuentedeprrafopredeter"/>
    <w:link w:val="Ttulo2"/>
    <w:uiPriority w:val="9"/>
    <w:rsid w:val="00F317B9"/>
    <w:rPr>
      <w:rFonts w:ascii="Arial" w:eastAsiaTheme="majorEastAsia" w:hAnsi="Arial" w:cstheme="majorBidi"/>
      <w:b/>
      <w:i/>
      <w:szCs w:val="26"/>
    </w:rPr>
  </w:style>
  <w:style w:type="character" w:customStyle="1" w:styleId="Ttulo3Car">
    <w:name w:val="Título 3 Car"/>
    <w:basedOn w:val="Fuentedeprrafopredeter"/>
    <w:link w:val="Ttulo3"/>
    <w:uiPriority w:val="9"/>
    <w:rsid w:val="003A5744"/>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3A574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A5744"/>
    <w:rPr>
      <w:sz w:val="16"/>
      <w:szCs w:val="16"/>
    </w:rPr>
  </w:style>
  <w:style w:type="paragraph" w:styleId="Textocomentario">
    <w:name w:val="annotation text"/>
    <w:basedOn w:val="Normal"/>
    <w:link w:val="TextocomentarioCar"/>
    <w:uiPriority w:val="99"/>
    <w:unhideWhenUsed/>
    <w:rsid w:val="003A5744"/>
    <w:pPr>
      <w:spacing w:line="240" w:lineRule="auto"/>
    </w:pPr>
    <w:rPr>
      <w:sz w:val="20"/>
      <w:szCs w:val="20"/>
    </w:rPr>
  </w:style>
  <w:style w:type="character" w:customStyle="1" w:styleId="TextocomentarioCar">
    <w:name w:val="Texto comentario Car"/>
    <w:basedOn w:val="Fuentedeprrafopredeter"/>
    <w:link w:val="Textocomentario"/>
    <w:uiPriority w:val="99"/>
    <w:rsid w:val="003A5744"/>
    <w:rPr>
      <w:sz w:val="20"/>
      <w:szCs w:val="20"/>
    </w:rPr>
  </w:style>
  <w:style w:type="paragraph" w:styleId="Asuntodelcomentario">
    <w:name w:val="annotation subject"/>
    <w:basedOn w:val="Textocomentario"/>
    <w:next w:val="Textocomentario"/>
    <w:link w:val="AsuntodelcomentarioCar"/>
    <w:uiPriority w:val="99"/>
    <w:semiHidden/>
    <w:unhideWhenUsed/>
    <w:rsid w:val="003A5744"/>
    <w:rPr>
      <w:b/>
      <w:bCs/>
    </w:rPr>
  </w:style>
  <w:style w:type="character" w:customStyle="1" w:styleId="AsuntodelcomentarioCar">
    <w:name w:val="Asunto del comentario Car"/>
    <w:basedOn w:val="TextocomentarioCar"/>
    <w:link w:val="Asuntodelcomentario"/>
    <w:uiPriority w:val="99"/>
    <w:semiHidden/>
    <w:rsid w:val="003A5744"/>
    <w:rPr>
      <w:b/>
      <w:bCs/>
      <w:sz w:val="20"/>
      <w:szCs w:val="20"/>
    </w:rPr>
  </w:style>
  <w:style w:type="paragraph" w:styleId="Textodeglobo">
    <w:name w:val="Balloon Text"/>
    <w:basedOn w:val="Normal"/>
    <w:link w:val="TextodegloboCar"/>
    <w:uiPriority w:val="99"/>
    <w:semiHidden/>
    <w:unhideWhenUsed/>
    <w:rsid w:val="003A57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744"/>
    <w:rPr>
      <w:rFonts w:ascii="Segoe UI" w:hAnsi="Segoe UI" w:cs="Segoe UI"/>
      <w:sz w:val="18"/>
      <w:szCs w:val="18"/>
    </w:rPr>
  </w:style>
  <w:style w:type="paragraph" w:styleId="Bibliografa">
    <w:name w:val="Bibliography"/>
    <w:basedOn w:val="Normal"/>
    <w:next w:val="Normal"/>
    <w:uiPriority w:val="37"/>
    <w:unhideWhenUsed/>
    <w:rsid w:val="003A5744"/>
  </w:style>
  <w:style w:type="paragraph" w:styleId="NormalWeb">
    <w:name w:val="Normal (Web)"/>
    <w:basedOn w:val="Normal"/>
    <w:uiPriority w:val="99"/>
    <w:semiHidden/>
    <w:unhideWhenUsed/>
    <w:rsid w:val="003A5744"/>
    <w:pPr>
      <w:spacing w:before="100" w:beforeAutospacing="1" w:after="100" w:afterAutospacing="1" w:line="240" w:lineRule="auto"/>
    </w:pPr>
    <w:rPr>
      <w:rFonts w:ascii="Times New Roman" w:hAnsi="Times New Roman" w:cs="Times New Roman"/>
      <w:sz w:val="24"/>
      <w:szCs w:val="24"/>
      <w:lang w:eastAsia="es-MX"/>
    </w:rPr>
  </w:style>
  <w:style w:type="table" w:customStyle="1" w:styleId="Tablanormal41">
    <w:name w:val="Tabla normal 41"/>
    <w:basedOn w:val="Tablanormal"/>
    <w:uiPriority w:val="44"/>
    <w:rsid w:val="003A57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3A57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tuloTDC">
    <w:name w:val="TOC Heading"/>
    <w:basedOn w:val="Ttulo1"/>
    <w:next w:val="Normal"/>
    <w:uiPriority w:val="39"/>
    <w:unhideWhenUsed/>
    <w:qFormat/>
    <w:rsid w:val="003A5744"/>
    <w:pPr>
      <w:outlineLvl w:val="9"/>
    </w:pPr>
    <w:rPr>
      <w:lang w:val="es-ES" w:eastAsia="es-ES"/>
    </w:rPr>
  </w:style>
  <w:style w:type="paragraph" w:styleId="TDC1">
    <w:name w:val="toc 1"/>
    <w:basedOn w:val="Normal"/>
    <w:next w:val="Normal"/>
    <w:autoRedefine/>
    <w:uiPriority w:val="39"/>
    <w:unhideWhenUsed/>
    <w:rsid w:val="003A5744"/>
    <w:pPr>
      <w:tabs>
        <w:tab w:val="right" w:leader="dot" w:pos="9394"/>
      </w:tabs>
      <w:spacing w:after="0" w:line="240" w:lineRule="auto"/>
    </w:pPr>
    <w:rPr>
      <w:b/>
      <w:noProof/>
      <w:sz w:val="24"/>
      <w:szCs w:val="24"/>
    </w:rPr>
  </w:style>
  <w:style w:type="paragraph" w:styleId="TDC2">
    <w:name w:val="toc 2"/>
    <w:basedOn w:val="Normal"/>
    <w:next w:val="Normal"/>
    <w:autoRedefine/>
    <w:uiPriority w:val="39"/>
    <w:unhideWhenUsed/>
    <w:rsid w:val="003A5744"/>
    <w:pPr>
      <w:spacing w:after="100"/>
      <w:ind w:left="220"/>
    </w:pPr>
  </w:style>
  <w:style w:type="paragraph" w:styleId="Sinespaciado">
    <w:name w:val="No Spacing"/>
    <w:uiPriority w:val="1"/>
    <w:qFormat/>
    <w:rsid w:val="003A5744"/>
    <w:pPr>
      <w:spacing w:after="0" w:line="240" w:lineRule="auto"/>
    </w:pPr>
  </w:style>
  <w:style w:type="character" w:styleId="Hipervnculovisitado">
    <w:name w:val="FollowedHyperlink"/>
    <w:basedOn w:val="Fuentedeprrafopredeter"/>
    <w:uiPriority w:val="99"/>
    <w:semiHidden/>
    <w:unhideWhenUsed/>
    <w:rsid w:val="003A5744"/>
    <w:rPr>
      <w:color w:val="954F72" w:themeColor="followedHyperlink"/>
      <w:u w:val="single"/>
    </w:rPr>
  </w:style>
  <w:style w:type="paragraph" w:styleId="Revisin">
    <w:name w:val="Revision"/>
    <w:hidden/>
    <w:uiPriority w:val="99"/>
    <w:semiHidden/>
    <w:rsid w:val="003A5744"/>
    <w:pPr>
      <w:spacing w:after="0" w:line="240" w:lineRule="auto"/>
    </w:pPr>
  </w:style>
  <w:style w:type="table" w:customStyle="1" w:styleId="Tablanormal22">
    <w:name w:val="Tabla normal 22"/>
    <w:basedOn w:val="Tablanormal"/>
    <w:uiPriority w:val="42"/>
    <w:rsid w:val="003A57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3A57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l65">
    <w:name w:val="xl65"/>
    <w:basedOn w:val="Normal"/>
    <w:rsid w:val="003A5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6">
    <w:name w:val="xl66"/>
    <w:basedOn w:val="Normal"/>
    <w:rsid w:val="003A5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67">
    <w:name w:val="xl67"/>
    <w:basedOn w:val="Normal"/>
    <w:rsid w:val="003A5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3A5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9">
    <w:name w:val="xl69"/>
    <w:basedOn w:val="Normal"/>
    <w:rsid w:val="003A5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3A57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1">
    <w:name w:val="xl71"/>
    <w:basedOn w:val="Normal"/>
    <w:rsid w:val="003A5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72">
    <w:name w:val="xl72"/>
    <w:basedOn w:val="Normal"/>
    <w:rsid w:val="003A57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73">
    <w:name w:val="xl73"/>
    <w:basedOn w:val="Normal"/>
    <w:rsid w:val="003A57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table" w:customStyle="1" w:styleId="Tablanormal42">
    <w:name w:val="Tabla normal 42"/>
    <w:basedOn w:val="Tablanormal"/>
    <w:uiPriority w:val="44"/>
    <w:rsid w:val="003A57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3">
    <w:name w:val="toc 3"/>
    <w:basedOn w:val="Normal"/>
    <w:next w:val="Normal"/>
    <w:autoRedefine/>
    <w:uiPriority w:val="39"/>
    <w:unhideWhenUsed/>
    <w:rsid w:val="003A5744"/>
    <w:pPr>
      <w:spacing w:after="100"/>
      <w:ind w:left="440"/>
    </w:pPr>
  </w:style>
  <w:style w:type="paragraph" w:styleId="Textonotapie">
    <w:name w:val="footnote text"/>
    <w:basedOn w:val="Normal"/>
    <w:link w:val="TextonotapieCar"/>
    <w:uiPriority w:val="99"/>
    <w:semiHidden/>
    <w:unhideWhenUsed/>
    <w:rsid w:val="003A57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5744"/>
    <w:rPr>
      <w:sz w:val="20"/>
      <w:szCs w:val="20"/>
    </w:rPr>
  </w:style>
  <w:style w:type="character" w:styleId="Refdenotaalpie">
    <w:name w:val="footnote reference"/>
    <w:basedOn w:val="Fuentedeprrafopredeter"/>
    <w:uiPriority w:val="99"/>
    <w:semiHidden/>
    <w:unhideWhenUsed/>
    <w:rsid w:val="003A5744"/>
    <w:rPr>
      <w:vertAlign w:val="superscript"/>
    </w:rPr>
  </w:style>
  <w:style w:type="paragraph" w:styleId="Textonotaalfinal">
    <w:name w:val="endnote text"/>
    <w:basedOn w:val="Normal"/>
    <w:link w:val="TextonotaalfinalCar"/>
    <w:uiPriority w:val="99"/>
    <w:semiHidden/>
    <w:unhideWhenUsed/>
    <w:rsid w:val="003A57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A5744"/>
    <w:rPr>
      <w:sz w:val="20"/>
      <w:szCs w:val="20"/>
    </w:rPr>
  </w:style>
  <w:style w:type="character" w:styleId="Refdenotaalfinal">
    <w:name w:val="endnote reference"/>
    <w:basedOn w:val="Fuentedeprrafopredeter"/>
    <w:uiPriority w:val="99"/>
    <w:semiHidden/>
    <w:unhideWhenUsed/>
    <w:rsid w:val="003A5744"/>
    <w:rPr>
      <w:vertAlign w:val="superscript"/>
    </w:rPr>
  </w:style>
  <w:style w:type="paragraph" w:customStyle="1" w:styleId="xl63">
    <w:name w:val="xl63"/>
    <w:basedOn w:val="Normal"/>
    <w:rsid w:val="003A57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64">
    <w:name w:val="xl64"/>
    <w:basedOn w:val="Normal"/>
    <w:rsid w:val="003A57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74">
    <w:name w:val="xl74"/>
    <w:basedOn w:val="Normal"/>
    <w:rsid w:val="003A5744"/>
    <w:pPr>
      <w:pBdr>
        <w:top w:val="single" w:sz="8" w:space="0" w:color="auto"/>
        <w:bottom w:val="single" w:sz="8" w:space="0" w:color="auto"/>
        <w:right w:val="single" w:sz="8" w:space="0" w:color="auto"/>
      </w:pBdr>
      <w:shd w:val="clear" w:color="000000" w:fill="DBDBDB"/>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character" w:customStyle="1" w:styleId="Ttulo5Car">
    <w:name w:val="Título 5 Car"/>
    <w:basedOn w:val="Fuentedeprrafopredeter"/>
    <w:link w:val="Ttulo5"/>
    <w:uiPriority w:val="9"/>
    <w:semiHidden/>
    <w:rsid w:val="007B29A0"/>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DB170D"/>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Fuentedeprrafopredeter"/>
    <w:uiPriority w:val="99"/>
    <w:semiHidden/>
    <w:unhideWhenUsed/>
    <w:rsid w:val="00D51237"/>
    <w:rPr>
      <w:color w:val="605E5C"/>
      <w:shd w:val="clear" w:color="auto" w:fill="E1DFDD"/>
    </w:rPr>
  </w:style>
  <w:style w:type="character" w:customStyle="1" w:styleId="UnresolvedMention2">
    <w:name w:val="Unresolved Mention2"/>
    <w:basedOn w:val="Fuentedeprrafopredeter"/>
    <w:uiPriority w:val="99"/>
    <w:semiHidden/>
    <w:unhideWhenUsed/>
    <w:rsid w:val="00F06F10"/>
    <w:rPr>
      <w:color w:val="605E5C"/>
      <w:shd w:val="clear" w:color="auto" w:fill="E1DFDD"/>
    </w:rPr>
  </w:style>
  <w:style w:type="character" w:customStyle="1" w:styleId="UnresolvedMention3">
    <w:name w:val="Unresolved Mention3"/>
    <w:basedOn w:val="Fuentedeprrafopredeter"/>
    <w:uiPriority w:val="99"/>
    <w:semiHidden/>
    <w:unhideWhenUsed/>
    <w:rsid w:val="00D122C5"/>
    <w:rPr>
      <w:color w:val="605E5C"/>
      <w:shd w:val="clear" w:color="auto" w:fill="E1DFDD"/>
    </w:rPr>
  </w:style>
  <w:style w:type="paragraph" w:styleId="Mapadeldocumento">
    <w:name w:val="Document Map"/>
    <w:basedOn w:val="Normal"/>
    <w:link w:val="MapadeldocumentoCar"/>
    <w:uiPriority w:val="99"/>
    <w:semiHidden/>
    <w:unhideWhenUsed/>
    <w:rsid w:val="001E7BA0"/>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1E7B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423">
      <w:bodyDiv w:val="1"/>
      <w:marLeft w:val="0"/>
      <w:marRight w:val="0"/>
      <w:marTop w:val="0"/>
      <w:marBottom w:val="0"/>
      <w:divBdr>
        <w:top w:val="none" w:sz="0" w:space="0" w:color="auto"/>
        <w:left w:val="none" w:sz="0" w:space="0" w:color="auto"/>
        <w:bottom w:val="none" w:sz="0" w:space="0" w:color="auto"/>
        <w:right w:val="none" w:sz="0" w:space="0" w:color="auto"/>
      </w:divBdr>
    </w:div>
    <w:div w:id="66073827">
      <w:bodyDiv w:val="1"/>
      <w:marLeft w:val="0"/>
      <w:marRight w:val="0"/>
      <w:marTop w:val="0"/>
      <w:marBottom w:val="0"/>
      <w:divBdr>
        <w:top w:val="none" w:sz="0" w:space="0" w:color="auto"/>
        <w:left w:val="none" w:sz="0" w:space="0" w:color="auto"/>
        <w:bottom w:val="none" w:sz="0" w:space="0" w:color="auto"/>
        <w:right w:val="none" w:sz="0" w:space="0" w:color="auto"/>
      </w:divBdr>
    </w:div>
    <w:div w:id="102119400">
      <w:bodyDiv w:val="1"/>
      <w:marLeft w:val="0"/>
      <w:marRight w:val="0"/>
      <w:marTop w:val="0"/>
      <w:marBottom w:val="0"/>
      <w:divBdr>
        <w:top w:val="none" w:sz="0" w:space="0" w:color="auto"/>
        <w:left w:val="none" w:sz="0" w:space="0" w:color="auto"/>
        <w:bottom w:val="none" w:sz="0" w:space="0" w:color="auto"/>
        <w:right w:val="none" w:sz="0" w:space="0" w:color="auto"/>
      </w:divBdr>
    </w:div>
    <w:div w:id="103615723">
      <w:bodyDiv w:val="1"/>
      <w:marLeft w:val="0"/>
      <w:marRight w:val="0"/>
      <w:marTop w:val="0"/>
      <w:marBottom w:val="0"/>
      <w:divBdr>
        <w:top w:val="none" w:sz="0" w:space="0" w:color="auto"/>
        <w:left w:val="none" w:sz="0" w:space="0" w:color="auto"/>
        <w:bottom w:val="none" w:sz="0" w:space="0" w:color="auto"/>
        <w:right w:val="none" w:sz="0" w:space="0" w:color="auto"/>
      </w:divBdr>
    </w:div>
    <w:div w:id="113990460">
      <w:bodyDiv w:val="1"/>
      <w:marLeft w:val="0"/>
      <w:marRight w:val="0"/>
      <w:marTop w:val="0"/>
      <w:marBottom w:val="0"/>
      <w:divBdr>
        <w:top w:val="none" w:sz="0" w:space="0" w:color="auto"/>
        <w:left w:val="none" w:sz="0" w:space="0" w:color="auto"/>
        <w:bottom w:val="none" w:sz="0" w:space="0" w:color="auto"/>
        <w:right w:val="none" w:sz="0" w:space="0" w:color="auto"/>
      </w:divBdr>
    </w:div>
    <w:div w:id="123742130">
      <w:bodyDiv w:val="1"/>
      <w:marLeft w:val="0"/>
      <w:marRight w:val="0"/>
      <w:marTop w:val="0"/>
      <w:marBottom w:val="0"/>
      <w:divBdr>
        <w:top w:val="none" w:sz="0" w:space="0" w:color="auto"/>
        <w:left w:val="none" w:sz="0" w:space="0" w:color="auto"/>
        <w:bottom w:val="none" w:sz="0" w:space="0" w:color="auto"/>
        <w:right w:val="none" w:sz="0" w:space="0" w:color="auto"/>
      </w:divBdr>
    </w:div>
    <w:div w:id="146439334">
      <w:bodyDiv w:val="1"/>
      <w:marLeft w:val="0"/>
      <w:marRight w:val="0"/>
      <w:marTop w:val="0"/>
      <w:marBottom w:val="0"/>
      <w:divBdr>
        <w:top w:val="none" w:sz="0" w:space="0" w:color="auto"/>
        <w:left w:val="none" w:sz="0" w:space="0" w:color="auto"/>
        <w:bottom w:val="none" w:sz="0" w:space="0" w:color="auto"/>
        <w:right w:val="none" w:sz="0" w:space="0" w:color="auto"/>
      </w:divBdr>
    </w:div>
    <w:div w:id="148058765">
      <w:bodyDiv w:val="1"/>
      <w:marLeft w:val="0"/>
      <w:marRight w:val="0"/>
      <w:marTop w:val="0"/>
      <w:marBottom w:val="0"/>
      <w:divBdr>
        <w:top w:val="none" w:sz="0" w:space="0" w:color="auto"/>
        <w:left w:val="none" w:sz="0" w:space="0" w:color="auto"/>
        <w:bottom w:val="none" w:sz="0" w:space="0" w:color="auto"/>
        <w:right w:val="none" w:sz="0" w:space="0" w:color="auto"/>
      </w:divBdr>
    </w:div>
    <w:div w:id="152723297">
      <w:bodyDiv w:val="1"/>
      <w:marLeft w:val="0"/>
      <w:marRight w:val="0"/>
      <w:marTop w:val="0"/>
      <w:marBottom w:val="0"/>
      <w:divBdr>
        <w:top w:val="none" w:sz="0" w:space="0" w:color="auto"/>
        <w:left w:val="none" w:sz="0" w:space="0" w:color="auto"/>
        <w:bottom w:val="none" w:sz="0" w:space="0" w:color="auto"/>
        <w:right w:val="none" w:sz="0" w:space="0" w:color="auto"/>
      </w:divBdr>
    </w:div>
    <w:div w:id="166024578">
      <w:bodyDiv w:val="1"/>
      <w:marLeft w:val="0"/>
      <w:marRight w:val="0"/>
      <w:marTop w:val="0"/>
      <w:marBottom w:val="0"/>
      <w:divBdr>
        <w:top w:val="none" w:sz="0" w:space="0" w:color="auto"/>
        <w:left w:val="none" w:sz="0" w:space="0" w:color="auto"/>
        <w:bottom w:val="none" w:sz="0" w:space="0" w:color="auto"/>
        <w:right w:val="none" w:sz="0" w:space="0" w:color="auto"/>
      </w:divBdr>
    </w:div>
    <w:div w:id="193076641">
      <w:bodyDiv w:val="1"/>
      <w:marLeft w:val="0"/>
      <w:marRight w:val="0"/>
      <w:marTop w:val="0"/>
      <w:marBottom w:val="0"/>
      <w:divBdr>
        <w:top w:val="none" w:sz="0" w:space="0" w:color="auto"/>
        <w:left w:val="none" w:sz="0" w:space="0" w:color="auto"/>
        <w:bottom w:val="none" w:sz="0" w:space="0" w:color="auto"/>
        <w:right w:val="none" w:sz="0" w:space="0" w:color="auto"/>
      </w:divBdr>
    </w:div>
    <w:div w:id="202057427">
      <w:bodyDiv w:val="1"/>
      <w:marLeft w:val="0"/>
      <w:marRight w:val="0"/>
      <w:marTop w:val="0"/>
      <w:marBottom w:val="0"/>
      <w:divBdr>
        <w:top w:val="none" w:sz="0" w:space="0" w:color="auto"/>
        <w:left w:val="none" w:sz="0" w:space="0" w:color="auto"/>
        <w:bottom w:val="none" w:sz="0" w:space="0" w:color="auto"/>
        <w:right w:val="none" w:sz="0" w:space="0" w:color="auto"/>
      </w:divBdr>
    </w:div>
    <w:div w:id="214241886">
      <w:bodyDiv w:val="1"/>
      <w:marLeft w:val="0"/>
      <w:marRight w:val="0"/>
      <w:marTop w:val="0"/>
      <w:marBottom w:val="0"/>
      <w:divBdr>
        <w:top w:val="none" w:sz="0" w:space="0" w:color="auto"/>
        <w:left w:val="none" w:sz="0" w:space="0" w:color="auto"/>
        <w:bottom w:val="none" w:sz="0" w:space="0" w:color="auto"/>
        <w:right w:val="none" w:sz="0" w:space="0" w:color="auto"/>
      </w:divBdr>
    </w:div>
    <w:div w:id="234974278">
      <w:bodyDiv w:val="1"/>
      <w:marLeft w:val="0"/>
      <w:marRight w:val="0"/>
      <w:marTop w:val="0"/>
      <w:marBottom w:val="0"/>
      <w:divBdr>
        <w:top w:val="none" w:sz="0" w:space="0" w:color="auto"/>
        <w:left w:val="none" w:sz="0" w:space="0" w:color="auto"/>
        <w:bottom w:val="none" w:sz="0" w:space="0" w:color="auto"/>
        <w:right w:val="none" w:sz="0" w:space="0" w:color="auto"/>
      </w:divBdr>
    </w:div>
    <w:div w:id="236980225">
      <w:bodyDiv w:val="1"/>
      <w:marLeft w:val="0"/>
      <w:marRight w:val="0"/>
      <w:marTop w:val="0"/>
      <w:marBottom w:val="0"/>
      <w:divBdr>
        <w:top w:val="none" w:sz="0" w:space="0" w:color="auto"/>
        <w:left w:val="none" w:sz="0" w:space="0" w:color="auto"/>
        <w:bottom w:val="none" w:sz="0" w:space="0" w:color="auto"/>
        <w:right w:val="none" w:sz="0" w:space="0" w:color="auto"/>
      </w:divBdr>
    </w:div>
    <w:div w:id="254367766">
      <w:bodyDiv w:val="1"/>
      <w:marLeft w:val="0"/>
      <w:marRight w:val="0"/>
      <w:marTop w:val="0"/>
      <w:marBottom w:val="0"/>
      <w:divBdr>
        <w:top w:val="none" w:sz="0" w:space="0" w:color="auto"/>
        <w:left w:val="none" w:sz="0" w:space="0" w:color="auto"/>
        <w:bottom w:val="none" w:sz="0" w:space="0" w:color="auto"/>
        <w:right w:val="none" w:sz="0" w:space="0" w:color="auto"/>
      </w:divBdr>
    </w:div>
    <w:div w:id="281888255">
      <w:bodyDiv w:val="1"/>
      <w:marLeft w:val="0"/>
      <w:marRight w:val="0"/>
      <w:marTop w:val="0"/>
      <w:marBottom w:val="0"/>
      <w:divBdr>
        <w:top w:val="none" w:sz="0" w:space="0" w:color="auto"/>
        <w:left w:val="none" w:sz="0" w:space="0" w:color="auto"/>
        <w:bottom w:val="none" w:sz="0" w:space="0" w:color="auto"/>
        <w:right w:val="none" w:sz="0" w:space="0" w:color="auto"/>
      </w:divBdr>
    </w:div>
    <w:div w:id="288703238">
      <w:bodyDiv w:val="1"/>
      <w:marLeft w:val="0"/>
      <w:marRight w:val="0"/>
      <w:marTop w:val="0"/>
      <w:marBottom w:val="0"/>
      <w:divBdr>
        <w:top w:val="none" w:sz="0" w:space="0" w:color="auto"/>
        <w:left w:val="none" w:sz="0" w:space="0" w:color="auto"/>
        <w:bottom w:val="none" w:sz="0" w:space="0" w:color="auto"/>
        <w:right w:val="none" w:sz="0" w:space="0" w:color="auto"/>
      </w:divBdr>
    </w:div>
    <w:div w:id="291206851">
      <w:bodyDiv w:val="1"/>
      <w:marLeft w:val="0"/>
      <w:marRight w:val="0"/>
      <w:marTop w:val="0"/>
      <w:marBottom w:val="0"/>
      <w:divBdr>
        <w:top w:val="none" w:sz="0" w:space="0" w:color="auto"/>
        <w:left w:val="none" w:sz="0" w:space="0" w:color="auto"/>
        <w:bottom w:val="none" w:sz="0" w:space="0" w:color="auto"/>
        <w:right w:val="none" w:sz="0" w:space="0" w:color="auto"/>
      </w:divBdr>
    </w:div>
    <w:div w:id="306059562">
      <w:bodyDiv w:val="1"/>
      <w:marLeft w:val="0"/>
      <w:marRight w:val="0"/>
      <w:marTop w:val="0"/>
      <w:marBottom w:val="0"/>
      <w:divBdr>
        <w:top w:val="none" w:sz="0" w:space="0" w:color="auto"/>
        <w:left w:val="none" w:sz="0" w:space="0" w:color="auto"/>
        <w:bottom w:val="none" w:sz="0" w:space="0" w:color="auto"/>
        <w:right w:val="none" w:sz="0" w:space="0" w:color="auto"/>
      </w:divBdr>
    </w:div>
    <w:div w:id="322703419">
      <w:bodyDiv w:val="1"/>
      <w:marLeft w:val="0"/>
      <w:marRight w:val="0"/>
      <w:marTop w:val="0"/>
      <w:marBottom w:val="0"/>
      <w:divBdr>
        <w:top w:val="none" w:sz="0" w:space="0" w:color="auto"/>
        <w:left w:val="none" w:sz="0" w:space="0" w:color="auto"/>
        <w:bottom w:val="none" w:sz="0" w:space="0" w:color="auto"/>
        <w:right w:val="none" w:sz="0" w:space="0" w:color="auto"/>
      </w:divBdr>
    </w:div>
    <w:div w:id="324284126">
      <w:bodyDiv w:val="1"/>
      <w:marLeft w:val="0"/>
      <w:marRight w:val="0"/>
      <w:marTop w:val="0"/>
      <w:marBottom w:val="0"/>
      <w:divBdr>
        <w:top w:val="none" w:sz="0" w:space="0" w:color="auto"/>
        <w:left w:val="none" w:sz="0" w:space="0" w:color="auto"/>
        <w:bottom w:val="none" w:sz="0" w:space="0" w:color="auto"/>
        <w:right w:val="none" w:sz="0" w:space="0" w:color="auto"/>
      </w:divBdr>
    </w:div>
    <w:div w:id="327179307">
      <w:bodyDiv w:val="1"/>
      <w:marLeft w:val="0"/>
      <w:marRight w:val="0"/>
      <w:marTop w:val="0"/>
      <w:marBottom w:val="0"/>
      <w:divBdr>
        <w:top w:val="none" w:sz="0" w:space="0" w:color="auto"/>
        <w:left w:val="none" w:sz="0" w:space="0" w:color="auto"/>
        <w:bottom w:val="none" w:sz="0" w:space="0" w:color="auto"/>
        <w:right w:val="none" w:sz="0" w:space="0" w:color="auto"/>
      </w:divBdr>
    </w:div>
    <w:div w:id="336152367">
      <w:bodyDiv w:val="1"/>
      <w:marLeft w:val="0"/>
      <w:marRight w:val="0"/>
      <w:marTop w:val="0"/>
      <w:marBottom w:val="0"/>
      <w:divBdr>
        <w:top w:val="none" w:sz="0" w:space="0" w:color="auto"/>
        <w:left w:val="none" w:sz="0" w:space="0" w:color="auto"/>
        <w:bottom w:val="none" w:sz="0" w:space="0" w:color="auto"/>
        <w:right w:val="none" w:sz="0" w:space="0" w:color="auto"/>
      </w:divBdr>
    </w:div>
    <w:div w:id="349455096">
      <w:bodyDiv w:val="1"/>
      <w:marLeft w:val="0"/>
      <w:marRight w:val="0"/>
      <w:marTop w:val="0"/>
      <w:marBottom w:val="0"/>
      <w:divBdr>
        <w:top w:val="none" w:sz="0" w:space="0" w:color="auto"/>
        <w:left w:val="none" w:sz="0" w:space="0" w:color="auto"/>
        <w:bottom w:val="none" w:sz="0" w:space="0" w:color="auto"/>
        <w:right w:val="none" w:sz="0" w:space="0" w:color="auto"/>
      </w:divBdr>
    </w:div>
    <w:div w:id="359672004">
      <w:bodyDiv w:val="1"/>
      <w:marLeft w:val="0"/>
      <w:marRight w:val="0"/>
      <w:marTop w:val="0"/>
      <w:marBottom w:val="0"/>
      <w:divBdr>
        <w:top w:val="none" w:sz="0" w:space="0" w:color="auto"/>
        <w:left w:val="none" w:sz="0" w:space="0" w:color="auto"/>
        <w:bottom w:val="none" w:sz="0" w:space="0" w:color="auto"/>
        <w:right w:val="none" w:sz="0" w:space="0" w:color="auto"/>
      </w:divBdr>
    </w:div>
    <w:div w:id="367142052">
      <w:bodyDiv w:val="1"/>
      <w:marLeft w:val="0"/>
      <w:marRight w:val="0"/>
      <w:marTop w:val="0"/>
      <w:marBottom w:val="0"/>
      <w:divBdr>
        <w:top w:val="none" w:sz="0" w:space="0" w:color="auto"/>
        <w:left w:val="none" w:sz="0" w:space="0" w:color="auto"/>
        <w:bottom w:val="none" w:sz="0" w:space="0" w:color="auto"/>
        <w:right w:val="none" w:sz="0" w:space="0" w:color="auto"/>
      </w:divBdr>
    </w:div>
    <w:div w:id="373386305">
      <w:bodyDiv w:val="1"/>
      <w:marLeft w:val="0"/>
      <w:marRight w:val="0"/>
      <w:marTop w:val="0"/>
      <w:marBottom w:val="0"/>
      <w:divBdr>
        <w:top w:val="none" w:sz="0" w:space="0" w:color="auto"/>
        <w:left w:val="none" w:sz="0" w:space="0" w:color="auto"/>
        <w:bottom w:val="none" w:sz="0" w:space="0" w:color="auto"/>
        <w:right w:val="none" w:sz="0" w:space="0" w:color="auto"/>
      </w:divBdr>
    </w:div>
    <w:div w:id="376781166">
      <w:bodyDiv w:val="1"/>
      <w:marLeft w:val="0"/>
      <w:marRight w:val="0"/>
      <w:marTop w:val="0"/>
      <w:marBottom w:val="0"/>
      <w:divBdr>
        <w:top w:val="none" w:sz="0" w:space="0" w:color="auto"/>
        <w:left w:val="none" w:sz="0" w:space="0" w:color="auto"/>
        <w:bottom w:val="none" w:sz="0" w:space="0" w:color="auto"/>
        <w:right w:val="none" w:sz="0" w:space="0" w:color="auto"/>
      </w:divBdr>
    </w:div>
    <w:div w:id="386143898">
      <w:bodyDiv w:val="1"/>
      <w:marLeft w:val="0"/>
      <w:marRight w:val="0"/>
      <w:marTop w:val="0"/>
      <w:marBottom w:val="0"/>
      <w:divBdr>
        <w:top w:val="none" w:sz="0" w:space="0" w:color="auto"/>
        <w:left w:val="none" w:sz="0" w:space="0" w:color="auto"/>
        <w:bottom w:val="none" w:sz="0" w:space="0" w:color="auto"/>
        <w:right w:val="none" w:sz="0" w:space="0" w:color="auto"/>
      </w:divBdr>
    </w:div>
    <w:div w:id="390544072">
      <w:bodyDiv w:val="1"/>
      <w:marLeft w:val="0"/>
      <w:marRight w:val="0"/>
      <w:marTop w:val="0"/>
      <w:marBottom w:val="0"/>
      <w:divBdr>
        <w:top w:val="none" w:sz="0" w:space="0" w:color="auto"/>
        <w:left w:val="none" w:sz="0" w:space="0" w:color="auto"/>
        <w:bottom w:val="none" w:sz="0" w:space="0" w:color="auto"/>
        <w:right w:val="none" w:sz="0" w:space="0" w:color="auto"/>
      </w:divBdr>
    </w:div>
    <w:div w:id="454912796">
      <w:bodyDiv w:val="1"/>
      <w:marLeft w:val="0"/>
      <w:marRight w:val="0"/>
      <w:marTop w:val="0"/>
      <w:marBottom w:val="0"/>
      <w:divBdr>
        <w:top w:val="none" w:sz="0" w:space="0" w:color="auto"/>
        <w:left w:val="none" w:sz="0" w:space="0" w:color="auto"/>
        <w:bottom w:val="none" w:sz="0" w:space="0" w:color="auto"/>
        <w:right w:val="none" w:sz="0" w:space="0" w:color="auto"/>
      </w:divBdr>
    </w:div>
    <w:div w:id="456994739">
      <w:bodyDiv w:val="1"/>
      <w:marLeft w:val="0"/>
      <w:marRight w:val="0"/>
      <w:marTop w:val="0"/>
      <w:marBottom w:val="0"/>
      <w:divBdr>
        <w:top w:val="none" w:sz="0" w:space="0" w:color="auto"/>
        <w:left w:val="none" w:sz="0" w:space="0" w:color="auto"/>
        <w:bottom w:val="none" w:sz="0" w:space="0" w:color="auto"/>
        <w:right w:val="none" w:sz="0" w:space="0" w:color="auto"/>
      </w:divBdr>
    </w:div>
    <w:div w:id="480344336">
      <w:bodyDiv w:val="1"/>
      <w:marLeft w:val="0"/>
      <w:marRight w:val="0"/>
      <w:marTop w:val="0"/>
      <w:marBottom w:val="0"/>
      <w:divBdr>
        <w:top w:val="none" w:sz="0" w:space="0" w:color="auto"/>
        <w:left w:val="none" w:sz="0" w:space="0" w:color="auto"/>
        <w:bottom w:val="none" w:sz="0" w:space="0" w:color="auto"/>
        <w:right w:val="none" w:sz="0" w:space="0" w:color="auto"/>
      </w:divBdr>
    </w:div>
    <w:div w:id="481853182">
      <w:bodyDiv w:val="1"/>
      <w:marLeft w:val="0"/>
      <w:marRight w:val="0"/>
      <w:marTop w:val="0"/>
      <w:marBottom w:val="0"/>
      <w:divBdr>
        <w:top w:val="none" w:sz="0" w:space="0" w:color="auto"/>
        <w:left w:val="none" w:sz="0" w:space="0" w:color="auto"/>
        <w:bottom w:val="none" w:sz="0" w:space="0" w:color="auto"/>
        <w:right w:val="none" w:sz="0" w:space="0" w:color="auto"/>
      </w:divBdr>
    </w:div>
    <w:div w:id="512761690">
      <w:bodyDiv w:val="1"/>
      <w:marLeft w:val="0"/>
      <w:marRight w:val="0"/>
      <w:marTop w:val="0"/>
      <w:marBottom w:val="0"/>
      <w:divBdr>
        <w:top w:val="none" w:sz="0" w:space="0" w:color="auto"/>
        <w:left w:val="none" w:sz="0" w:space="0" w:color="auto"/>
        <w:bottom w:val="none" w:sz="0" w:space="0" w:color="auto"/>
        <w:right w:val="none" w:sz="0" w:space="0" w:color="auto"/>
      </w:divBdr>
    </w:div>
    <w:div w:id="518202517">
      <w:bodyDiv w:val="1"/>
      <w:marLeft w:val="0"/>
      <w:marRight w:val="0"/>
      <w:marTop w:val="0"/>
      <w:marBottom w:val="0"/>
      <w:divBdr>
        <w:top w:val="none" w:sz="0" w:space="0" w:color="auto"/>
        <w:left w:val="none" w:sz="0" w:space="0" w:color="auto"/>
        <w:bottom w:val="none" w:sz="0" w:space="0" w:color="auto"/>
        <w:right w:val="none" w:sz="0" w:space="0" w:color="auto"/>
      </w:divBdr>
    </w:div>
    <w:div w:id="524443634">
      <w:bodyDiv w:val="1"/>
      <w:marLeft w:val="0"/>
      <w:marRight w:val="0"/>
      <w:marTop w:val="0"/>
      <w:marBottom w:val="0"/>
      <w:divBdr>
        <w:top w:val="none" w:sz="0" w:space="0" w:color="auto"/>
        <w:left w:val="none" w:sz="0" w:space="0" w:color="auto"/>
        <w:bottom w:val="none" w:sz="0" w:space="0" w:color="auto"/>
        <w:right w:val="none" w:sz="0" w:space="0" w:color="auto"/>
      </w:divBdr>
    </w:div>
    <w:div w:id="538468279">
      <w:bodyDiv w:val="1"/>
      <w:marLeft w:val="0"/>
      <w:marRight w:val="0"/>
      <w:marTop w:val="0"/>
      <w:marBottom w:val="0"/>
      <w:divBdr>
        <w:top w:val="none" w:sz="0" w:space="0" w:color="auto"/>
        <w:left w:val="none" w:sz="0" w:space="0" w:color="auto"/>
        <w:bottom w:val="none" w:sz="0" w:space="0" w:color="auto"/>
        <w:right w:val="none" w:sz="0" w:space="0" w:color="auto"/>
      </w:divBdr>
    </w:div>
    <w:div w:id="552814666">
      <w:bodyDiv w:val="1"/>
      <w:marLeft w:val="0"/>
      <w:marRight w:val="0"/>
      <w:marTop w:val="0"/>
      <w:marBottom w:val="0"/>
      <w:divBdr>
        <w:top w:val="none" w:sz="0" w:space="0" w:color="auto"/>
        <w:left w:val="none" w:sz="0" w:space="0" w:color="auto"/>
        <w:bottom w:val="none" w:sz="0" w:space="0" w:color="auto"/>
        <w:right w:val="none" w:sz="0" w:space="0" w:color="auto"/>
      </w:divBdr>
    </w:div>
    <w:div w:id="556933761">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562983278">
      <w:bodyDiv w:val="1"/>
      <w:marLeft w:val="0"/>
      <w:marRight w:val="0"/>
      <w:marTop w:val="0"/>
      <w:marBottom w:val="0"/>
      <w:divBdr>
        <w:top w:val="none" w:sz="0" w:space="0" w:color="auto"/>
        <w:left w:val="none" w:sz="0" w:space="0" w:color="auto"/>
        <w:bottom w:val="none" w:sz="0" w:space="0" w:color="auto"/>
        <w:right w:val="none" w:sz="0" w:space="0" w:color="auto"/>
      </w:divBdr>
    </w:div>
    <w:div w:id="563564236">
      <w:bodyDiv w:val="1"/>
      <w:marLeft w:val="0"/>
      <w:marRight w:val="0"/>
      <w:marTop w:val="0"/>
      <w:marBottom w:val="0"/>
      <w:divBdr>
        <w:top w:val="none" w:sz="0" w:space="0" w:color="auto"/>
        <w:left w:val="none" w:sz="0" w:space="0" w:color="auto"/>
        <w:bottom w:val="none" w:sz="0" w:space="0" w:color="auto"/>
        <w:right w:val="none" w:sz="0" w:space="0" w:color="auto"/>
      </w:divBdr>
    </w:div>
    <w:div w:id="575097073">
      <w:bodyDiv w:val="1"/>
      <w:marLeft w:val="0"/>
      <w:marRight w:val="0"/>
      <w:marTop w:val="0"/>
      <w:marBottom w:val="0"/>
      <w:divBdr>
        <w:top w:val="none" w:sz="0" w:space="0" w:color="auto"/>
        <w:left w:val="none" w:sz="0" w:space="0" w:color="auto"/>
        <w:bottom w:val="none" w:sz="0" w:space="0" w:color="auto"/>
        <w:right w:val="none" w:sz="0" w:space="0" w:color="auto"/>
      </w:divBdr>
    </w:div>
    <w:div w:id="603925898">
      <w:bodyDiv w:val="1"/>
      <w:marLeft w:val="0"/>
      <w:marRight w:val="0"/>
      <w:marTop w:val="0"/>
      <w:marBottom w:val="0"/>
      <w:divBdr>
        <w:top w:val="none" w:sz="0" w:space="0" w:color="auto"/>
        <w:left w:val="none" w:sz="0" w:space="0" w:color="auto"/>
        <w:bottom w:val="none" w:sz="0" w:space="0" w:color="auto"/>
        <w:right w:val="none" w:sz="0" w:space="0" w:color="auto"/>
      </w:divBdr>
    </w:div>
    <w:div w:id="605773137">
      <w:bodyDiv w:val="1"/>
      <w:marLeft w:val="0"/>
      <w:marRight w:val="0"/>
      <w:marTop w:val="0"/>
      <w:marBottom w:val="0"/>
      <w:divBdr>
        <w:top w:val="none" w:sz="0" w:space="0" w:color="auto"/>
        <w:left w:val="none" w:sz="0" w:space="0" w:color="auto"/>
        <w:bottom w:val="none" w:sz="0" w:space="0" w:color="auto"/>
        <w:right w:val="none" w:sz="0" w:space="0" w:color="auto"/>
      </w:divBdr>
    </w:div>
    <w:div w:id="613094035">
      <w:bodyDiv w:val="1"/>
      <w:marLeft w:val="0"/>
      <w:marRight w:val="0"/>
      <w:marTop w:val="0"/>
      <w:marBottom w:val="0"/>
      <w:divBdr>
        <w:top w:val="none" w:sz="0" w:space="0" w:color="auto"/>
        <w:left w:val="none" w:sz="0" w:space="0" w:color="auto"/>
        <w:bottom w:val="none" w:sz="0" w:space="0" w:color="auto"/>
        <w:right w:val="none" w:sz="0" w:space="0" w:color="auto"/>
      </w:divBdr>
    </w:div>
    <w:div w:id="617838344">
      <w:bodyDiv w:val="1"/>
      <w:marLeft w:val="0"/>
      <w:marRight w:val="0"/>
      <w:marTop w:val="0"/>
      <w:marBottom w:val="0"/>
      <w:divBdr>
        <w:top w:val="none" w:sz="0" w:space="0" w:color="auto"/>
        <w:left w:val="none" w:sz="0" w:space="0" w:color="auto"/>
        <w:bottom w:val="none" w:sz="0" w:space="0" w:color="auto"/>
        <w:right w:val="none" w:sz="0" w:space="0" w:color="auto"/>
      </w:divBdr>
    </w:div>
    <w:div w:id="622351655">
      <w:bodyDiv w:val="1"/>
      <w:marLeft w:val="0"/>
      <w:marRight w:val="0"/>
      <w:marTop w:val="0"/>
      <w:marBottom w:val="0"/>
      <w:divBdr>
        <w:top w:val="none" w:sz="0" w:space="0" w:color="auto"/>
        <w:left w:val="none" w:sz="0" w:space="0" w:color="auto"/>
        <w:bottom w:val="none" w:sz="0" w:space="0" w:color="auto"/>
        <w:right w:val="none" w:sz="0" w:space="0" w:color="auto"/>
      </w:divBdr>
    </w:div>
    <w:div w:id="664093631">
      <w:bodyDiv w:val="1"/>
      <w:marLeft w:val="0"/>
      <w:marRight w:val="0"/>
      <w:marTop w:val="0"/>
      <w:marBottom w:val="0"/>
      <w:divBdr>
        <w:top w:val="none" w:sz="0" w:space="0" w:color="auto"/>
        <w:left w:val="none" w:sz="0" w:space="0" w:color="auto"/>
        <w:bottom w:val="none" w:sz="0" w:space="0" w:color="auto"/>
        <w:right w:val="none" w:sz="0" w:space="0" w:color="auto"/>
      </w:divBdr>
    </w:div>
    <w:div w:id="772824357">
      <w:bodyDiv w:val="1"/>
      <w:marLeft w:val="0"/>
      <w:marRight w:val="0"/>
      <w:marTop w:val="0"/>
      <w:marBottom w:val="0"/>
      <w:divBdr>
        <w:top w:val="none" w:sz="0" w:space="0" w:color="auto"/>
        <w:left w:val="none" w:sz="0" w:space="0" w:color="auto"/>
        <w:bottom w:val="none" w:sz="0" w:space="0" w:color="auto"/>
        <w:right w:val="none" w:sz="0" w:space="0" w:color="auto"/>
      </w:divBdr>
    </w:div>
    <w:div w:id="800657652">
      <w:bodyDiv w:val="1"/>
      <w:marLeft w:val="0"/>
      <w:marRight w:val="0"/>
      <w:marTop w:val="0"/>
      <w:marBottom w:val="0"/>
      <w:divBdr>
        <w:top w:val="none" w:sz="0" w:space="0" w:color="auto"/>
        <w:left w:val="none" w:sz="0" w:space="0" w:color="auto"/>
        <w:bottom w:val="none" w:sz="0" w:space="0" w:color="auto"/>
        <w:right w:val="none" w:sz="0" w:space="0" w:color="auto"/>
      </w:divBdr>
    </w:div>
    <w:div w:id="808326645">
      <w:bodyDiv w:val="1"/>
      <w:marLeft w:val="0"/>
      <w:marRight w:val="0"/>
      <w:marTop w:val="0"/>
      <w:marBottom w:val="0"/>
      <w:divBdr>
        <w:top w:val="none" w:sz="0" w:space="0" w:color="auto"/>
        <w:left w:val="none" w:sz="0" w:space="0" w:color="auto"/>
        <w:bottom w:val="none" w:sz="0" w:space="0" w:color="auto"/>
        <w:right w:val="none" w:sz="0" w:space="0" w:color="auto"/>
      </w:divBdr>
    </w:div>
    <w:div w:id="810253543">
      <w:bodyDiv w:val="1"/>
      <w:marLeft w:val="0"/>
      <w:marRight w:val="0"/>
      <w:marTop w:val="0"/>
      <w:marBottom w:val="0"/>
      <w:divBdr>
        <w:top w:val="none" w:sz="0" w:space="0" w:color="auto"/>
        <w:left w:val="none" w:sz="0" w:space="0" w:color="auto"/>
        <w:bottom w:val="none" w:sz="0" w:space="0" w:color="auto"/>
        <w:right w:val="none" w:sz="0" w:space="0" w:color="auto"/>
      </w:divBdr>
    </w:div>
    <w:div w:id="824785166">
      <w:bodyDiv w:val="1"/>
      <w:marLeft w:val="0"/>
      <w:marRight w:val="0"/>
      <w:marTop w:val="0"/>
      <w:marBottom w:val="0"/>
      <w:divBdr>
        <w:top w:val="none" w:sz="0" w:space="0" w:color="auto"/>
        <w:left w:val="none" w:sz="0" w:space="0" w:color="auto"/>
        <w:bottom w:val="none" w:sz="0" w:space="0" w:color="auto"/>
        <w:right w:val="none" w:sz="0" w:space="0" w:color="auto"/>
      </w:divBdr>
    </w:div>
    <w:div w:id="839196240">
      <w:bodyDiv w:val="1"/>
      <w:marLeft w:val="0"/>
      <w:marRight w:val="0"/>
      <w:marTop w:val="0"/>
      <w:marBottom w:val="0"/>
      <w:divBdr>
        <w:top w:val="none" w:sz="0" w:space="0" w:color="auto"/>
        <w:left w:val="none" w:sz="0" w:space="0" w:color="auto"/>
        <w:bottom w:val="none" w:sz="0" w:space="0" w:color="auto"/>
        <w:right w:val="none" w:sz="0" w:space="0" w:color="auto"/>
      </w:divBdr>
    </w:div>
    <w:div w:id="843082707">
      <w:bodyDiv w:val="1"/>
      <w:marLeft w:val="0"/>
      <w:marRight w:val="0"/>
      <w:marTop w:val="0"/>
      <w:marBottom w:val="0"/>
      <w:divBdr>
        <w:top w:val="none" w:sz="0" w:space="0" w:color="auto"/>
        <w:left w:val="none" w:sz="0" w:space="0" w:color="auto"/>
        <w:bottom w:val="none" w:sz="0" w:space="0" w:color="auto"/>
        <w:right w:val="none" w:sz="0" w:space="0" w:color="auto"/>
      </w:divBdr>
    </w:div>
    <w:div w:id="854878801">
      <w:bodyDiv w:val="1"/>
      <w:marLeft w:val="0"/>
      <w:marRight w:val="0"/>
      <w:marTop w:val="0"/>
      <w:marBottom w:val="0"/>
      <w:divBdr>
        <w:top w:val="none" w:sz="0" w:space="0" w:color="auto"/>
        <w:left w:val="none" w:sz="0" w:space="0" w:color="auto"/>
        <w:bottom w:val="none" w:sz="0" w:space="0" w:color="auto"/>
        <w:right w:val="none" w:sz="0" w:space="0" w:color="auto"/>
      </w:divBdr>
    </w:div>
    <w:div w:id="860508752">
      <w:bodyDiv w:val="1"/>
      <w:marLeft w:val="0"/>
      <w:marRight w:val="0"/>
      <w:marTop w:val="0"/>
      <w:marBottom w:val="0"/>
      <w:divBdr>
        <w:top w:val="none" w:sz="0" w:space="0" w:color="auto"/>
        <w:left w:val="none" w:sz="0" w:space="0" w:color="auto"/>
        <w:bottom w:val="none" w:sz="0" w:space="0" w:color="auto"/>
        <w:right w:val="none" w:sz="0" w:space="0" w:color="auto"/>
      </w:divBdr>
    </w:div>
    <w:div w:id="862089870">
      <w:bodyDiv w:val="1"/>
      <w:marLeft w:val="0"/>
      <w:marRight w:val="0"/>
      <w:marTop w:val="0"/>
      <w:marBottom w:val="0"/>
      <w:divBdr>
        <w:top w:val="none" w:sz="0" w:space="0" w:color="auto"/>
        <w:left w:val="none" w:sz="0" w:space="0" w:color="auto"/>
        <w:bottom w:val="none" w:sz="0" w:space="0" w:color="auto"/>
        <w:right w:val="none" w:sz="0" w:space="0" w:color="auto"/>
      </w:divBdr>
    </w:div>
    <w:div w:id="872419934">
      <w:bodyDiv w:val="1"/>
      <w:marLeft w:val="0"/>
      <w:marRight w:val="0"/>
      <w:marTop w:val="0"/>
      <w:marBottom w:val="0"/>
      <w:divBdr>
        <w:top w:val="none" w:sz="0" w:space="0" w:color="auto"/>
        <w:left w:val="none" w:sz="0" w:space="0" w:color="auto"/>
        <w:bottom w:val="none" w:sz="0" w:space="0" w:color="auto"/>
        <w:right w:val="none" w:sz="0" w:space="0" w:color="auto"/>
      </w:divBdr>
    </w:div>
    <w:div w:id="875897475">
      <w:bodyDiv w:val="1"/>
      <w:marLeft w:val="0"/>
      <w:marRight w:val="0"/>
      <w:marTop w:val="0"/>
      <w:marBottom w:val="0"/>
      <w:divBdr>
        <w:top w:val="none" w:sz="0" w:space="0" w:color="auto"/>
        <w:left w:val="none" w:sz="0" w:space="0" w:color="auto"/>
        <w:bottom w:val="none" w:sz="0" w:space="0" w:color="auto"/>
        <w:right w:val="none" w:sz="0" w:space="0" w:color="auto"/>
      </w:divBdr>
    </w:div>
    <w:div w:id="882985978">
      <w:bodyDiv w:val="1"/>
      <w:marLeft w:val="0"/>
      <w:marRight w:val="0"/>
      <w:marTop w:val="0"/>
      <w:marBottom w:val="0"/>
      <w:divBdr>
        <w:top w:val="none" w:sz="0" w:space="0" w:color="auto"/>
        <w:left w:val="none" w:sz="0" w:space="0" w:color="auto"/>
        <w:bottom w:val="none" w:sz="0" w:space="0" w:color="auto"/>
        <w:right w:val="none" w:sz="0" w:space="0" w:color="auto"/>
      </w:divBdr>
    </w:div>
    <w:div w:id="884760267">
      <w:bodyDiv w:val="1"/>
      <w:marLeft w:val="0"/>
      <w:marRight w:val="0"/>
      <w:marTop w:val="0"/>
      <w:marBottom w:val="0"/>
      <w:divBdr>
        <w:top w:val="none" w:sz="0" w:space="0" w:color="auto"/>
        <w:left w:val="none" w:sz="0" w:space="0" w:color="auto"/>
        <w:bottom w:val="none" w:sz="0" w:space="0" w:color="auto"/>
        <w:right w:val="none" w:sz="0" w:space="0" w:color="auto"/>
      </w:divBdr>
    </w:div>
    <w:div w:id="890462237">
      <w:bodyDiv w:val="1"/>
      <w:marLeft w:val="0"/>
      <w:marRight w:val="0"/>
      <w:marTop w:val="0"/>
      <w:marBottom w:val="0"/>
      <w:divBdr>
        <w:top w:val="none" w:sz="0" w:space="0" w:color="auto"/>
        <w:left w:val="none" w:sz="0" w:space="0" w:color="auto"/>
        <w:bottom w:val="none" w:sz="0" w:space="0" w:color="auto"/>
        <w:right w:val="none" w:sz="0" w:space="0" w:color="auto"/>
      </w:divBdr>
    </w:div>
    <w:div w:id="902527909">
      <w:bodyDiv w:val="1"/>
      <w:marLeft w:val="0"/>
      <w:marRight w:val="0"/>
      <w:marTop w:val="0"/>
      <w:marBottom w:val="0"/>
      <w:divBdr>
        <w:top w:val="none" w:sz="0" w:space="0" w:color="auto"/>
        <w:left w:val="none" w:sz="0" w:space="0" w:color="auto"/>
        <w:bottom w:val="none" w:sz="0" w:space="0" w:color="auto"/>
        <w:right w:val="none" w:sz="0" w:space="0" w:color="auto"/>
      </w:divBdr>
    </w:div>
    <w:div w:id="931280346">
      <w:bodyDiv w:val="1"/>
      <w:marLeft w:val="0"/>
      <w:marRight w:val="0"/>
      <w:marTop w:val="0"/>
      <w:marBottom w:val="0"/>
      <w:divBdr>
        <w:top w:val="none" w:sz="0" w:space="0" w:color="auto"/>
        <w:left w:val="none" w:sz="0" w:space="0" w:color="auto"/>
        <w:bottom w:val="none" w:sz="0" w:space="0" w:color="auto"/>
        <w:right w:val="none" w:sz="0" w:space="0" w:color="auto"/>
      </w:divBdr>
    </w:div>
    <w:div w:id="948775968">
      <w:bodyDiv w:val="1"/>
      <w:marLeft w:val="0"/>
      <w:marRight w:val="0"/>
      <w:marTop w:val="0"/>
      <w:marBottom w:val="0"/>
      <w:divBdr>
        <w:top w:val="none" w:sz="0" w:space="0" w:color="auto"/>
        <w:left w:val="none" w:sz="0" w:space="0" w:color="auto"/>
        <w:bottom w:val="none" w:sz="0" w:space="0" w:color="auto"/>
        <w:right w:val="none" w:sz="0" w:space="0" w:color="auto"/>
      </w:divBdr>
    </w:div>
    <w:div w:id="977108855">
      <w:bodyDiv w:val="1"/>
      <w:marLeft w:val="0"/>
      <w:marRight w:val="0"/>
      <w:marTop w:val="0"/>
      <w:marBottom w:val="0"/>
      <w:divBdr>
        <w:top w:val="none" w:sz="0" w:space="0" w:color="auto"/>
        <w:left w:val="none" w:sz="0" w:space="0" w:color="auto"/>
        <w:bottom w:val="none" w:sz="0" w:space="0" w:color="auto"/>
        <w:right w:val="none" w:sz="0" w:space="0" w:color="auto"/>
      </w:divBdr>
    </w:div>
    <w:div w:id="979846489">
      <w:bodyDiv w:val="1"/>
      <w:marLeft w:val="0"/>
      <w:marRight w:val="0"/>
      <w:marTop w:val="0"/>
      <w:marBottom w:val="0"/>
      <w:divBdr>
        <w:top w:val="none" w:sz="0" w:space="0" w:color="auto"/>
        <w:left w:val="none" w:sz="0" w:space="0" w:color="auto"/>
        <w:bottom w:val="none" w:sz="0" w:space="0" w:color="auto"/>
        <w:right w:val="none" w:sz="0" w:space="0" w:color="auto"/>
      </w:divBdr>
    </w:div>
    <w:div w:id="1003707196">
      <w:bodyDiv w:val="1"/>
      <w:marLeft w:val="0"/>
      <w:marRight w:val="0"/>
      <w:marTop w:val="0"/>
      <w:marBottom w:val="0"/>
      <w:divBdr>
        <w:top w:val="none" w:sz="0" w:space="0" w:color="auto"/>
        <w:left w:val="none" w:sz="0" w:space="0" w:color="auto"/>
        <w:bottom w:val="none" w:sz="0" w:space="0" w:color="auto"/>
        <w:right w:val="none" w:sz="0" w:space="0" w:color="auto"/>
      </w:divBdr>
    </w:div>
    <w:div w:id="1005286695">
      <w:bodyDiv w:val="1"/>
      <w:marLeft w:val="0"/>
      <w:marRight w:val="0"/>
      <w:marTop w:val="0"/>
      <w:marBottom w:val="0"/>
      <w:divBdr>
        <w:top w:val="none" w:sz="0" w:space="0" w:color="auto"/>
        <w:left w:val="none" w:sz="0" w:space="0" w:color="auto"/>
        <w:bottom w:val="none" w:sz="0" w:space="0" w:color="auto"/>
        <w:right w:val="none" w:sz="0" w:space="0" w:color="auto"/>
      </w:divBdr>
    </w:div>
    <w:div w:id="1023283209">
      <w:bodyDiv w:val="1"/>
      <w:marLeft w:val="0"/>
      <w:marRight w:val="0"/>
      <w:marTop w:val="0"/>
      <w:marBottom w:val="0"/>
      <w:divBdr>
        <w:top w:val="none" w:sz="0" w:space="0" w:color="auto"/>
        <w:left w:val="none" w:sz="0" w:space="0" w:color="auto"/>
        <w:bottom w:val="none" w:sz="0" w:space="0" w:color="auto"/>
        <w:right w:val="none" w:sz="0" w:space="0" w:color="auto"/>
      </w:divBdr>
    </w:div>
    <w:div w:id="1027829482">
      <w:bodyDiv w:val="1"/>
      <w:marLeft w:val="0"/>
      <w:marRight w:val="0"/>
      <w:marTop w:val="0"/>
      <w:marBottom w:val="0"/>
      <w:divBdr>
        <w:top w:val="none" w:sz="0" w:space="0" w:color="auto"/>
        <w:left w:val="none" w:sz="0" w:space="0" w:color="auto"/>
        <w:bottom w:val="none" w:sz="0" w:space="0" w:color="auto"/>
        <w:right w:val="none" w:sz="0" w:space="0" w:color="auto"/>
      </w:divBdr>
    </w:div>
    <w:div w:id="1032458003">
      <w:bodyDiv w:val="1"/>
      <w:marLeft w:val="0"/>
      <w:marRight w:val="0"/>
      <w:marTop w:val="0"/>
      <w:marBottom w:val="0"/>
      <w:divBdr>
        <w:top w:val="none" w:sz="0" w:space="0" w:color="auto"/>
        <w:left w:val="none" w:sz="0" w:space="0" w:color="auto"/>
        <w:bottom w:val="none" w:sz="0" w:space="0" w:color="auto"/>
        <w:right w:val="none" w:sz="0" w:space="0" w:color="auto"/>
      </w:divBdr>
    </w:div>
    <w:div w:id="1032995357">
      <w:bodyDiv w:val="1"/>
      <w:marLeft w:val="0"/>
      <w:marRight w:val="0"/>
      <w:marTop w:val="0"/>
      <w:marBottom w:val="0"/>
      <w:divBdr>
        <w:top w:val="none" w:sz="0" w:space="0" w:color="auto"/>
        <w:left w:val="none" w:sz="0" w:space="0" w:color="auto"/>
        <w:bottom w:val="none" w:sz="0" w:space="0" w:color="auto"/>
        <w:right w:val="none" w:sz="0" w:space="0" w:color="auto"/>
      </w:divBdr>
    </w:div>
    <w:div w:id="1038823588">
      <w:bodyDiv w:val="1"/>
      <w:marLeft w:val="0"/>
      <w:marRight w:val="0"/>
      <w:marTop w:val="0"/>
      <w:marBottom w:val="0"/>
      <w:divBdr>
        <w:top w:val="none" w:sz="0" w:space="0" w:color="auto"/>
        <w:left w:val="none" w:sz="0" w:space="0" w:color="auto"/>
        <w:bottom w:val="none" w:sz="0" w:space="0" w:color="auto"/>
        <w:right w:val="none" w:sz="0" w:space="0" w:color="auto"/>
      </w:divBdr>
    </w:div>
    <w:div w:id="1066803403">
      <w:bodyDiv w:val="1"/>
      <w:marLeft w:val="0"/>
      <w:marRight w:val="0"/>
      <w:marTop w:val="0"/>
      <w:marBottom w:val="0"/>
      <w:divBdr>
        <w:top w:val="none" w:sz="0" w:space="0" w:color="auto"/>
        <w:left w:val="none" w:sz="0" w:space="0" w:color="auto"/>
        <w:bottom w:val="none" w:sz="0" w:space="0" w:color="auto"/>
        <w:right w:val="none" w:sz="0" w:space="0" w:color="auto"/>
      </w:divBdr>
      <w:divsChild>
        <w:div w:id="1986855724">
          <w:marLeft w:val="0"/>
          <w:marRight w:val="0"/>
          <w:marTop w:val="0"/>
          <w:marBottom w:val="0"/>
          <w:divBdr>
            <w:top w:val="none" w:sz="0" w:space="0" w:color="auto"/>
            <w:left w:val="none" w:sz="0" w:space="0" w:color="auto"/>
            <w:bottom w:val="none" w:sz="0" w:space="0" w:color="auto"/>
            <w:right w:val="none" w:sz="0" w:space="0" w:color="auto"/>
          </w:divBdr>
        </w:div>
        <w:div w:id="725445941">
          <w:marLeft w:val="0"/>
          <w:marRight w:val="0"/>
          <w:marTop w:val="90"/>
          <w:marBottom w:val="0"/>
          <w:divBdr>
            <w:top w:val="none" w:sz="0" w:space="0" w:color="auto"/>
            <w:left w:val="none" w:sz="0" w:space="0" w:color="auto"/>
            <w:bottom w:val="none" w:sz="0" w:space="0" w:color="auto"/>
            <w:right w:val="none" w:sz="0" w:space="0" w:color="auto"/>
          </w:divBdr>
        </w:div>
      </w:divsChild>
    </w:div>
    <w:div w:id="1066995098">
      <w:bodyDiv w:val="1"/>
      <w:marLeft w:val="0"/>
      <w:marRight w:val="0"/>
      <w:marTop w:val="0"/>
      <w:marBottom w:val="0"/>
      <w:divBdr>
        <w:top w:val="none" w:sz="0" w:space="0" w:color="auto"/>
        <w:left w:val="none" w:sz="0" w:space="0" w:color="auto"/>
        <w:bottom w:val="none" w:sz="0" w:space="0" w:color="auto"/>
        <w:right w:val="none" w:sz="0" w:space="0" w:color="auto"/>
      </w:divBdr>
    </w:div>
    <w:div w:id="1075250789">
      <w:bodyDiv w:val="1"/>
      <w:marLeft w:val="0"/>
      <w:marRight w:val="0"/>
      <w:marTop w:val="0"/>
      <w:marBottom w:val="0"/>
      <w:divBdr>
        <w:top w:val="none" w:sz="0" w:space="0" w:color="auto"/>
        <w:left w:val="none" w:sz="0" w:space="0" w:color="auto"/>
        <w:bottom w:val="none" w:sz="0" w:space="0" w:color="auto"/>
        <w:right w:val="none" w:sz="0" w:space="0" w:color="auto"/>
      </w:divBdr>
    </w:div>
    <w:div w:id="1080566509">
      <w:bodyDiv w:val="1"/>
      <w:marLeft w:val="0"/>
      <w:marRight w:val="0"/>
      <w:marTop w:val="0"/>
      <w:marBottom w:val="0"/>
      <w:divBdr>
        <w:top w:val="none" w:sz="0" w:space="0" w:color="auto"/>
        <w:left w:val="none" w:sz="0" w:space="0" w:color="auto"/>
        <w:bottom w:val="none" w:sz="0" w:space="0" w:color="auto"/>
        <w:right w:val="none" w:sz="0" w:space="0" w:color="auto"/>
      </w:divBdr>
    </w:div>
    <w:div w:id="1087194250">
      <w:bodyDiv w:val="1"/>
      <w:marLeft w:val="0"/>
      <w:marRight w:val="0"/>
      <w:marTop w:val="0"/>
      <w:marBottom w:val="0"/>
      <w:divBdr>
        <w:top w:val="none" w:sz="0" w:space="0" w:color="auto"/>
        <w:left w:val="none" w:sz="0" w:space="0" w:color="auto"/>
        <w:bottom w:val="none" w:sz="0" w:space="0" w:color="auto"/>
        <w:right w:val="none" w:sz="0" w:space="0" w:color="auto"/>
      </w:divBdr>
    </w:div>
    <w:div w:id="1094938572">
      <w:bodyDiv w:val="1"/>
      <w:marLeft w:val="0"/>
      <w:marRight w:val="0"/>
      <w:marTop w:val="0"/>
      <w:marBottom w:val="0"/>
      <w:divBdr>
        <w:top w:val="none" w:sz="0" w:space="0" w:color="auto"/>
        <w:left w:val="none" w:sz="0" w:space="0" w:color="auto"/>
        <w:bottom w:val="none" w:sz="0" w:space="0" w:color="auto"/>
        <w:right w:val="none" w:sz="0" w:space="0" w:color="auto"/>
      </w:divBdr>
    </w:div>
    <w:div w:id="1099837260">
      <w:bodyDiv w:val="1"/>
      <w:marLeft w:val="0"/>
      <w:marRight w:val="0"/>
      <w:marTop w:val="0"/>
      <w:marBottom w:val="0"/>
      <w:divBdr>
        <w:top w:val="none" w:sz="0" w:space="0" w:color="auto"/>
        <w:left w:val="none" w:sz="0" w:space="0" w:color="auto"/>
        <w:bottom w:val="none" w:sz="0" w:space="0" w:color="auto"/>
        <w:right w:val="none" w:sz="0" w:space="0" w:color="auto"/>
      </w:divBdr>
    </w:div>
    <w:div w:id="1104301396">
      <w:bodyDiv w:val="1"/>
      <w:marLeft w:val="0"/>
      <w:marRight w:val="0"/>
      <w:marTop w:val="0"/>
      <w:marBottom w:val="0"/>
      <w:divBdr>
        <w:top w:val="none" w:sz="0" w:space="0" w:color="auto"/>
        <w:left w:val="none" w:sz="0" w:space="0" w:color="auto"/>
        <w:bottom w:val="none" w:sz="0" w:space="0" w:color="auto"/>
        <w:right w:val="none" w:sz="0" w:space="0" w:color="auto"/>
      </w:divBdr>
    </w:div>
    <w:div w:id="1107777389">
      <w:bodyDiv w:val="1"/>
      <w:marLeft w:val="0"/>
      <w:marRight w:val="0"/>
      <w:marTop w:val="0"/>
      <w:marBottom w:val="0"/>
      <w:divBdr>
        <w:top w:val="none" w:sz="0" w:space="0" w:color="auto"/>
        <w:left w:val="none" w:sz="0" w:space="0" w:color="auto"/>
        <w:bottom w:val="none" w:sz="0" w:space="0" w:color="auto"/>
        <w:right w:val="none" w:sz="0" w:space="0" w:color="auto"/>
      </w:divBdr>
    </w:div>
    <w:div w:id="1114907835">
      <w:bodyDiv w:val="1"/>
      <w:marLeft w:val="0"/>
      <w:marRight w:val="0"/>
      <w:marTop w:val="0"/>
      <w:marBottom w:val="0"/>
      <w:divBdr>
        <w:top w:val="none" w:sz="0" w:space="0" w:color="auto"/>
        <w:left w:val="none" w:sz="0" w:space="0" w:color="auto"/>
        <w:bottom w:val="none" w:sz="0" w:space="0" w:color="auto"/>
        <w:right w:val="none" w:sz="0" w:space="0" w:color="auto"/>
      </w:divBdr>
    </w:div>
    <w:div w:id="1115829181">
      <w:bodyDiv w:val="1"/>
      <w:marLeft w:val="0"/>
      <w:marRight w:val="0"/>
      <w:marTop w:val="0"/>
      <w:marBottom w:val="0"/>
      <w:divBdr>
        <w:top w:val="none" w:sz="0" w:space="0" w:color="auto"/>
        <w:left w:val="none" w:sz="0" w:space="0" w:color="auto"/>
        <w:bottom w:val="none" w:sz="0" w:space="0" w:color="auto"/>
        <w:right w:val="none" w:sz="0" w:space="0" w:color="auto"/>
      </w:divBdr>
    </w:div>
    <w:div w:id="1118376146">
      <w:bodyDiv w:val="1"/>
      <w:marLeft w:val="0"/>
      <w:marRight w:val="0"/>
      <w:marTop w:val="0"/>
      <w:marBottom w:val="0"/>
      <w:divBdr>
        <w:top w:val="none" w:sz="0" w:space="0" w:color="auto"/>
        <w:left w:val="none" w:sz="0" w:space="0" w:color="auto"/>
        <w:bottom w:val="none" w:sz="0" w:space="0" w:color="auto"/>
        <w:right w:val="none" w:sz="0" w:space="0" w:color="auto"/>
      </w:divBdr>
    </w:div>
    <w:div w:id="1131903951">
      <w:bodyDiv w:val="1"/>
      <w:marLeft w:val="0"/>
      <w:marRight w:val="0"/>
      <w:marTop w:val="0"/>
      <w:marBottom w:val="0"/>
      <w:divBdr>
        <w:top w:val="none" w:sz="0" w:space="0" w:color="auto"/>
        <w:left w:val="none" w:sz="0" w:space="0" w:color="auto"/>
        <w:bottom w:val="none" w:sz="0" w:space="0" w:color="auto"/>
        <w:right w:val="none" w:sz="0" w:space="0" w:color="auto"/>
      </w:divBdr>
    </w:div>
    <w:div w:id="1141772516">
      <w:bodyDiv w:val="1"/>
      <w:marLeft w:val="0"/>
      <w:marRight w:val="0"/>
      <w:marTop w:val="0"/>
      <w:marBottom w:val="0"/>
      <w:divBdr>
        <w:top w:val="none" w:sz="0" w:space="0" w:color="auto"/>
        <w:left w:val="none" w:sz="0" w:space="0" w:color="auto"/>
        <w:bottom w:val="none" w:sz="0" w:space="0" w:color="auto"/>
        <w:right w:val="none" w:sz="0" w:space="0" w:color="auto"/>
      </w:divBdr>
    </w:div>
    <w:div w:id="1143043496">
      <w:bodyDiv w:val="1"/>
      <w:marLeft w:val="0"/>
      <w:marRight w:val="0"/>
      <w:marTop w:val="0"/>
      <w:marBottom w:val="0"/>
      <w:divBdr>
        <w:top w:val="none" w:sz="0" w:space="0" w:color="auto"/>
        <w:left w:val="none" w:sz="0" w:space="0" w:color="auto"/>
        <w:bottom w:val="none" w:sz="0" w:space="0" w:color="auto"/>
        <w:right w:val="none" w:sz="0" w:space="0" w:color="auto"/>
      </w:divBdr>
    </w:div>
    <w:div w:id="1144618248">
      <w:bodyDiv w:val="1"/>
      <w:marLeft w:val="0"/>
      <w:marRight w:val="0"/>
      <w:marTop w:val="0"/>
      <w:marBottom w:val="0"/>
      <w:divBdr>
        <w:top w:val="none" w:sz="0" w:space="0" w:color="auto"/>
        <w:left w:val="none" w:sz="0" w:space="0" w:color="auto"/>
        <w:bottom w:val="none" w:sz="0" w:space="0" w:color="auto"/>
        <w:right w:val="none" w:sz="0" w:space="0" w:color="auto"/>
      </w:divBdr>
    </w:div>
    <w:div w:id="1158378924">
      <w:bodyDiv w:val="1"/>
      <w:marLeft w:val="0"/>
      <w:marRight w:val="0"/>
      <w:marTop w:val="0"/>
      <w:marBottom w:val="0"/>
      <w:divBdr>
        <w:top w:val="none" w:sz="0" w:space="0" w:color="auto"/>
        <w:left w:val="none" w:sz="0" w:space="0" w:color="auto"/>
        <w:bottom w:val="none" w:sz="0" w:space="0" w:color="auto"/>
        <w:right w:val="none" w:sz="0" w:space="0" w:color="auto"/>
      </w:divBdr>
    </w:div>
    <w:div w:id="1159929362">
      <w:bodyDiv w:val="1"/>
      <w:marLeft w:val="0"/>
      <w:marRight w:val="0"/>
      <w:marTop w:val="0"/>
      <w:marBottom w:val="0"/>
      <w:divBdr>
        <w:top w:val="none" w:sz="0" w:space="0" w:color="auto"/>
        <w:left w:val="none" w:sz="0" w:space="0" w:color="auto"/>
        <w:bottom w:val="none" w:sz="0" w:space="0" w:color="auto"/>
        <w:right w:val="none" w:sz="0" w:space="0" w:color="auto"/>
      </w:divBdr>
    </w:div>
    <w:div w:id="1163013443">
      <w:bodyDiv w:val="1"/>
      <w:marLeft w:val="0"/>
      <w:marRight w:val="0"/>
      <w:marTop w:val="0"/>
      <w:marBottom w:val="0"/>
      <w:divBdr>
        <w:top w:val="none" w:sz="0" w:space="0" w:color="auto"/>
        <w:left w:val="none" w:sz="0" w:space="0" w:color="auto"/>
        <w:bottom w:val="none" w:sz="0" w:space="0" w:color="auto"/>
        <w:right w:val="none" w:sz="0" w:space="0" w:color="auto"/>
      </w:divBdr>
    </w:div>
    <w:div w:id="1178959195">
      <w:bodyDiv w:val="1"/>
      <w:marLeft w:val="0"/>
      <w:marRight w:val="0"/>
      <w:marTop w:val="0"/>
      <w:marBottom w:val="0"/>
      <w:divBdr>
        <w:top w:val="none" w:sz="0" w:space="0" w:color="auto"/>
        <w:left w:val="none" w:sz="0" w:space="0" w:color="auto"/>
        <w:bottom w:val="none" w:sz="0" w:space="0" w:color="auto"/>
        <w:right w:val="none" w:sz="0" w:space="0" w:color="auto"/>
      </w:divBdr>
    </w:div>
    <w:div w:id="1181435937">
      <w:bodyDiv w:val="1"/>
      <w:marLeft w:val="0"/>
      <w:marRight w:val="0"/>
      <w:marTop w:val="0"/>
      <w:marBottom w:val="0"/>
      <w:divBdr>
        <w:top w:val="none" w:sz="0" w:space="0" w:color="auto"/>
        <w:left w:val="none" w:sz="0" w:space="0" w:color="auto"/>
        <w:bottom w:val="none" w:sz="0" w:space="0" w:color="auto"/>
        <w:right w:val="none" w:sz="0" w:space="0" w:color="auto"/>
      </w:divBdr>
    </w:div>
    <w:div w:id="1187133434">
      <w:bodyDiv w:val="1"/>
      <w:marLeft w:val="0"/>
      <w:marRight w:val="0"/>
      <w:marTop w:val="0"/>
      <w:marBottom w:val="0"/>
      <w:divBdr>
        <w:top w:val="none" w:sz="0" w:space="0" w:color="auto"/>
        <w:left w:val="none" w:sz="0" w:space="0" w:color="auto"/>
        <w:bottom w:val="none" w:sz="0" w:space="0" w:color="auto"/>
        <w:right w:val="none" w:sz="0" w:space="0" w:color="auto"/>
      </w:divBdr>
    </w:div>
    <w:div w:id="1224878074">
      <w:bodyDiv w:val="1"/>
      <w:marLeft w:val="0"/>
      <w:marRight w:val="0"/>
      <w:marTop w:val="0"/>
      <w:marBottom w:val="0"/>
      <w:divBdr>
        <w:top w:val="none" w:sz="0" w:space="0" w:color="auto"/>
        <w:left w:val="none" w:sz="0" w:space="0" w:color="auto"/>
        <w:bottom w:val="none" w:sz="0" w:space="0" w:color="auto"/>
        <w:right w:val="none" w:sz="0" w:space="0" w:color="auto"/>
      </w:divBdr>
    </w:div>
    <w:div w:id="1228110778">
      <w:bodyDiv w:val="1"/>
      <w:marLeft w:val="0"/>
      <w:marRight w:val="0"/>
      <w:marTop w:val="0"/>
      <w:marBottom w:val="0"/>
      <w:divBdr>
        <w:top w:val="none" w:sz="0" w:space="0" w:color="auto"/>
        <w:left w:val="none" w:sz="0" w:space="0" w:color="auto"/>
        <w:bottom w:val="none" w:sz="0" w:space="0" w:color="auto"/>
        <w:right w:val="none" w:sz="0" w:space="0" w:color="auto"/>
      </w:divBdr>
    </w:div>
    <w:div w:id="1239829661">
      <w:bodyDiv w:val="1"/>
      <w:marLeft w:val="0"/>
      <w:marRight w:val="0"/>
      <w:marTop w:val="0"/>
      <w:marBottom w:val="0"/>
      <w:divBdr>
        <w:top w:val="none" w:sz="0" w:space="0" w:color="auto"/>
        <w:left w:val="none" w:sz="0" w:space="0" w:color="auto"/>
        <w:bottom w:val="none" w:sz="0" w:space="0" w:color="auto"/>
        <w:right w:val="none" w:sz="0" w:space="0" w:color="auto"/>
      </w:divBdr>
    </w:div>
    <w:div w:id="1242256919">
      <w:bodyDiv w:val="1"/>
      <w:marLeft w:val="0"/>
      <w:marRight w:val="0"/>
      <w:marTop w:val="0"/>
      <w:marBottom w:val="0"/>
      <w:divBdr>
        <w:top w:val="none" w:sz="0" w:space="0" w:color="auto"/>
        <w:left w:val="none" w:sz="0" w:space="0" w:color="auto"/>
        <w:bottom w:val="none" w:sz="0" w:space="0" w:color="auto"/>
        <w:right w:val="none" w:sz="0" w:space="0" w:color="auto"/>
      </w:divBdr>
    </w:div>
    <w:div w:id="1243954720">
      <w:bodyDiv w:val="1"/>
      <w:marLeft w:val="0"/>
      <w:marRight w:val="0"/>
      <w:marTop w:val="0"/>
      <w:marBottom w:val="0"/>
      <w:divBdr>
        <w:top w:val="none" w:sz="0" w:space="0" w:color="auto"/>
        <w:left w:val="none" w:sz="0" w:space="0" w:color="auto"/>
        <w:bottom w:val="none" w:sz="0" w:space="0" w:color="auto"/>
        <w:right w:val="none" w:sz="0" w:space="0" w:color="auto"/>
      </w:divBdr>
    </w:div>
    <w:div w:id="1262493065">
      <w:bodyDiv w:val="1"/>
      <w:marLeft w:val="0"/>
      <w:marRight w:val="0"/>
      <w:marTop w:val="0"/>
      <w:marBottom w:val="0"/>
      <w:divBdr>
        <w:top w:val="none" w:sz="0" w:space="0" w:color="auto"/>
        <w:left w:val="none" w:sz="0" w:space="0" w:color="auto"/>
        <w:bottom w:val="none" w:sz="0" w:space="0" w:color="auto"/>
        <w:right w:val="none" w:sz="0" w:space="0" w:color="auto"/>
      </w:divBdr>
    </w:div>
    <w:div w:id="1270695262">
      <w:bodyDiv w:val="1"/>
      <w:marLeft w:val="0"/>
      <w:marRight w:val="0"/>
      <w:marTop w:val="0"/>
      <w:marBottom w:val="0"/>
      <w:divBdr>
        <w:top w:val="none" w:sz="0" w:space="0" w:color="auto"/>
        <w:left w:val="none" w:sz="0" w:space="0" w:color="auto"/>
        <w:bottom w:val="none" w:sz="0" w:space="0" w:color="auto"/>
        <w:right w:val="none" w:sz="0" w:space="0" w:color="auto"/>
      </w:divBdr>
    </w:div>
    <w:div w:id="1282303327">
      <w:bodyDiv w:val="1"/>
      <w:marLeft w:val="0"/>
      <w:marRight w:val="0"/>
      <w:marTop w:val="0"/>
      <w:marBottom w:val="0"/>
      <w:divBdr>
        <w:top w:val="none" w:sz="0" w:space="0" w:color="auto"/>
        <w:left w:val="none" w:sz="0" w:space="0" w:color="auto"/>
        <w:bottom w:val="none" w:sz="0" w:space="0" w:color="auto"/>
        <w:right w:val="none" w:sz="0" w:space="0" w:color="auto"/>
      </w:divBdr>
    </w:div>
    <w:div w:id="1283994897">
      <w:bodyDiv w:val="1"/>
      <w:marLeft w:val="0"/>
      <w:marRight w:val="0"/>
      <w:marTop w:val="0"/>
      <w:marBottom w:val="0"/>
      <w:divBdr>
        <w:top w:val="none" w:sz="0" w:space="0" w:color="auto"/>
        <w:left w:val="none" w:sz="0" w:space="0" w:color="auto"/>
        <w:bottom w:val="none" w:sz="0" w:space="0" w:color="auto"/>
        <w:right w:val="none" w:sz="0" w:space="0" w:color="auto"/>
      </w:divBdr>
      <w:divsChild>
        <w:div w:id="754478390">
          <w:marLeft w:val="547"/>
          <w:marRight w:val="0"/>
          <w:marTop w:val="120"/>
          <w:marBottom w:val="0"/>
          <w:divBdr>
            <w:top w:val="none" w:sz="0" w:space="0" w:color="auto"/>
            <w:left w:val="none" w:sz="0" w:space="0" w:color="auto"/>
            <w:bottom w:val="none" w:sz="0" w:space="0" w:color="auto"/>
            <w:right w:val="none" w:sz="0" w:space="0" w:color="auto"/>
          </w:divBdr>
        </w:div>
      </w:divsChild>
    </w:div>
    <w:div w:id="1296449422">
      <w:bodyDiv w:val="1"/>
      <w:marLeft w:val="0"/>
      <w:marRight w:val="0"/>
      <w:marTop w:val="0"/>
      <w:marBottom w:val="0"/>
      <w:divBdr>
        <w:top w:val="none" w:sz="0" w:space="0" w:color="auto"/>
        <w:left w:val="none" w:sz="0" w:space="0" w:color="auto"/>
        <w:bottom w:val="none" w:sz="0" w:space="0" w:color="auto"/>
        <w:right w:val="none" w:sz="0" w:space="0" w:color="auto"/>
      </w:divBdr>
    </w:div>
    <w:div w:id="1310786809">
      <w:bodyDiv w:val="1"/>
      <w:marLeft w:val="0"/>
      <w:marRight w:val="0"/>
      <w:marTop w:val="0"/>
      <w:marBottom w:val="0"/>
      <w:divBdr>
        <w:top w:val="none" w:sz="0" w:space="0" w:color="auto"/>
        <w:left w:val="none" w:sz="0" w:space="0" w:color="auto"/>
        <w:bottom w:val="none" w:sz="0" w:space="0" w:color="auto"/>
        <w:right w:val="none" w:sz="0" w:space="0" w:color="auto"/>
      </w:divBdr>
    </w:div>
    <w:div w:id="1317535938">
      <w:bodyDiv w:val="1"/>
      <w:marLeft w:val="0"/>
      <w:marRight w:val="0"/>
      <w:marTop w:val="0"/>
      <w:marBottom w:val="0"/>
      <w:divBdr>
        <w:top w:val="none" w:sz="0" w:space="0" w:color="auto"/>
        <w:left w:val="none" w:sz="0" w:space="0" w:color="auto"/>
        <w:bottom w:val="none" w:sz="0" w:space="0" w:color="auto"/>
        <w:right w:val="none" w:sz="0" w:space="0" w:color="auto"/>
      </w:divBdr>
    </w:div>
    <w:div w:id="1325668260">
      <w:bodyDiv w:val="1"/>
      <w:marLeft w:val="0"/>
      <w:marRight w:val="0"/>
      <w:marTop w:val="0"/>
      <w:marBottom w:val="0"/>
      <w:divBdr>
        <w:top w:val="none" w:sz="0" w:space="0" w:color="auto"/>
        <w:left w:val="none" w:sz="0" w:space="0" w:color="auto"/>
        <w:bottom w:val="none" w:sz="0" w:space="0" w:color="auto"/>
        <w:right w:val="none" w:sz="0" w:space="0" w:color="auto"/>
      </w:divBdr>
    </w:div>
    <w:div w:id="1326468864">
      <w:bodyDiv w:val="1"/>
      <w:marLeft w:val="0"/>
      <w:marRight w:val="0"/>
      <w:marTop w:val="0"/>
      <w:marBottom w:val="0"/>
      <w:divBdr>
        <w:top w:val="none" w:sz="0" w:space="0" w:color="auto"/>
        <w:left w:val="none" w:sz="0" w:space="0" w:color="auto"/>
        <w:bottom w:val="none" w:sz="0" w:space="0" w:color="auto"/>
        <w:right w:val="none" w:sz="0" w:space="0" w:color="auto"/>
      </w:divBdr>
    </w:div>
    <w:div w:id="1342901575">
      <w:bodyDiv w:val="1"/>
      <w:marLeft w:val="0"/>
      <w:marRight w:val="0"/>
      <w:marTop w:val="0"/>
      <w:marBottom w:val="0"/>
      <w:divBdr>
        <w:top w:val="none" w:sz="0" w:space="0" w:color="auto"/>
        <w:left w:val="none" w:sz="0" w:space="0" w:color="auto"/>
        <w:bottom w:val="none" w:sz="0" w:space="0" w:color="auto"/>
        <w:right w:val="none" w:sz="0" w:space="0" w:color="auto"/>
      </w:divBdr>
    </w:div>
    <w:div w:id="1361398818">
      <w:bodyDiv w:val="1"/>
      <w:marLeft w:val="0"/>
      <w:marRight w:val="0"/>
      <w:marTop w:val="0"/>
      <w:marBottom w:val="0"/>
      <w:divBdr>
        <w:top w:val="none" w:sz="0" w:space="0" w:color="auto"/>
        <w:left w:val="none" w:sz="0" w:space="0" w:color="auto"/>
        <w:bottom w:val="none" w:sz="0" w:space="0" w:color="auto"/>
        <w:right w:val="none" w:sz="0" w:space="0" w:color="auto"/>
      </w:divBdr>
    </w:div>
    <w:div w:id="1379553534">
      <w:bodyDiv w:val="1"/>
      <w:marLeft w:val="0"/>
      <w:marRight w:val="0"/>
      <w:marTop w:val="0"/>
      <w:marBottom w:val="0"/>
      <w:divBdr>
        <w:top w:val="none" w:sz="0" w:space="0" w:color="auto"/>
        <w:left w:val="none" w:sz="0" w:space="0" w:color="auto"/>
        <w:bottom w:val="none" w:sz="0" w:space="0" w:color="auto"/>
        <w:right w:val="none" w:sz="0" w:space="0" w:color="auto"/>
      </w:divBdr>
    </w:div>
    <w:div w:id="1380130129">
      <w:bodyDiv w:val="1"/>
      <w:marLeft w:val="0"/>
      <w:marRight w:val="0"/>
      <w:marTop w:val="0"/>
      <w:marBottom w:val="0"/>
      <w:divBdr>
        <w:top w:val="none" w:sz="0" w:space="0" w:color="auto"/>
        <w:left w:val="none" w:sz="0" w:space="0" w:color="auto"/>
        <w:bottom w:val="none" w:sz="0" w:space="0" w:color="auto"/>
        <w:right w:val="none" w:sz="0" w:space="0" w:color="auto"/>
      </w:divBdr>
    </w:div>
    <w:div w:id="1386753005">
      <w:bodyDiv w:val="1"/>
      <w:marLeft w:val="0"/>
      <w:marRight w:val="0"/>
      <w:marTop w:val="0"/>
      <w:marBottom w:val="0"/>
      <w:divBdr>
        <w:top w:val="none" w:sz="0" w:space="0" w:color="auto"/>
        <w:left w:val="none" w:sz="0" w:space="0" w:color="auto"/>
        <w:bottom w:val="none" w:sz="0" w:space="0" w:color="auto"/>
        <w:right w:val="none" w:sz="0" w:space="0" w:color="auto"/>
      </w:divBdr>
    </w:div>
    <w:div w:id="1389718099">
      <w:bodyDiv w:val="1"/>
      <w:marLeft w:val="0"/>
      <w:marRight w:val="0"/>
      <w:marTop w:val="0"/>
      <w:marBottom w:val="0"/>
      <w:divBdr>
        <w:top w:val="none" w:sz="0" w:space="0" w:color="auto"/>
        <w:left w:val="none" w:sz="0" w:space="0" w:color="auto"/>
        <w:bottom w:val="none" w:sz="0" w:space="0" w:color="auto"/>
        <w:right w:val="none" w:sz="0" w:space="0" w:color="auto"/>
      </w:divBdr>
    </w:div>
    <w:div w:id="1423838727">
      <w:bodyDiv w:val="1"/>
      <w:marLeft w:val="0"/>
      <w:marRight w:val="0"/>
      <w:marTop w:val="0"/>
      <w:marBottom w:val="0"/>
      <w:divBdr>
        <w:top w:val="none" w:sz="0" w:space="0" w:color="auto"/>
        <w:left w:val="none" w:sz="0" w:space="0" w:color="auto"/>
        <w:bottom w:val="none" w:sz="0" w:space="0" w:color="auto"/>
        <w:right w:val="none" w:sz="0" w:space="0" w:color="auto"/>
      </w:divBdr>
    </w:div>
    <w:div w:id="1454514652">
      <w:bodyDiv w:val="1"/>
      <w:marLeft w:val="0"/>
      <w:marRight w:val="0"/>
      <w:marTop w:val="0"/>
      <w:marBottom w:val="0"/>
      <w:divBdr>
        <w:top w:val="none" w:sz="0" w:space="0" w:color="auto"/>
        <w:left w:val="none" w:sz="0" w:space="0" w:color="auto"/>
        <w:bottom w:val="none" w:sz="0" w:space="0" w:color="auto"/>
        <w:right w:val="none" w:sz="0" w:space="0" w:color="auto"/>
      </w:divBdr>
    </w:div>
    <w:div w:id="1463770356">
      <w:bodyDiv w:val="1"/>
      <w:marLeft w:val="0"/>
      <w:marRight w:val="0"/>
      <w:marTop w:val="0"/>
      <w:marBottom w:val="0"/>
      <w:divBdr>
        <w:top w:val="none" w:sz="0" w:space="0" w:color="auto"/>
        <w:left w:val="none" w:sz="0" w:space="0" w:color="auto"/>
        <w:bottom w:val="none" w:sz="0" w:space="0" w:color="auto"/>
        <w:right w:val="none" w:sz="0" w:space="0" w:color="auto"/>
      </w:divBdr>
    </w:div>
    <w:div w:id="1467745569">
      <w:bodyDiv w:val="1"/>
      <w:marLeft w:val="0"/>
      <w:marRight w:val="0"/>
      <w:marTop w:val="0"/>
      <w:marBottom w:val="0"/>
      <w:divBdr>
        <w:top w:val="none" w:sz="0" w:space="0" w:color="auto"/>
        <w:left w:val="none" w:sz="0" w:space="0" w:color="auto"/>
        <w:bottom w:val="none" w:sz="0" w:space="0" w:color="auto"/>
        <w:right w:val="none" w:sz="0" w:space="0" w:color="auto"/>
      </w:divBdr>
    </w:div>
    <w:div w:id="1495996347">
      <w:bodyDiv w:val="1"/>
      <w:marLeft w:val="0"/>
      <w:marRight w:val="0"/>
      <w:marTop w:val="0"/>
      <w:marBottom w:val="0"/>
      <w:divBdr>
        <w:top w:val="none" w:sz="0" w:space="0" w:color="auto"/>
        <w:left w:val="none" w:sz="0" w:space="0" w:color="auto"/>
        <w:bottom w:val="none" w:sz="0" w:space="0" w:color="auto"/>
        <w:right w:val="none" w:sz="0" w:space="0" w:color="auto"/>
      </w:divBdr>
    </w:div>
    <w:div w:id="1521554596">
      <w:bodyDiv w:val="1"/>
      <w:marLeft w:val="0"/>
      <w:marRight w:val="0"/>
      <w:marTop w:val="0"/>
      <w:marBottom w:val="0"/>
      <w:divBdr>
        <w:top w:val="none" w:sz="0" w:space="0" w:color="auto"/>
        <w:left w:val="none" w:sz="0" w:space="0" w:color="auto"/>
        <w:bottom w:val="none" w:sz="0" w:space="0" w:color="auto"/>
        <w:right w:val="none" w:sz="0" w:space="0" w:color="auto"/>
      </w:divBdr>
    </w:div>
    <w:div w:id="1528830111">
      <w:bodyDiv w:val="1"/>
      <w:marLeft w:val="0"/>
      <w:marRight w:val="0"/>
      <w:marTop w:val="0"/>
      <w:marBottom w:val="0"/>
      <w:divBdr>
        <w:top w:val="none" w:sz="0" w:space="0" w:color="auto"/>
        <w:left w:val="none" w:sz="0" w:space="0" w:color="auto"/>
        <w:bottom w:val="none" w:sz="0" w:space="0" w:color="auto"/>
        <w:right w:val="none" w:sz="0" w:space="0" w:color="auto"/>
      </w:divBdr>
    </w:div>
    <w:div w:id="1550338646">
      <w:bodyDiv w:val="1"/>
      <w:marLeft w:val="0"/>
      <w:marRight w:val="0"/>
      <w:marTop w:val="0"/>
      <w:marBottom w:val="0"/>
      <w:divBdr>
        <w:top w:val="none" w:sz="0" w:space="0" w:color="auto"/>
        <w:left w:val="none" w:sz="0" w:space="0" w:color="auto"/>
        <w:bottom w:val="none" w:sz="0" w:space="0" w:color="auto"/>
        <w:right w:val="none" w:sz="0" w:space="0" w:color="auto"/>
      </w:divBdr>
    </w:div>
    <w:div w:id="1583681113">
      <w:bodyDiv w:val="1"/>
      <w:marLeft w:val="0"/>
      <w:marRight w:val="0"/>
      <w:marTop w:val="0"/>
      <w:marBottom w:val="0"/>
      <w:divBdr>
        <w:top w:val="none" w:sz="0" w:space="0" w:color="auto"/>
        <w:left w:val="none" w:sz="0" w:space="0" w:color="auto"/>
        <w:bottom w:val="none" w:sz="0" w:space="0" w:color="auto"/>
        <w:right w:val="none" w:sz="0" w:space="0" w:color="auto"/>
      </w:divBdr>
    </w:div>
    <w:div w:id="1587688585">
      <w:bodyDiv w:val="1"/>
      <w:marLeft w:val="0"/>
      <w:marRight w:val="0"/>
      <w:marTop w:val="0"/>
      <w:marBottom w:val="0"/>
      <w:divBdr>
        <w:top w:val="none" w:sz="0" w:space="0" w:color="auto"/>
        <w:left w:val="none" w:sz="0" w:space="0" w:color="auto"/>
        <w:bottom w:val="none" w:sz="0" w:space="0" w:color="auto"/>
        <w:right w:val="none" w:sz="0" w:space="0" w:color="auto"/>
      </w:divBdr>
    </w:div>
    <w:div w:id="1588466594">
      <w:bodyDiv w:val="1"/>
      <w:marLeft w:val="0"/>
      <w:marRight w:val="0"/>
      <w:marTop w:val="0"/>
      <w:marBottom w:val="0"/>
      <w:divBdr>
        <w:top w:val="none" w:sz="0" w:space="0" w:color="auto"/>
        <w:left w:val="none" w:sz="0" w:space="0" w:color="auto"/>
        <w:bottom w:val="none" w:sz="0" w:space="0" w:color="auto"/>
        <w:right w:val="none" w:sz="0" w:space="0" w:color="auto"/>
      </w:divBdr>
    </w:div>
    <w:div w:id="1592547050">
      <w:bodyDiv w:val="1"/>
      <w:marLeft w:val="0"/>
      <w:marRight w:val="0"/>
      <w:marTop w:val="0"/>
      <w:marBottom w:val="0"/>
      <w:divBdr>
        <w:top w:val="none" w:sz="0" w:space="0" w:color="auto"/>
        <w:left w:val="none" w:sz="0" w:space="0" w:color="auto"/>
        <w:bottom w:val="none" w:sz="0" w:space="0" w:color="auto"/>
        <w:right w:val="none" w:sz="0" w:space="0" w:color="auto"/>
      </w:divBdr>
    </w:div>
    <w:div w:id="1600869695">
      <w:bodyDiv w:val="1"/>
      <w:marLeft w:val="0"/>
      <w:marRight w:val="0"/>
      <w:marTop w:val="0"/>
      <w:marBottom w:val="0"/>
      <w:divBdr>
        <w:top w:val="none" w:sz="0" w:space="0" w:color="auto"/>
        <w:left w:val="none" w:sz="0" w:space="0" w:color="auto"/>
        <w:bottom w:val="none" w:sz="0" w:space="0" w:color="auto"/>
        <w:right w:val="none" w:sz="0" w:space="0" w:color="auto"/>
      </w:divBdr>
    </w:div>
    <w:div w:id="1603612257">
      <w:bodyDiv w:val="1"/>
      <w:marLeft w:val="0"/>
      <w:marRight w:val="0"/>
      <w:marTop w:val="0"/>
      <w:marBottom w:val="0"/>
      <w:divBdr>
        <w:top w:val="none" w:sz="0" w:space="0" w:color="auto"/>
        <w:left w:val="none" w:sz="0" w:space="0" w:color="auto"/>
        <w:bottom w:val="none" w:sz="0" w:space="0" w:color="auto"/>
        <w:right w:val="none" w:sz="0" w:space="0" w:color="auto"/>
      </w:divBdr>
    </w:div>
    <w:div w:id="1616673461">
      <w:bodyDiv w:val="1"/>
      <w:marLeft w:val="0"/>
      <w:marRight w:val="0"/>
      <w:marTop w:val="0"/>
      <w:marBottom w:val="0"/>
      <w:divBdr>
        <w:top w:val="none" w:sz="0" w:space="0" w:color="auto"/>
        <w:left w:val="none" w:sz="0" w:space="0" w:color="auto"/>
        <w:bottom w:val="none" w:sz="0" w:space="0" w:color="auto"/>
        <w:right w:val="none" w:sz="0" w:space="0" w:color="auto"/>
      </w:divBdr>
    </w:div>
    <w:div w:id="1664970698">
      <w:bodyDiv w:val="1"/>
      <w:marLeft w:val="0"/>
      <w:marRight w:val="0"/>
      <w:marTop w:val="0"/>
      <w:marBottom w:val="0"/>
      <w:divBdr>
        <w:top w:val="none" w:sz="0" w:space="0" w:color="auto"/>
        <w:left w:val="none" w:sz="0" w:space="0" w:color="auto"/>
        <w:bottom w:val="none" w:sz="0" w:space="0" w:color="auto"/>
        <w:right w:val="none" w:sz="0" w:space="0" w:color="auto"/>
      </w:divBdr>
    </w:div>
    <w:div w:id="1704751030">
      <w:bodyDiv w:val="1"/>
      <w:marLeft w:val="0"/>
      <w:marRight w:val="0"/>
      <w:marTop w:val="0"/>
      <w:marBottom w:val="0"/>
      <w:divBdr>
        <w:top w:val="none" w:sz="0" w:space="0" w:color="auto"/>
        <w:left w:val="none" w:sz="0" w:space="0" w:color="auto"/>
        <w:bottom w:val="none" w:sz="0" w:space="0" w:color="auto"/>
        <w:right w:val="none" w:sz="0" w:space="0" w:color="auto"/>
      </w:divBdr>
    </w:div>
    <w:div w:id="1714427080">
      <w:bodyDiv w:val="1"/>
      <w:marLeft w:val="0"/>
      <w:marRight w:val="0"/>
      <w:marTop w:val="0"/>
      <w:marBottom w:val="0"/>
      <w:divBdr>
        <w:top w:val="none" w:sz="0" w:space="0" w:color="auto"/>
        <w:left w:val="none" w:sz="0" w:space="0" w:color="auto"/>
        <w:bottom w:val="none" w:sz="0" w:space="0" w:color="auto"/>
        <w:right w:val="none" w:sz="0" w:space="0" w:color="auto"/>
      </w:divBdr>
    </w:div>
    <w:div w:id="172008252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8799694">
      <w:bodyDiv w:val="1"/>
      <w:marLeft w:val="0"/>
      <w:marRight w:val="0"/>
      <w:marTop w:val="0"/>
      <w:marBottom w:val="0"/>
      <w:divBdr>
        <w:top w:val="none" w:sz="0" w:space="0" w:color="auto"/>
        <w:left w:val="none" w:sz="0" w:space="0" w:color="auto"/>
        <w:bottom w:val="none" w:sz="0" w:space="0" w:color="auto"/>
        <w:right w:val="none" w:sz="0" w:space="0" w:color="auto"/>
      </w:divBdr>
    </w:div>
    <w:div w:id="1736466070">
      <w:bodyDiv w:val="1"/>
      <w:marLeft w:val="0"/>
      <w:marRight w:val="0"/>
      <w:marTop w:val="0"/>
      <w:marBottom w:val="0"/>
      <w:divBdr>
        <w:top w:val="none" w:sz="0" w:space="0" w:color="auto"/>
        <w:left w:val="none" w:sz="0" w:space="0" w:color="auto"/>
        <w:bottom w:val="none" w:sz="0" w:space="0" w:color="auto"/>
        <w:right w:val="none" w:sz="0" w:space="0" w:color="auto"/>
      </w:divBdr>
    </w:div>
    <w:div w:id="1753429053">
      <w:bodyDiv w:val="1"/>
      <w:marLeft w:val="0"/>
      <w:marRight w:val="0"/>
      <w:marTop w:val="0"/>
      <w:marBottom w:val="0"/>
      <w:divBdr>
        <w:top w:val="none" w:sz="0" w:space="0" w:color="auto"/>
        <w:left w:val="none" w:sz="0" w:space="0" w:color="auto"/>
        <w:bottom w:val="none" w:sz="0" w:space="0" w:color="auto"/>
        <w:right w:val="none" w:sz="0" w:space="0" w:color="auto"/>
      </w:divBdr>
    </w:div>
    <w:div w:id="1756659505">
      <w:bodyDiv w:val="1"/>
      <w:marLeft w:val="0"/>
      <w:marRight w:val="0"/>
      <w:marTop w:val="0"/>
      <w:marBottom w:val="0"/>
      <w:divBdr>
        <w:top w:val="none" w:sz="0" w:space="0" w:color="auto"/>
        <w:left w:val="none" w:sz="0" w:space="0" w:color="auto"/>
        <w:bottom w:val="none" w:sz="0" w:space="0" w:color="auto"/>
        <w:right w:val="none" w:sz="0" w:space="0" w:color="auto"/>
      </w:divBdr>
    </w:div>
    <w:div w:id="1760055004">
      <w:bodyDiv w:val="1"/>
      <w:marLeft w:val="0"/>
      <w:marRight w:val="0"/>
      <w:marTop w:val="0"/>
      <w:marBottom w:val="0"/>
      <w:divBdr>
        <w:top w:val="none" w:sz="0" w:space="0" w:color="auto"/>
        <w:left w:val="none" w:sz="0" w:space="0" w:color="auto"/>
        <w:bottom w:val="none" w:sz="0" w:space="0" w:color="auto"/>
        <w:right w:val="none" w:sz="0" w:space="0" w:color="auto"/>
      </w:divBdr>
    </w:div>
    <w:div w:id="1763796664">
      <w:bodyDiv w:val="1"/>
      <w:marLeft w:val="0"/>
      <w:marRight w:val="0"/>
      <w:marTop w:val="0"/>
      <w:marBottom w:val="0"/>
      <w:divBdr>
        <w:top w:val="none" w:sz="0" w:space="0" w:color="auto"/>
        <w:left w:val="none" w:sz="0" w:space="0" w:color="auto"/>
        <w:bottom w:val="none" w:sz="0" w:space="0" w:color="auto"/>
        <w:right w:val="none" w:sz="0" w:space="0" w:color="auto"/>
      </w:divBdr>
    </w:div>
    <w:div w:id="1778402839">
      <w:bodyDiv w:val="1"/>
      <w:marLeft w:val="0"/>
      <w:marRight w:val="0"/>
      <w:marTop w:val="0"/>
      <w:marBottom w:val="0"/>
      <w:divBdr>
        <w:top w:val="none" w:sz="0" w:space="0" w:color="auto"/>
        <w:left w:val="none" w:sz="0" w:space="0" w:color="auto"/>
        <w:bottom w:val="none" w:sz="0" w:space="0" w:color="auto"/>
        <w:right w:val="none" w:sz="0" w:space="0" w:color="auto"/>
      </w:divBdr>
    </w:div>
    <w:div w:id="1805199015">
      <w:bodyDiv w:val="1"/>
      <w:marLeft w:val="0"/>
      <w:marRight w:val="0"/>
      <w:marTop w:val="0"/>
      <w:marBottom w:val="0"/>
      <w:divBdr>
        <w:top w:val="none" w:sz="0" w:space="0" w:color="auto"/>
        <w:left w:val="none" w:sz="0" w:space="0" w:color="auto"/>
        <w:bottom w:val="none" w:sz="0" w:space="0" w:color="auto"/>
        <w:right w:val="none" w:sz="0" w:space="0" w:color="auto"/>
      </w:divBdr>
    </w:div>
    <w:div w:id="1808207437">
      <w:bodyDiv w:val="1"/>
      <w:marLeft w:val="0"/>
      <w:marRight w:val="0"/>
      <w:marTop w:val="0"/>
      <w:marBottom w:val="0"/>
      <w:divBdr>
        <w:top w:val="none" w:sz="0" w:space="0" w:color="auto"/>
        <w:left w:val="none" w:sz="0" w:space="0" w:color="auto"/>
        <w:bottom w:val="none" w:sz="0" w:space="0" w:color="auto"/>
        <w:right w:val="none" w:sz="0" w:space="0" w:color="auto"/>
      </w:divBdr>
    </w:div>
    <w:div w:id="1817455865">
      <w:bodyDiv w:val="1"/>
      <w:marLeft w:val="0"/>
      <w:marRight w:val="0"/>
      <w:marTop w:val="0"/>
      <w:marBottom w:val="0"/>
      <w:divBdr>
        <w:top w:val="none" w:sz="0" w:space="0" w:color="auto"/>
        <w:left w:val="none" w:sz="0" w:space="0" w:color="auto"/>
        <w:bottom w:val="none" w:sz="0" w:space="0" w:color="auto"/>
        <w:right w:val="none" w:sz="0" w:space="0" w:color="auto"/>
      </w:divBdr>
    </w:div>
    <w:div w:id="1819422041">
      <w:bodyDiv w:val="1"/>
      <w:marLeft w:val="0"/>
      <w:marRight w:val="0"/>
      <w:marTop w:val="0"/>
      <w:marBottom w:val="0"/>
      <w:divBdr>
        <w:top w:val="none" w:sz="0" w:space="0" w:color="auto"/>
        <w:left w:val="none" w:sz="0" w:space="0" w:color="auto"/>
        <w:bottom w:val="none" w:sz="0" w:space="0" w:color="auto"/>
        <w:right w:val="none" w:sz="0" w:space="0" w:color="auto"/>
      </w:divBdr>
    </w:div>
    <w:div w:id="1825273524">
      <w:bodyDiv w:val="1"/>
      <w:marLeft w:val="0"/>
      <w:marRight w:val="0"/>
      <w:marTop w:val="0"/>
      <w:marBottom w:val="0"/>
      <w:divBdr>
        <w:top w:val="none" w:sz="0" w:space="0" w:color="auto"/>
        <w:left w:val="none" w:sz="0" w:space="0" w:color="auto"/>
        <w:bottom w:val="none" w:sz="0" w:space="0" w:color="auto"/>
        <w:right w:val="none" w:sz="0" w:space="0" w:color="auto"/>
      </w:divBdr>
    </w:div>
    <w:div w:id="1845975364">
      <w:bodyDiv w:val="1"/>
      <w:marLeft w:val="0"/>
      <w:marRight w:val="0"/>
      <w:marTop w:val="0"/>
      <w:marBottom w:val="0"/>
      <w:divBdr>
        <w:top w:val="none" w:sz="0" w:space="0" w:color="auto"/>
        <w:left w:val="none" w:sz="0" w:space="0" w:color="auto"/>
        <w:bottom w:val="none" w:sz="0" w:space="0" w:color="auto"/>
        <w:right w:val="none" w:sz="0" w:space="0" w:color="auto"/>
      </w:divBdr>
    </w:div>
    <w:div w:id="1863739042">
      <w:bodyDiv w:val="1"/>
      <w:marLeft w:val="0"/>
      <w:marRight w:val="0"/>
      <w:marTop w:val="0"/>
      <w:marBottom w:val="0"/>
      <w:divBdr>
        <w:top w:val="none" w:sz="0" w:space="0" w:color="auto"/>
        <w:left w:val="none" w:sz="0" w:space="0" w:color="auto"/>
        <w:bottom w:val="none" w:sz="0" w:space="0" w:color="auto"/>
        <w:right w:val="none" w:sz="0" w:space="0" w:color="auto"/>
      </w:divBdr>
    </w:div>
    <w:div w:id="1867326865">
      <w:bodyDiv w:val="1"/>
      <w:marLeft w:val="0"/>
      <w:marRight w:val="0"/>
      <w:marTop w:val="0"/>
      <w:marBottom w:val="0"/>
      <w:divBdr>
        <w:top w:val="none" w:sz="0" w:space="0" w:color="auto"/>
        <w:left w:val="none" w:sz="0" w:space="0" w:color="auto"/>
        <w:bottom w:val="none" w:sz="0" w:space="0" w:color="auto"/>
        <w:right w:val="none" w:sz="0" w:space="0" w:color="auto"/>
      </w:divBdr>
    </w:div>
    <w:div w:id="1885680674">
      <w:bodyDiv w:val="1"/>
      <w:marLeft w:val="0"/>
      <w:marRight w:val="0"/>
      <w:marTop w:val="0"/>
      <w:marBottom w:val="0"/>
      <w:divBdr>
        <w:top w:val="none" w:sz="0" w:space="0" w:color="auto"/>
        <w:left w:val="none" w:sz="0" w:space="0" w:color="auto"/>
        <w:bottom w:val="none" w:sz="0" w:space="0" w:color="auto"/>
        <w:right w:val="none" w:sz="0" w:space="0" w:color="auto"/>
      </w:divBdr>
    </w:div>
    <w:div w:id="1903246606">
      <w:bodyDiv w:val="1"/>
      <w:marLeft w:val="0"/>
      <w:marRight w:val="0"/>
      <w:marTop w:val="0"/>
      <w:marBottom w:val="0"/>
      <w:divBdr>
        <w:top w:val="none" w:sz="0" w:space="0" w:color="auto"/>
        <w:left w:val="none" w:sz="0" w:space="0" w:color="auto"/>
        <w:bottom w:val="none" w:sz="0" w:space="0" w:color="auto"/>
        <w:right w:val="none" w:sz="0" w:space="0" w:color="auto"/>
      </w:divBdr>
    </w:div>
    <w:div w:id="1907106208">
      <w:bodyDiv w:val="1"/>
      <w:marLeft w:val="0"/>
      <w:marRight w:val="0"/>
      <w:marTop w:val="0"/>
      <w:marBottom w:val="0"/>
      <w:divBdr>
        <w:top w:val="none" w:sz="0" w:space="0" w:color="auto"/>
        <w:left w:val="none" w:sz="0" w:space="0" w:color="auto"/>
        <w:bottom w:val="none" w:sz="0" w:space="0" w:color="auto"/>
        <w:right w:val="none" w:sz="0" w:space="0" w:color="auto"/>
      </w:divBdr>
    </w:div>
    <w:div w:id="1909338455">
      <w:bodyDiv w:val="1"/>
      <w:marLeft w:val="0"/>
      <w:marRight w:val="0"/>
      <w:marTop w:val="0"/>
      <w:marBottom w:val="0"/>
      <w:divBdr>
        <w:top w:val="none" w:sz="0" w:space="0" w:color="auto"/>
        <w:left w:val="none" w:sz="0" w:space="0" w:color="auto"/>
        <w:bottom w:val="none" w:sz="0" w:space="0" w:color="auto"/>
        <w:right w:val="none" w:sz="0" w:space="0" w:color="auto"/>
      </w:divBdr>
    </w:div>
    <w:div w:id="1910995497">
      <w:bodyDiv w:val="1"/>
      <w:marLeft w:val="0"/>
      <w:marRight w:val="0"/>
      <w:marTop w:val="0"/>
      <w:marBottom w:val="0"/>
      <w:divBdr>
        <w:top w:val="none" w:sz="0" w:space="0" w:color="auto"/>
        <w:left w:val="none" w:sz="0" w:space="0" w:color="auto"/>
        <w:bottom w:val="none" w:sz="0" w:space="0" w:color="auto"/>
        <w:right w:val="none" w:sz="0" w:space="0" w:color="auto"/>
      </w:divBdr>
    </w:div>
    <w:div w:id="1912425720">
      <w:bodyDiv w:val="1"/>
      <w:marLeft w:val="0"/>
      <w:marRight w:val="0"/>
      <w:marTop w:val="0"/>
      <w:marBottom w:val="0"/>
      <w:divBdr>
        <w:top w:val="none" w:sz="0" w:space="0" w:color="auto"/>
        <w:left w:val="none" w:sz="0" w:space="0" w:color="auto"/>
        <w:bottom w:val="none" w:sz="0" w:space="0" w:color="auto"/>
        <w:right w:val="none" w:sz="0" w:space="0" w:color="auto"/>
      </w:divBdr>
    </w:div>
    <w:div w:id="1915314397">
      <w:bodyDiv w:val="1"/>
      <w:marLeft w:val="0"/>
      <w:marRight w:val="0"/>
      <w:marTop w:val="0"/>
      <w:marBottom w:val="0"/>
      <w:divBdr>
        <w:top w:val="none" w:sz="0" w:space="0" w:color="auto"/>
        <w:left w:val="none" w:sz="0" w:space="0" w:color="auto"/>
        <w:bottom w:val="none" w:sz="0" w:space="0" w:color="auto"/>
        <w:right w:val="none" w:sz="0" w:space="0" w:color="auto"/>
      </w:divBdr>
      <w:divsChild>
        <w:div w:id="248391135">
          <w:marLeft w:val="0"/>
          <w:marRight w:val="0"/>
          <w:marTop w:val="0"/>
          <w:marBottom w:val="0"/>
          <w:divBdr>
            <w:top w:val="none" w:sz="0" w:space="0" w:color="auto"/>
            <w:left w:val="none" w:sz="0" w:space="0" w:color="auto"/>
            <w:bottom w:val="none" w:sz="0" w:space="0" w:color="auto"/>
            <w:right w:val="none" w:sz="0" w:space="0" w:color="auto"/>
          </w:divBdr>
        </w:div>
      </w:divsChild>
    </w:div>
    <w:div w:id="1926524402">
      <w:bodyDiv w:val="1"/>
      <w:marLeft w:val="0"/>
      <w:marRight w:val="0"/>
      <w:marTop w:val="0"/>
      <w:marBottom w:val="0"/>
      <w:divBdr>
        <w:top w:val="none" w:sz="0" w:space="0" w:color="auto"/>
        <w:left w:val="none" w:sz="0" w:space="0" w:color="auto"/>
        <w:bottom w:val="none" w:sz="0" w:space="0" w:color="auto"/>
        <w:right w:val="none" w:sz="0" w:space="0" w:color="auto"/>
      </w:divBdr>
    </w:div>
    <w:div w:id="1953048465">
      <w:bodyDiv w:val="1"/>
      <w:marLeft w:val="0"/>
      <w:marRight w:val="0"/>
      <w:marTop w:val="0"/>
      <w:marBottom w:val="0"/>
      <w:divBdr>
        <w:top w:val="none" w:sz="0" w:space="0" w:color="auto"/>
        <w:left w:val="none" w:sz="0" w:space="0" w:color="auto"/>
        <w:bottom w:val="none" w:sz="0" w:space="0" w:color="auto"/>
        <w:right w:val="none" w:sz="0" w:space="0" w:color="auto"/>
      </w:divBdr>
    </w:div>
    <w:div w:id="1955940471">
      <w:bodyDiv w:val="1"/>
      <w:marLeft w:val="0"/>
      <w:marRight w:val="0"/>
      <w:marTop w:val="0"/>
      <w:marBottom w:val="0"/>
      <w:divBdr>
        <w:top w:val="none" w:sz="0" w:space="0" w:color="auto"/>
        <w:left w:val="none" w:sz="0" w:space="0" w:color="auto"/>
        <w:bottom w:val="none" w:sz="0" w:space="0" w:color="auto"/>
        <w:right w:val="none" w:sz="0" w:space="0" w:color="auto"/>
      </w:divBdr>
    </w:div>
    <w:div w:id="196800803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8099101">
      <w:bodyDiv w:val="1"/>
      <w:marLeft w:val="0"/>
      <w:marRight w:val="0"/>
      <w:marTop w:val="0"/>
      <w:marBottom w:val="0"/>
      <w:divBdr>
        <w:top w:val="none" w:sz="0" w:space="0" w:color="auto"/>
        <w:left w:val="none" w:sz="0" w:space="0" w:color="auto"/>
        <w:bottom w:val="none" w:sz="0" w:space="0" w:color="auto"/>
        <w:right w:val="none" w:sz="0" w:space="0" w:color="auto"/>
      </w:divBdr>
    </w:div>
    <w:div w:id="2008288010">
      <w:bodyDiv w:val="1"/>
      <w:marLeft w:val="0"/>
      <w:marRight w:val="0"/>
      <w:marTop w:val="0"/>
      <w:marBottom w:val="0"/>
      <w:divBdr>
        <w:top w:val="none" w:sz="0" w:space="0" w:color="auto"/>
        <w:left w:val="none" w:sz="0" w:space="0" w:color="auto"/>
        <w:bottom w:val="none" w:sz="0" w:space="0" w:color="auto"/>
        <w:right w:val="none" w:sz="0" w:space="0" w:color="auto"/>
      </w:divBdr>
    </w:div>
    <w:div w:id="2012295591">
      <w:bodyDiv w:val="1"/>
      <w:marLeft w:val="0"/>
      <w:marRight w:val="0"/>
      <w:marTop w:val="0"/>
      <w:marBottom w:val="0"/>
      <w:divBdr>
        <w:top w:val="none" w:sz="0" w:space="0" w:color="auto"/>
        <w:left w:val="none" w:sz="0" w:space="0" w:color="auto"/>
        <w:bottom w:val="none" w:sz="0" w:space="0" w:color="auto"/>
        <w:right w:val="none" w:sz="0" w:space="0" w:color="auto"/>
      </w:divBdr>
    </w:div>
    <w:div w:id="2052806343">
      <w:bodyDiv w:val="1"/>
      <w:marLeft w:val="0"/>
      <w:marRight w:val="0"/>
      <w:marTop w:val="0"/>
      <w:marBottom w:val="0"/>
      <w:divBdr>
        <w:top w:val="none" w:sz="0" w:space="0" w:color="auto"/>
        <w:left w:val="none" w:sz="0" w:space="0" w:color="auto"/>
        <w:bottom w:val="none" w:sz="0" w:space="0" w:color="auto"/>
        <w:right w:val="none" w:sz="0" w:space="0" w:color="auto"/>
      </w:divBdr>
    </w:div>
    <w:div w:id="2070957620">
      <w:bodyDiv w:val="1"/>
      <w:marLeft w:val="0"/>
      <w:marRight w:val="0"/>
      <w:marTop w:val="0"/>
      <w:marBottom w:val="0"/>
      <w:divBdr>
        <w:top w:val="none" w:sz="0" w:space="0" w:color="auto"/>
        <w:left w:val="none" w:sz="0" w:space="0" w:color="auto"/>
        <w:bottom w:val="none" w:sz="0" w:space="0" w:color="auto"/>
        <w:right w:val="none" w:sz="0" w:space="0" w:color="auto"/>
      </w:divBdr>
    </w:div>
    <w:div w:id="2113236040">
      <w:bodyDiv w:val="1"/>
      <w:marLeft w:val="0"/>
      <w:marRight w:val="0"/>
      <w:marTop w:val="0"/>
      <w:marBottom w:val="0"/>
      <w:divBdr>
        <w:top w:val="none" w:sz="0" w:space="0" w:color="auto"/>
        <w:left w:val="none" w:sz="0" w:space="0" w:color="auto"/>
        <w:bottom w:val="none" w:sz="0" w:space="0" w:color="auto"/>
        <w:right w:val="none" w:sz="0" w:space="0" w:color="auto"/>
      </w:divBdr>
    </w:div>
    <w:div w:id="2118210053">
      <w:bodyDiv w:val="1"/>
      <w:marLeft w:val="0"/>
      <w:marRight w:val="0"/>
      <w:marTop w:val="0"/>
      <w:marBottom w:val="0"/>
      <w:divBdr>
        <w:top w:val="none" w:sz="0" w:space="0" w:color="auto"/>
        <w:left w:val="none" w:sz="0" w:space="0" w:color="auto"/>
        <w:bottom w:val="none" w:sz="0" w:space="0" w:color="auto"/>
        <w:right w:val="none" w:sz="0" w:space="0" w:color="auto"/>
      </w:divBdr>
    </w:div>
    <w:div w:id="21461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atos.gob.mx/busca/dataset/beneficiarios-de-proteccion-social-en-salud-de-seguro-popular" TargetMode="External"/><Relationship Id="rId26" Type="http://schemas.openxmlformats.org/officeDocument/2006/relationships/hyperlink" Target="https://doi.org/10.1093/infdis/jiv177" TargetMode="External"/><Relationship Id="rId21" Type="http://schemas.openxmlformats.org/officeDocument/2006/relationships/hyperlink" Target="https://doi.org/10.1093/cid/cis574" TargetMode="External"/><Relationship Id="rId34" Type="http://schemas.openxmlformats.org/officeDocument/2006/relationships/hyperlink" Target="https://doi.org/10.2807/1560-7917.ES.2018.23.5.1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ssste.gob.mx/datosabiertos/anuarios/anuarios2018.html" TargetMode="External"/><Relationship Id="rId25" Type="http://schemas.openxmlformats.org/officeDocument/2006/relationships/hyperlink" Target="https://doi.org/10.1093/infdis/jiu647" TargetMode="External"/><Relationship Id="rId33" Type="http://schemas.openxmlformats.org/officeDocument/2006/relationships/hyperlink" Target="https://doi.org/10.1111/irv.12520" TargetMode="External"/><Relationship Id="rId2" Type="http://schemas.openxmlformats.org/officeDocument/2006/relationships/numbering" Target="numbering.xml"/><Relationship Id="rId16" Type="http://schemas.openxmlformats.org/officeDocument/2006/relationships/hyperlink" Target="http://www.imss.gob.mx/conoce-al-imss/memoria-estadistica-2018" TargetMode="External"/><Relationship Id="rId20" Type="http://schemas.openxmlformats.org/officeDocument/2006/relationships/hyperlink" Target="https://doi.org/10.1371/journal.pone.0023085" TargetMode="External"/><Relationship Id="rId29" Type="http://schemas.openxmlformats.org/officeDocument/2006/relationships/hyperlink" Target="https://doi.org/10.2807/1560-7917.ES.2016.21.7.30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080/21645515.2015.1126013" TargetMode="External"/><Relationship Id="rId32" Type="http://schemas.openxmlformats.org/officeDocument/2006/relationships/hyperlink" Target="https://doi.org/10.2807/1560-7917.ES.2016.21.11.3016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1093/infdis/jiu048" TargetMode="External"/><Relationship Id="rId28" Type="http://schemas.openxmlformats.org/officeDocument/2006/relationships/hyperlink" Target="https://doi.org/10.1093/cid/ciw635"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1.xml"/><Relationship Id="rId31" Type="http://schemas.openxmlformats.org/officeDocument/2006/relationships/hyperlink" Target="https://doi.org/10.1056/NEJMoa1700153" TargetMode="External"/><Relationship Id="rId4" Type="http://schemas.openxmlformats.org/officeDocument/2006/relationships/settings" Target="settings.xml"/><Relationship Id="rId9" Type="http://schemas.openxmlformats.org/officeDocument/2006/relationships/hyperlink" Target="https://datos.gob.mx/busca/dataset/proyecciones-de-la-poblacion-de-mexico-y-de-las-entidades-federativas-2016-2050" TargetMode="External"/><Relationship Id="rId14" Type="http://schemas.openxmlformats.org/officeDocument/2006/relationships/footer" Target="footer2.xml"/><Relationship Id="rId22" Type="http://schemas.openxmlformats.org/officeDocument/2006/relationships/hyperlink" Target="https://doi.org/10.1093/cid/cit736" TargetMode="External"/><Relationship Id="rId27" Type="http://schemas.openxmlformats.org/officeDocument/2006/relationships/hyperlink" Target="https://doi.org/10.1093/infdis/jiv577" TargetMode="External"/><Relationship Id="rId30" Type="http://schemas.openxmlformats.org/officeDocument/2006/relationships/hyperlink" Target="https://doi.org/10.1186/s12889-016-3378-1" TargetMode="External"/><Relationship Id="rId35" Type="http://schemas.openxmlformats.org/officeDocument/2006/relationships/hyperlink" Target="https://doi.org/10.15585/mmwr.mm6806a2" TargetMode="External"/><Relationship Id="rId8" Type="http://schemas.openxmlformats.org/officeDocument/2006/relationships/hyperlink" Target="https://www.who.int/immunization/monitoring_surveillance/burden/vpd/surveillance_type/sentinel/e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dof.gob.mx/nota_detalle.php?codigo=5509604&amp;fecha=28/12/2017" TargetMode="External"/><Relationship Id="rId2" Type="http://schemas.openxmlformats.org/officeDocument/2006/relationships/hyperlink" Target="http://www.issste.gob.mx/images/downloads/instituto/administracion/paaas_2019.pdf" TargetMode="External"/><Relationship Id="rId1" Type="http://schemas.openxmlformats.org/officeDocument/2006/relationships/hyperlink" Target="https://www.farmaciasanpablo.com.mx/medicamentos/genericos/a---b---c---d/clorhidrato-de-amantadina-50-mg-clorfenamina-3-mg-paracetamol-300-mg/p/000000000060160010" TargetMode="External"/><Relationship Id="rId5" Type="http://schemas.openxmlformats.org/officeDocument/2006/relationships/hyperlink" Target="http://compras.imss.gob.mx/?P=imsscomprofich&amp;f=22409744&amp;pr=" TargetMode="External"/><Relationship Id="rId4" Type="http://schemas.openxmlformats.org/officeDocument/2006/relationships/hyperlink" Target="http://compras.imss.gob.mx/?P=imsscomprofich&amp;f=22409921&amp;p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rge%20Falc&#243;n%20Lezama\Documents\2.-%20SMSP\PROYECTO%20FLU\Carga%20de%20enfermedad%20CDC%20en%20Mexixco%20(Recuperad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66884052935301"/>
          <c:y val="3.89683938109135E-2"/>
          <c:w val="0.72440606329504098"/>
          <c:h val="0.74971339683938099"/>
        </c:manualLayout>
      </c:layout>
      <c:lineChart>
        <c:grouping val="standard"/>
        <c:varyColors val="0"/>
        <c:ser>
          <c:idx val="0"/>
          <c:order val="0"/>
          <c:tx>
            <c:strRef>
              <c:f>Escolar!$W$752</c:f>
              <c:strCache>
                <c:ptCount val="1"/>
                <c:pt idx="0">
                  <c:v>Población 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Escolar!$V$753:$V$773</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Escolar!$W$753:$W$773</c:f>
              <c:numCache>
                <c:formatCode>#,##0</c:formatCode>
                <c:ptCount val="21"/>
                <c:pt idx="0">
                  <c:v>112942136</c:v>
                </c:pt>
                <c:pt idx="1">
                  <c:v>114551762</c:v>
                </c:pt>
                <c:pt idx="2">
                  <c:v>116179714</c:v>
                </c:pt>
                <c:pt idx="3">
                  <c:v>117688241</c:v>
                </c:pt>
                <c:pt idx="4">
                  <c:v>119216240</c:v>
                </c:pt>
                <c:pt idx="5">
                  <c:v>120653293</c:v>
                </c:pt>
                <c:pt idx="6">
                  <c:v>122038924</c:v>
                </c:pt>
                <c:pt idx="7">
                  <c:v>123388002</c:v>
                </c:pt>
                <c:pt idx="8">
                  <c:v>124692044</c:v>
                </c:pt>
                <c:pt idx="9">
                  <c:v>125960168</c:v>
                </c:pt>
                <c:pt idx="10">
                  <c:v>127191826</c:v>
                </c:pt>
                <c:pt idx="11">
                  <c:v>128389290</c:v>
                </c:pt>
                <c:pt idx="12">
                  <c:v>129552175</c:v>
                </c:pt>
                <c:pt idx="13">
                  <c:v>130681134</c:v>
                </c:pt>
                <c:pt idx="14">
                  <c:v>131776009</c:v>
                </c:pt>
                <c:pt idx="15">
                  <c:v>132837064</c:v>
                </c:pt>
                <c:pt idx="16">
                  <c:v>133864329</c:v>
                </c:pt>
                <c:pt idx="17">
                  <c:v>134858083</c:v>
                </c:pt>
                <c:pt idx="18">
                  <c:v>135818443</c:v>
                </c:pt>
                <c:pt idx="19">
                  <c:v>136745387</c:v>
                </c:pt>
                <c:pt idx="20">
                  <c:v>137638754</c:v>
                </c:pt>
              </c:numCache>
            </c:numRef>
          </c:val>
          <c:smooth val="0"/>
          <c:extLst>
            <c:ext xmlns:c16="http://schemas.microsoft.com/office/drawing/2014/chart" uri="{C3380CC4-5D6E-409C-BE32-E72D297353CC}">
              <c16:uniqueId val="{00000000-8D28-4AF7-BC50-AAA9FEBD0A27}"/>
            </c:ext>
          </c:extLst>
        </c:ser>
        <c:dLbls>
          <c:showLegendKey val="0"/>
          <c:showVal val="0"/>
          <c:showCatName val="0"/>
          <c:showSerName val="0"/>
          <c:showPercent val="0"/>
          <c:showBubbleSize val="0"/>
        </c:dLbls>
        <c:marker val="1"/>
        <c:smooth val="0"/>
        <c:axId val="147351040"/>
        <c:axId val="147357696"/>
        <c:extLst>
          <c:ext xmlns:c15="http://schemas.microsoft.com/office/drawing/2012/chart" uri="{02D57815-91ED-43cb-92C2-25804820EDAC}">
            <c15:filteredLineSeries>
              <c15:ser>
                <c:idx val="1"/>
                <c:order val="1"/>
                <c:tx>
                  <c:strRef>
                    <c:extLst>
                      <c:ext uri="{02D57815-91ED-43cb-92C2-25804820EDAC}">
                        <c15:formulaRef>
                          <c15:sqref>Escolar!$X$752</c15:sqref>
                        </c15:formulaRef>
                      </c:ext>
                    </c:extLst>
                    <c:strCache>
                      <c:ptCount val="1"/>
                      <c:pt idx="0">
                        <c:v>Poblacion escolar</c:v>
                      </c:pt>
                    </c:strCache>
                  </c:strRef>
                </c:tx>
                <c:spPr>
                  <a:ln w="28575" cap="rnd">
                    <a:solidFill>
                      <a:schemeClr val="accent2"/>
                    </a:solidFill>
                    <a:round/>
                  </a:ln>
                  <a:effectLst/>
                </c:spPr>
                <c:marker>
                  <c:symbol val="none"/>
                </c:marker>
                <c:cat>
                  <c:numRef>
                    <c:extLst>
                      <c:ext uri="{02D57815-91ED-43cb-92C2-25804820EDAC}">
                        <c15:formulaRef>
                          <c15:sqref>Escolar!$V$753:$V$773</c15:sqref>
                        </c15:formulaRef>
                      </c:ext>
                    </c:extLst>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extLst>
                      <c:ext uri="{02D57815-91ED-43cb-92C2-25804820EDAC}">
                        <c15:formulaRef>
                          <c15:sqref>Escolar!$X$753:$X$773</c15:sqref>
                        </c15:formulaRef>
                      </c:ext>
                    </c:extLst>
                    <c:numCache>
                      <c:formatCode>#,##0</c:formatCode>
                      <c:ptCount val="21"/>
                      <c:pt idx="0">
                        <c:v>15695976</c:v>
                      </c:pt>
                      <c:pt idx="1">
                        <c:v>15712239</c:v>
                      </c:pt>
                      <c:pt idx="2">
                        <c:v>15722424</c:v>
                      </c:pt>
                      <c:pt idx="3">
                        <c:v>15718144</c:v>
                      </c:pt>
                      <c:pt idx="4">
                        <c:v>15706950</c:v>
                      </c:pt>
                      <c:pt idx="5">
                        <c:v>15683172</c:v>
                      </c:pt>
                      <c:pt idx="6">
                        <c:v>15648629</c:v>
                      </c:pt>
                      <c:pt idx="7">
                        <c:v>15605959</c:v>
                      </c:pt>
                      <c:pt idx="8">
                        <c:v>15565471</c:v>
                      </c:pt>
                      <c:pt idx="9">
                        <c:v>15528163</c:v>
                      </c:pt>
                      <c:pt idx="10">
                        <c:v>15491483</c:v>
                      </c:pt>
                      <c:pt idx="11">
                        <c:v>15448312</c:v>
                      </c:pt>
                      <c:pt idx="12">
                        <c:v>15399806</c:v>
                      </c:pt>
                      <c:pt idx="13">
                        <c:v>15340100</c:v>
                      </c:pt>
                      <c:pt idx="14">
                        <c:v>15268453</c:v>
                      </c:pt>
                      <c:pt idx="15">
                        <c:v>15183739</c:v>
                      </c:pt>
                      <c:pt idx="16">
                        <c:v>15087839</c:v>
                      </c:pt>
                      <c:pt idx="17">
                        <c:v>14981473</c:v>
                      </c:pt>
                      <c:pt idx="18">
                        <c:v>14870499</c:v>
                      </c:pt>
                      <c:pt idx="19">
                        <c:v>14755972</c:v>
                      </c:pt>
                      <c:pt idx="20">
                        <c:v>14642880</c:v>
                      </c:pt>
                    </c:numCache>
                  </c:numRef>
                </c:val>
                <c:smooth val="0"/>
                <c:extLst>
                  <c:ext xmlns:c16="http://schemas.microsoft.com/office/drawing/2014/chart" uri="{C3380CC4-5D6E-409C-BE32-E72D297353CC}">
                    <c16:uniqueId val="{00000002-8D28-4AF7-BC50-AAA9FEBD0A27}"/>
                  </c:ext>
                </c:extLst>
              </c15:ser>
            </c15:filteredLineSeries>
          </c:ext>
        </c:extLst>
      </c:lineChart>
      <c:lineChart>
        <c:grouping val="standard"/>
        <c:varyColors val="0"/>
        <c:ser>
          <c:idx val="2"/>
          <c:order val="2"/>
          <c:tx>
            <c:strRef>
              <c:f>Escolar!$Y$752</c:f>
              <c:strCache>
                <c:ptCount val="1"/>
                <c:pt idx="0">
                  <c:v>% en edad escolar</c:v>
                </c:pt>
              </c:strCache>
            </c:strRef>
          </c:tx>
          <c:spPr>
            <a:ln w="28575" cap="rnd">
              <a:solidFill>
                <a:srgbClr val="FF0000"/>
              </a:solidFill>
              <a:round/>
            </a:ln>
            <a:effectLst/>
          </c:spPr>
          <c:marker>
            <c:symbol val="triangle"/>
            <c:size val="5"/>
            <c:spPr>
              <a:solidFill>
                <a:schemeClr val="accent3"/>
              </a:solidFill>
              <a:ln w="9525">
                <a:solidFill>
                  <a:srgbClr val="FF0000"/>
                </a:solidFill>
              </a:ln>
              <a:effectLst/>
            </c:spPr>
          </c:marker>
          <c:cat>
            <c:numRef>
              <c:f>Escolar!$V$753:$V$773</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Escolar!$Y$753:$Y$773</c:f>
              <c:numCache>
                <c:formatCode>0.00%</c:formatCode>
                <c:ptCount val="21"/>
                <c:pt idx="0">
                  <c:v>0.13897360680339901</c:v>
                </c:pt>
                <c:pt idx="1">
                  <c:v>0.13716278759640599</c:v>
                </c:pt>
                <c:pt idx="2">
                  <c:v>0.135328479118136</c:v>
                </c:pt>
                <c:pt idx="3">
                  <c:v>0.13355747240711999</c:v>
                </c:pt>
                <c:pt idx="4">
                  <c:v>0.131751764692461</c:v>
                </c:pt>
                <c:pt idx="5">
                  <c:v>0.12998544515482099</c:v>
                </c:pt>
                <c:pt idx="6">
                  <c:v>0.12822654024711</c:v>
                </c:pt>
                <c:pt idx="7">
                  <c:v>0.12647873980486399</c:v>
                </c:pt>
                <c:pt idx="8">
                  <c:v>0.124831308403285</c:v>
                </c:pt>
                <c:pt idx="9">
                  <c:v>0.12327836050520399</c:v>
                </c:pt>
                <c:pt idx="10">
                  <c:v>0.121796215112125</c:v>
                </c:pt>
                <c:pt idx="11">
                  <c:v>0.120323992756717</c:v>
                </c:pt>
                <c:pt idx="12">
                  <c:v>0.11886952882111</c:v>
                </c:pt>
                <c:pt idx="13">
                  <c:v>0.11738572761390299</c:v>
                </c:pt>
                <c:pt idx="14">
                  <c:v>0.1158667128855</c:v>
                </c:pt>
                <c:pt idx="15">
                  <c:v>0.11430348234736699</c:v>
                </c:pt>
                <c:pt idx="16">
                  <c:v>0.112709928871343</c:v>
                </c:pt>
                <c:pt idx="17">
                  <c:v>0.111090656686852</c:v>
                </c:pt>
                <c:pt idx="18">
                  <c:v>0.109488068568125</c:v>
                </c:pt>
                <c:pt idx="19">
                  <c:v>0.107908371344183</c:v>
                </c:pt>
                <c:pt idx="20">
                  <c:v>0.10638631616790099</c:v>
                </c:pt>
              </c:numCache>
            </c:numRef>
          </c:val>
          <c:smooth val="0"/>
          <c:extLst>
            <c:ext xmlns:c16="http://schemas.microsoft.com/office/drawing/2014/chart" uri="{C3380CC4-5D6E-409C-BE32-E72D297353CC}">
              <c16:uniqueId val="{00000001-8D28-4AF7-BC50-AAA9FEBD0A27}"/>
            </c:ext>
          </c:extLst>
        </c:ser>
        <c:dLbls>
          <c:showLegendKey val="0"/>
          <c:showVal val="0"/>
          <c:showCatName val="0"/>
          <c:showSerName val="0"/>
          <c:showPercent val="0"/>
          <c:showBubbleSize val="0"/>
        </c:dLbls>
        <c:marker val="1"/>
        <c:smooth val="0"/>
        <c:axId val="147366272"/>
        <c:axId val="147360000"/>
      </c:lineChart>
      <c:catAx>
        <c:axId val="147351040"/>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rPr>
                  <a:t>Year</a:t>
                </a:r>
              </a:p>
            </c:rich>
          </c:tx>
          <c:layout>
            <c:manualLayout>
              <c:xMode val="edge"/>
              <c:yMode val="edge"/>
              <c:x val="0.45578737484698301"/>
              <c:y val="0.9202202521887560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47357696"/>
        <c:crosses val="autoZero"/>
        <c:auto val="1"/>
        <c:lblAlgn val="ctr"/>
        <c:lblOffset val="100"/>
        <c:noMultiLvlLbl val="0"/>
      </c:catAx>
      <c:valAx>
        <c:axId val="147357696"/>
        <c:scaling>
          <c:orientation val="minMax"/>
          <c:min val="100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Total population (million)</a:t>
                </a:r>
              </a:p>
            </c:rich>
          </c:tx>
          <c:layout>
            <c:manualLayout>
              <c:xMode val="edge"/>
              <c:yMode val="edge"/>
              <c:x val="1.3577732518669399E-2"/>
              <c:y val="0.2332305489785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47351040"/>
        <c:crosses val="autoZero"/>
        <c:crossBetween val="between"/>
        <c:dispUnits>
          <c:builtInUnit val="millions"/>
        </c:dispUnits>
      </c:valAx>
      <c:valAx>
        <c:axId val="147360000"/>
        <c:scaling>
          <c:orientation val="minMax"/>
          <c:min val="0.1"/>
        </c:scaling>
        <c:delete val="0"/>
        <c:axPos val="r"/>
        <c:title>
          <c:tx>
            <c:rich>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School-aged population (%)</a:t>
                </a:r>
              </a:p>
            </c:rich>
          </c:tx>
          <c:layout>
            <c:manualLayout>
              <c:xMode val="edge"/>
              <c:yMode val="edge"/>
              <c:x val="0.95326997058158003"/>
              <c:y val="0.23062579153130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47366272"/>
        <c:crosses val="max"/>
        <c:crossBetween val="between"/>
      </c:valAx>
      <c:catAx>
        <c:axId val="147366272"/>
        <c:scaling>
          <c:orientation val="minMax"/>
        </c:scaling>
        <c:delete val="1"/>
        <c:axPos val="b"/>
        <c:numFmt formatCode="General" sourceLinked="1"/>
        <c:majorTickMark val="out"/>
        <c:minorTickMark val="none"/>
        <c:tickLblPos val="nextTo"/>
        <c:crossAx val="1473600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0.15162</cdr:x>
      <cdr:y>0.52972</cdr:y>
    </cdr:from>
    <cdr:to>
      <cdr:x>0.35302</cdr:x>
      <cdr:y>0.6049</cdr:y>
    </cdr:to>
    <cdr:sp macro="" textlink="">
      <cdr:nvSpPr>
        <cdr:cNvPr id="2" name="Cuadro de texto 1"/>
        <cdr:cNvSpPr txBox="1"/>
      </cdr:nvSpPr>
      <cdr:spPr>
        <a:xfrm xmlns:a="http://schemas.openxmlformats.org/drawingml/2006/main">
          <a:off x="850900" y="1924050"/>
          <a:ext cx="1130300" cy="273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MX" sz="1100">
              <a:latin typeface="Arial" panose="020B0604020202020204" pitchFamily="34" charset="0"/>
              <a:cs typeface="Arial" panose="020B0604020202020204" pitchFamily="34" charset="0"/>
            </a:rPr>
            <a:t>Total</a:t>
          </a:r>
          <a:r>
            <a:rPr lang="es-MX" sz="1100" baseline="0">
              <a:latin typeface="Arial" panose="020B0604020202020204" pitchFamily="34" charset="0"/>
              <a:cs typeface="Arial" panose="020B0604020202020204" pitchFamily="34" charset="0"/>
            </a:rPr>
            <a:t> population</a:t>
          </a:r>
          <a:endParaRPr lang="es-MX" sz="11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Nor89</b:Tag>
    <b:SourceType>JournalArticle</b:SourceType>
    <b:Guid>{F7ABEC17-72A1-4EC6-98F2-AFF92A5AA0F6}</b:Guid>
    <b:Title>Años de vida potencial perdidos: su utilidad en el análsis de la mortalidad en México</b:Title>
    <b:Year>1989</b:Year>
    <b:Month>Septiembre - Octubre</b:Month>
    <b:Author>
      <b:Author>
        <b:NameList>
          <b:Person>
            <b:Last>Cavazos-Ortega</b:Last>
            <b:First>N</b:First>
            <b:Middle>et al.</b:Middle>
          </b:Person>
        </b:NameList>
      </b:Author>
    </b:Author>
    <b:JournalName>Salud Pública de México</b:JournalName>
    <b:Pages>610 - 624</b:Pages>
    <b:Volume>31</b:Volume>
    <b:Issue>5</b:Issue>
    <b:YearAccessed>2019</b:YearAccessed>
    <b:MonthAccessed>Febrero</b:MonthAccessed>
    <b:DayAccessed>19</b:DayAccessed>
    <b:RefOrder>30</b:RefOrder>
  </b:Source>
  <b:Source>
    <b:Tag>Cas01</b:Tag>
    <b:SourceType>DocumentFromInternetSite</b:SourceType>
    <b:Guid>{9EC8BAE2-1C43-46A5-9442-D9F3BC926750}</b:Guid>
    <b:Title>Indicadores más utilizados para el estudio de mortalidad</b:Title>
    <b:Year>2001</b:Year>
    <b:Author>
      <b:Author>
        <b:NameList>
          <b:Person>
            <b:Last>Castañeda-Abascal I</b:Last>
            <b:First>et</b:First>
            <b:Middle>al.</b:Middle>
          </b:Person>
        </b:NameList>
      </b:Author>
    </b:Author>
    <b:URL>http://www.sld.cu/galerias/pdf/sitios/bioestadistica/indica~1.pdf</b:URL>
    <b:YearAccessed>2019</b:YearAccessed>
    <b:MonthAccessed>Abril</b:MonthAccessed>
    <b:DayAccessed>17</b:DayAccessed>
    <b:RefOrder>29</b:RefOrder>
  </b:Source>
  <b:Source>
    <b:Tag>Cen19</b:Tag>
    <b:SourceType>DocumentFromInternetSite</b:SourceType>
    <b:Guid>{79743D79-846F-417C-A583-674083B992BB}</b:Guid>
    <b:Title>Disease Burden of Influenza</b:Title>
    <b:Author>
      <b:Author>
        <b:Corporate>Centers for Disease Control and Prevention</b:Corporate>
      </b:Author>
    </b:Author>
    <b:URL>https://www.cdc.gov/flu/about/burden/index.html</b:URL>
    <b:YearAccessed>2019</b:YearAccessed>
    <b:MonthAccessed>Mayo</b:MonthAccessed>
    <b:DayAccessed>18</b:DayAccessed>
    <b:Year>2018</b:Year>
    <b:RefOrder>31</b:RefOrder>
  </b:Source>
  <b:Source>
    <b:Tag>Sko19</b:Tag>
    <b:SourceType>JournalArticle</b:SourceType>
    <b:Guid>{AD1718B6-C3E7-4BCA-8A97-C4358E711E2E}</b:Guid>
    <b:Title>Children under 10 years of age were more affected by the 2018/19 influenza A(H1N1)pdm09 epidemic in Canada: ‎possible cohort effect following the 2009 influenza pandemic.</b:Title>
    <b:Year>2019</b:Year>
    <b:Month>Abril</b:Month>
    <b:Day>24</b:Day>
    <b:Author>
      <b:Author>
        <b:NameList>
          <b:Person>
            <b:Last>Skowronski DM</b:Last>
            <b:First>Leir</b:First>
            <b:Middle>S, De Serres G, Murti M, Dickinson JA, Winter AL, Olsha R, Croxen MA, Drews SJ, Charest H, Martineau C, Sabaiduc S, Bastien N, Li Y, Petric M, Jassem A, Krajden M, Gubbay JB,.</b:Middle>
          </b:Person>
        </b:NameList>
      </b:Author>
    </b:Author>
    <b:JournalName>Euro Surveill.</b:JournalName>
    <b:Volume>15</b:Volume>
    <b:DOI>10.2807/1560-7917.ES.2019.24.15.1900104.</b:DOI>
    <b:RefOrder>36</b:RefOrder>
  </b:Source>
  <b:Source>
    <b:Tag>Bag13</b:Tag>
    <b:SourceType>JournalArticle</b:SourceType>
    <b:Guid>{78A2B68B-58C9-447F-8946-417A3BD57958}</b:Guid>
    <b:Author>
      <b:Author>
        <b:NameList>
          <b:Person>
            <b:Last>Baguelin M</b:Last>
            <b:First>Flasche</b:First>
            <b:Middle>S, Camacho A, Demiris N, Miller E, Edmunds WJ.</b:Middle>
          </b:Person>
        </b:NameList>
      </b:Author>
    </b:Author>
    <b:Title>Assessing optimal target populations for influenza vaccination programmes: an evidence synthesis and modelling study.</b:Title>
    <b:JournalName>PLoS Med</b:JournalName>
    <b:Year>2013</b:Year>
    <b:Pages>e1001527.</b:Pages>
    <b:Month>Octubre</b:Month>
    <b:Day>10</b:Day>
    <b:DOI>10.1371/journal.pmed.1001527.</b:DOI>
    <b:RefOrder>41</b:RefOrder>
  </b:Source>
  <b:Source>
    <b:Tag>Wei17</b:Tag>
    <b:SourceType>JournalArticle</b:SourceType>
    <b:Guid>{60406E9E-F5F0-44FB-A8C7-BFEA77EF5767}</b:Guid>
    <b:Author>
      <b:Author>
        <b:NameList>
          <b:Person>
            <b:Last>Weidemann F</b:Last>
            <b:First>Remschmidt</b:First>
            <b:Middle>C, Buda S, Buchholz U, Ultsch B, Wichmann O.</b:Middle>
          </b:Person>
        </b:NameList>
      </b:Author>
    </b:Author>
    <b:Title>Is the impact of childhood influenza vaccination less than expected: a transmission modelling study.</b:Title>
    <b:JournalName>BMC Infect Dis.</b:JournalName>
    <b:Year>2017</b:Year>
    <b:Month>Abril</b:Month>
    <b:Day>11</b:Day>
    <b:Publisher>17</b:Publisher>
    <b:Volume>1</b:Volume>
    <b:DOI>10.1186/s12879-017-2344-6.</b:DOI>
    <b:RefOrder>44</b:RefOrder>
  </b:Source>
  <b:Source>
    <b:Tag>Bac19</b:Tag>
    <b:SourceType>JournalArticle</b:SourceType>
    <b:Guid>{D24F051F-2E2A-4501-95FC-37AB31DBEBD8}</b:Guid>
    <b:Author>
      <b:Author>
        <b:NameList>
          <b:Person>
            <b:Last>Backer JA</b:Last>
            <b:First>van</b:First>
            <b:Middle>Boven M, van der Hoek W, Wallinga J.</b:Middle>
          </b:Person>
        </b:NameList>
      </b:Author>
    </b:Author>
    <b:Title>Vaccinating children against influenza increases variability in epidemic size.</b:Title>
    <b:JournalName>Epidemics</b:JournalName>
    <b:Year>2019</b:Year>
    <b:Pages>95 - 103</b:Pages>
    <b:Month>Marzo</b:Month>
    <b:Day>26</b:Day>
    <b:DOI>10.1016/j.epidem.2018.10.003.</b:DOI>
    <b:RefOrder>48</b:RefOrder>
  </b:Source>
  <b:Source>
    <b:Tag>Mol07</b:Tag>
    <b:SourceType>JournalArticle</b:SourceType>
    <b:Guid>{A064E8C2-1E19-43B0-96FD-32731F7DC429}</b:Guid>
    <b:Author>
      <b:Author>
        <b:NameList>
          <b:Person>
            <b:Last>Molinari NA</b:Last>
            <b:First>Ortega-Sanchez</b:First>
            <b:Middle>IR, Messonnier ML, Thompson WW, Wortley PM, Weintraub E, Bridges CB</b:Middle>
          </b:Person>
        </b:NameList>
      </b:Author>
    </b:Author>
    <b:Title>The annual impact of seasonal influenza in the US: Measuring disease burden and costs</b:Title>
    <b:JournalName>Vaccine</b:JournalName>
    <b:Year>2007</b:Year>
    <b:Pages>5086-5096</b:Pages>
    <b:Volume>25</b:Volume>
    <b:RefOrder>32</b:RefOrder>
  </b:Source>
  <b:Source>
    <b:Tag>Ins13</b:Tag>
    <b:SourceType>DocumentFromInternetSite</b:SourceType>
    <b:Guid>{C9CD46AF-8F4E-4CDA-BBF7-1AF8458B8236}</b:Guid>
    <b:Title>Dirección de Prestaciones Médicas</b:Title>
    <b:Year>2013</b:Year>
    <b:InternetSiteTitle>Recomendaciones para trabajadores IMSS ante el virus de influenza AH1N1</b:InternetSiteTitle>
    <b:Month>Octubre</b:Month>
    <b:URL>http://www.imss.gob.mx/sites/all/statics/pdf/profesionales-salud/Guia_influenza.pdf</b:URL>
    <b:Author>
      <b:Author>
        <b:NameList>
          <b:Person>
            <b:Last>Instituto Mexicano del Seguro Social</b:Last>
          </b:Person>
        </b:NameList>
      </b:Author>
    </b:Author>
    <b:RefOrder>28</b:RefOrder>
  </b:Source>
  <b:Source>
    <b:Tag>Sec19</b:Tag>
    <b:SourceType>DocumentFromInternetSite</b:SourceType>
    <b:Guid>{30343422-3185-425F-B61D-CFEDD8DE24E1}</b:Guid>
    <b:Title>Módulo de estimación de costos hospitalarios</b:Title>
    <b:Year>2004</b:Year>
    <b:Month>03</b:Month>
    <b:Day>05</b:Day>
    <b:URL>http://www.salud.gob.mx/unidades/cdi/documentos/DOCSAL7417.pdf</b:URL>
    <b:Author>
      <b:Author>
        <b:NameList>
          <b:Person>
            <b:Last>Secretaría de Salud</b:Last>
          </b:Person>
        </b:NameList>
      </b:Author>
    </b:Author>
    <b:RefOrder>52</b:RefOrder>
  </b:Source>
  <b:Source>
    <b:Tag>JEh03</b:Tag>
    <b:SourceType>JournalArticle</b:SourceType>
    <b:Guid>{2A814E9C-FA11-4BFA-B116-741B5E527F4F}</b:Guid>
    <b:Author>
      <b:Author>
        <b:NameList>
          <b:Person>
            <b:Last>Ehreth</b:Last>
            <b:First>Jenifer</b:First>
          </b:Person>
        </b:NameList>
      </b:Author>
    </b:Author>
    <b:Title>The global value of vaccination.</b:Title>
    <b:JournalName>Vaccine</b:JournalName>
    <b:Year>2003</b:Year>
    <b:Pages>596 - 600</b:Pages>
    <b:Month>Enero</b:Month>
    <b:Day>30</b:Day>
    <b:Volume>21</b:Volume>
    <b:Issue>7-8</b:Issue>
    <b:RefOrder>6</b:RefOrder>
  </b:Source>
  <b:Source>
    <b:Tag>Ins17</b:Tag>
    <b:SourceType>DocumentFromInternetSite</b:SourceType>
    <b:Guid>{D0C95E6F-DB97-4CBE-9503-ACAD91F77556}</b:Guid>
    <b:Author>
      <b:Author>
        <b:Corporate>Instituto de Diagnostico y Referencia Epidemiológicos</b:Corporate>
      </b:Author>
    </b:Author>
    <b:Title>Lineamientos para la vigilancia epidemiológica de influenza</b:Title>
    <b:Year>2017</b:Year>
    <b:URL>http://www.ssm.gob.mx/portal/page/influenza/LINEAMIENTOS%20DE%20INFLUENZA.pdf</b:URL>
    <b:YearAccessed>2019</b:YearAccessed>
    <b:MonthAccessed>Febrero</b:MonthAccessed>
    <b:DayAccessed>26</b:DayAccessed>
    <b:RefOrder>26</b:RefOrder>
  </b:Source>
  <b:Source>
    <b:Tag>Con19</b:Tag>
    <b:SourceType>InternetSite</b:SourceType>
    <b:Guid>{ADC1CA3D-FEE3-4935-9A30-1424BD47174B}</b:Guid>
    <b:Year>2019</b:Year>
    <b:Author>
      <b:Author>
        <b:Corporate>Consejo Nacional de Población - CONAPO</b:Corporate>
      </b:Author>
    </b:Author>
    <b:Month>January</b:Month>
    <b:Day>18</b:Day>
    <b:LCID>en-GB</b:LCID>
    <b:URL>https://datos.gob.mx/busca/dataset/proyecciones-de-la-poblacion-de-mexico-y-de-las-entidades-federativas-2016-2050</b:URL>
    <b:RefOrder>25</b:RefOrder>
  </b:Source>
  <b:Source>
    <b:Tag>Lon82</b:Tag>
    <b:SourceType>JournalArticle</b:SourceType>
    <b:Guid>{4DBEB874-A811-4E8B-AC56-759E140C49E9}</b:Guid>
    <b:Title>Estimating household and community transmission parameters for influenza</b:Title>
    <b:Year>1982</b:Year>
    <b:Month>May</b:Month>
    <b:Author>
      <b:Author>
        <b:NameList>
          <b:Person>
            <b:Last>Longini IM Jr</b:Last>
            <b:First>Koopman</b:First>
            <b:Middle>JS, Monto AS, Fox JP.</b:Middle>
          </b:Person>
        </b:NameList>
      </b:Author>
    </b:Author>
    <b:JournalName>Am J Epidemiol.</b:JournalName>
    <b:Pages>736-51.</b:Pages>
    <b:Volume>115</b:Volume>
    <b:Issue>5</b:Issue>
    <b:DOI>10.1093/oxfordjournals.aje.a113356</b:DOI>
    <b:RefOrder>40</b:RefOrder>
  </b:Source>
  <b:Source>
    <b:Tag>Cro14</b:Tag>
    <b:SourceType>JournalArticle</b:SourceType>
    <b:Guid>{4495F869-9DDF-4AA2-9103-81BB3D8BC0FB}</b:Guid>
    <b:Author>
      <b:Author>
        <b:NameList>
          <b:Person>
            <b:Last>Cromer D</b:Last>
            <b:First>van</b:First>
            <b:Middle>Hoek AJ, Jit M, Edmunds WJ, Fleming D5, Miller E.</b:Middle>
          </b:Person>
        </b:NameList>
      </b:Author>
    </b:Author>
    <b:Title>The burden of influenza in England by age and clinical risk group: a statistical analysis to inform vaccine policy.</b:Title>
    <b:JournalName>J Infect.</b:JournalName>
    <b:Year>2014</b:Year>
    <b:Pages>363-71</b:Pages>
    <b:Month>April</b:Month>
    <b:Volume>68</b:Volume>
    <b:Issue>4</b:Issue>
    <b:DOI>10.1016/j.jinf.2013.11.013</b:DOI>
    <b:RefOrder>43</b:RefOrder>
  </b:Source>
  <b:Source>
    <b:Tag>Pan14</b:Tag>
    <b:SourceType>JournalArticle</b:SourceType>
    <b:Guid>{CBB3DF22-2710-47E5-8F0C-D2D0630D2300}</b:Guid>
    <b:Author>
      <b:Author>
        <b:NameList>
          <b:Person>
            <b:Last>Pannaraj PS</b:Last>
            <b:First>Wang</b:First>
            <b:Middle>HL, Rivas H, Wiryawan H, Smit M, Green N, Aldrovandi GM, El Amin AN, Mascola L.</b:Middle>
          </b:Person>
        </b:NameList>
      </b:Author>
    </b:Author>
    <b:Title>School-located influenza vaccination decreases laboratory-confirmed influenza and improves school attendance.</b:Title>
    <b:JournalName>Clin Infect Dis.</b:JournalName>
    <b:Year>2014</b:Year>
    <b:Pages>325-32</b:Pages>
    <b:Month>August</b:Month>
    <b:Day>1</b:Day>
    <b:Volume>59</b:Volume>
    <b:Issue>3</b:Issue>
    <b:DOI>10.1093/cid/ciu340</b:DOI>
    <b:RefOrder>45</b:RefOrder>
  </b:Source>
  <b:Source>
    <b:Tag>Kin10</b:Tag>
    <b:SourceType>JournalArticle</b:SourceType>
    <b:Guid>{7A04DFB5-54B5-4712-912D-7BB2932F44B3}</b:Guid>
    <b:Author>
      <b:Author>
        <b:NameList>
          <b:Person>
            <b:Last>King JC Jr</b:Last>
            <b:First>Lichenstein</b:First>
            <b:Middle>R, Cummings GE, Magder LS.</b:Middle>
          </b:Person>
        </b:NameList>
      </b:Author>
    </b:Author>
    <b:Title>Impact of influenza vaccination of schoolchildren on medical outcomes among all residents of Maryland.</b:Title>
    <b:JournalName>vaccine</b:JournalName>
    <b:Year>2010</b:Year>
    <b:Pages>7737-42</b:Pages>
    <b:Month>November</b:Month>
    <b:Day>16</b:Day>
    <b:Volume>28</b:Volume>
    <b:Issue>49</b:Issue>
    <b:DOI>10.1016/j.vaccine.2010.09.064</b:DOI>
    <b:RefOrder>47</b:RefOrder>
  </b:Source>
  <b:Source>
    <b:Tag>Cow14</b:Tag>
    <b:SourceType>JournalArticle</b:SourceType>
    <b:Guid>{414D2FC9-BFCE-4AE9-AF1F-FCAE6FCF1A0C}</b:Guid>
    <b:Author>
      <b:Author>
        <b:NameList>
          <b:Person>
            <b:Last>Cowling BJ</b:Last>
            <b:First>Chan</b:First>
            <b:Middle>KH, Feng S, Chan EL, Lo JY, Peiris JS, Chiu SS.</b:Middle>
          </b:Person>
        </b:NameList>
      </b:Author>
    </b:Author>
    <b:Title>The effectiveness of influenza vaccination in preventing hospitalizations in children in Hong Kong, 2009-2013</b:Title>
    <b:JournalName>Vaccine</b:JournalName>
    <b:Year>2014</b:Year>
    <b:Pages>5278-84</b:Pages>
    <b:Month>September</b:Month>
    <b:Day>15</b:Day>
    <b:Volume>32</b:Volume>
    <b:Issue>41</b:Issue>
    <b:DOI>10.1016/j.vaccine.2014.07.084</b:DOI>
    <b:RefOrder>46</b:RefOrder>
  </b:Source>
  <b:Source>
    <b:Tag>Ohm15</b:Tag>
    <b:SourceType>JournalArticle</b:SourceType>
    <b:Guid>{672EA8F0-D8BF-4BAD-A21B-375E9061605E}</b:Guid>
    <b:Author>
      <b:Author>
        <b:NameList>
          <b:Person>
            <b:Last>Ohmit SE</b:Last>
            <b:First>Petrie</b:First>
            <b:Middle>JG, Malosh RE, Fry AM, Thompson MG, Monto AS.</b:Middle>
          </b:Person>
        </b:NameList>
      </b:Author>
    </b:Author>
    <b:Title>Influenza vaccine effectiveness in households with children during the 2012-2013 season: assessments of prior vaccination and serologic susceptibility.</b:Title>
    <b:JournalName>J Infect Dis</b:JournalName>
    <b:Year>2015</b:Year>
    <b:Pages>1519-28</b:Pages>
    <b:Month>May</b:Month>
    <b:Day>15</b:Day>
    <b:Volume>211</b:Volume>
    <b:Issue>10</b:Issue>
    <b:DOI>10.1093/infdis/jiu650</b:DOI>
    <b:RefOrder>39</b:RefOrder>
  </b:Source>
  <b:Source>
    <b:Tag>Kos131</b:Tag>
    <b:SourceType>JournalArticle</b:SourceType>
    <b:Guid>{2BFCEDD0-C73C-4660-AF11-DDEE8F4972A9}</b:Guid>
    <b:Author>
      <b:Author>
        <b:NameList>
          <b:Person>
            <b:Last>Kostova D</b:Last>
            <b:First>Reed</b:First>
            <b:Middle>C, Finelli L, Cheng PY, Gargiullo PM, Shay DK, Singleton JA, Meltzer MI, Lu PJ, Bresee JS.</b:Middle>
          </b:Person>
        </b:NameList>
      </b:Author>
    </b:Author>
    <b:Title>Influenza Illness and Hospitalizations Averted by Influenza Vaccination in the United States, 2005-2011.</b:Title>
    <b:JournalName>PLoS One</b:JournalName>
    <b:Year>2013</b:Year>
    <b:Pages>e66312.</b:Pages>
    <b:Month>jUNE</b:Month>
    <b:Day>19</b:Day>
    <b:Volume>8</b:Volume>
    <b:Issue>6</b:Issue>
    <b:DOI>10.1371/journal.pone.0066312</b:DOI>
    <b:RefOrder>7</b:RefOrder>
  </b:Source>
  <b:Source>
    <b:Tag>Bar16</b:Tag>
    <b:SourceType>JournalArticle</b:SourceType>
    <b:Guid>{19283062-BC98-4ECD-AD3A-B37C8B538208}</b:Guid>
    <b:Author>
      <b:Author>
        <b:NameList>
          <b:Person>
            <b:Last>Barberis I</b:Last>
            <b:First>Myles</b:First>
            <b:Middle>P, Ault SK, Bragazzi NL, Martini M.</b:Middle>
          </b:Person>
        </b:NameList>
      </b:Author>
    </b:Author>
    <b:Title>History and evolution of influenza control through vaccination: from the first monovalent vaccine to universal vaccines.</b:Title>
    <b:JournalName>J Prev Med Hyg</b:JournalName>
    <b:Year>2016</b:Year>
    <b:Pages>E115-E120</b:Pages>
    <b:Month>September</b:Month>
    <b:Volume>57</b:Volume>
    <b:Issue>3</b:Issue>
    <b:RefOrder>2</b:RefOrder>
  </b:Source>
  <b:Source>
    <b:Tag>CHa13</b:Tag>
    <b:SourceType>JournalArticle</b:SourceType>
    <b:Guid>{464596F5-CF54-4664-8FE5-7EFB860A5ECB}</b:Guid>
    <b:Author>
      <b:Author>
        <b:NameList>
          <b:Person>
            <b:Last>Hannoun C</b:Last>
            <b:First>.</b:First>
          </b:Person>
        </b:NameList>
      </b:Author>
    </b:Author>
    <b:Title>The evolving history of influenza viruses and influenza vaccines.</b:Title>
    <b:JournalName>Expert Rev Vaccines.</b:JournalName>
    <b:Year>2013</b:Year>
    <b:Pages>1085-94.</b:Pages>
    <b:Month>September</b:Month>
    <b:Volume>12</b:Volume>
    <b:Issue>9</b:Issue>
    <b:DOI>10.1586/14760584.2013.824709</b:DOI>
    <b:RefOrder>3</b:RefOrder>
  </b:Source>
  <b:Source>
    <b:Tag>Bou18</b:Tag>
    <b:SourceType>JournalArticle</b:SourceType>
    <b:Guid>{57A1FF70-102D-4937-AD98-255547E5B965}</b:Guid>
    <b:Author>
      <b:Author>
        <b:NameList>
          <b:Person>
            <b:Last>Bouvier NM</b:Last>
            <b:First>.</b:First>
          </b:Person>
        </b:NameList>
      </b:Author>
    </b:Author>
    <b:Title>The Future of Influenza Vaccines: A Historical and Clinical Perspective.</b:Title>
    <b:JournalName>Vaccines</b:JournalName>
    <b:Year>2018</b:Year>
    <b:Pages>E58</b:Pages>
    <b:Month>August</b:Month>
    <b:Day>30</b:Day>
    <b:Volume>6</b:Volume>
    <b:Issue>3</b:Issue>
    <b:DOI>10.3390/vaccines6030058</b:DOI>
    <b:RefOrder>4</b:RefOrder>
  </b:Source>
  <b:Source>
    <b:Tag>Pet13</b:Tag>
    <b:SourceType>JournalArticle</b:SourceType>
    <b:Guid>{1C27DCDD-CD9C-4C84-8898-6E10894EF4D7}</b:Guid>
    <b:Author>
      <b:Author>
        <b:NameList>
          <b:Person>
            <b:Last>Petrie JG</b:Last>
            <b:First>Ohmit</b:First>
            <b:Middle>SE, Cowling BJ, Johnson E, Cross RT, Malosh RE, Thompson MG, Monto AS.</b:Middle>
          </b:Person>
        </b:NameList>
      </b:Author>
    </b:Author>
    <b:Title>Influenza transmission in a cohort of households with children: 2010-2011</b:Title>
    <b:JournalName>PLoS</b:JournalName>
    <b:Year>2013</b:Year>
    <b:Pages>e75339</b:Pages>
    <b:Month>September</b:Month>
    <b:Day>25</b:Day>
    <b:Volume>8</b:Volume>
    <b:Issue>9</b:Issue>
    <b:DOI>10.1371/journal.pone.0075339</b:DOI>
    <b:RefOrder>42</b:RefOrder>
  </b:Source>
  <b:Source>
    <b:Tag>Val18</b:Tag>
    <b:SourceType>JournalArticle</b:SourceType>
    <b:Guid>{DC8F8404-DDE7-41C4-9833-1098FF9D8CD1}</b:Guid>
    <b:Author>
      <b:Author>
        <b:NameList>
          <b:Person>
            <b:Last>Valcárcel Nazco C</b:Last>
            <b:First>García</b:First>
            <b:Middle>Lorenzo B, Del Pino Sedeño T, García Pérez L, Brito García N, Linertová R, Ferrer Rodríguez J, Imaz Iglesia I, Serrano Aguilar P.</b:Middle>
          </b:Person>
        </b:NameList>
      </b:Author>
    </b:Author>
    <b:Title>Cost-effectiveness of vaccines for the prevention of seasonal influenza in different age groups: a systematic review</b:Title>
    <b:JournalName>Rev Esp Salud Publica.</b:JournalName>
    <b:Year>2018</b:Year>
    <b:Pages>e201810075.</b:Pages>
    <b:Month>October</b:Month>
    <b:Day>17</b:Day>
    <b:Issue>92</b:Issue>
    <b:RefOrder>19</b:RefOrder>
  </b:Source>
  <b:Source>
    <b:Tag>Yan18</b:Tag>
    <b:SourceType>JournalArticle</b:SourceType>
    <b:Guid>{FAF4A829-6CE7-4ED9-A069-6CF58CE2CBA3}</b:Guid>
    <b:Author>
      <b:Author>
        <b:NameList>
          <b:Person>
            <b:Last>Yang KC</b:Last>
            <b:First>Hung</b:First>
            <b:Middle>HF, Chen MK, Chen SL, Fann JC, Chiu SY, Yen AM, Huang KC, Chen HH, Wang ST.</b:Middle>
          </b:Person>
        </b:NameList>
      </b:Author>
    </b:Author>
    <b:Title>Cost-effectiveness analysis of universal influenza vaccination: Application of the susceptible-infectious-complication-recovery model.</b:Title>
    <b:JournalName>Int J Infect Dis</b:JournalName>
    <b:Year>2018</b:Year>
    <b:Pages>102-108</b:Pages>
    <b:Month>August</b:Month>
    <b:Issue>73</b:Issue>
    <b:DOI>10.1016/j.ijid.2018.05.024</b:DOI>
    <b:RefOrder>9</b:RefOrder>
  </b:Source>
  <b:Source>
    <b:Tag>Lei19</b:Tag>
    <b:SourceType>JournalArticle</b:SourceType>
    <b:Guid>{C36A1909-23DB-47E1-9349-D966585DDF41}</b:Guid>
    <b:Author>
      <b:Author>
        <b:NameList>
          <b:Person>
            <b:Last>Leidner AJ</b:Last>
            <b:First>Murthy</b:First>
            <b:Middle>N, Chesson HW, Biggerstaff M, Stoecker C, Harris AM, Acosta A, Dooling K, Bridges CB.</b:Middle>
          </b:Person>
        </b:NameList>
      </b:Author>
    </b:Author>
    <b:Title>Cost-effectiveness of adult vaccinations: A systematic review.</b:Title>
    <b:JournalName>Vaccine.</b:JournalName>
    <b:Year>2019</b:Year>
    <b:Pages>226-234</b:Pages>
    <b:Month>January</b:Month>
    <b:Day>7</b:Day>
    <b:Volume>37</b:Volume>
    <b:Issue>2</b:Issue>
    <b:DOI>10.1016/j.vaccine.2018.11.056</b:DOI>
    <b:RefOrder>10</b:RefOrder>
  </b:Source>
  <b:Source>
    <b:Tag>Smi33</b:Tag>
    <b:SourceType>JournalArticle</b:SourceType>
    <b:Guid>{F9D243B5-5461-48E0-8D20-F77DB40F0558}</b:Guid>
    <b:Title>A virus obtanines from influenza patients</b:Title>
    <b:Year>1933</b:Year>
    <b:Author>
      <b:Author>
        <b:NameList>
          <b:Person>
            <b:Last>Smith W</b:Last>
            <b:First>Endrewes</b:First>
            <b:Middle>CH, Laidlaw PP.</b:Middle>
          </b:Person>
        </b:NameList>
      </b:Author>
    </b:Author>
    <b:JournalName>Lancet</b:JournalName>
    <b:Pages>66-68</b:Pages>
    <b:Issue>5732</b:Issue>
    <b:RefOrder>1</b:RefOrder>
  </b:Source>
  <b:Source>
    <b:Tag>Doy19</b:Tag>
    <b:SourceType>JournalArticle</b:SourceType>
    <b:Guid>{BAC487D4-B98A-4590-9ED7-57690C0D443C}</b:Guid>
    <b:Author>
      <b:Author>
        <b:NameList>
          <b:Person>
            <b:Last>Doyon-Plourde P</b:Last>
            <b:First>Fakih</b:First>
            <b:Middle>I, Tadount F, Fortin É, Quach C.</b:Middle>
          </b:Person>
        </b:NameList>
      </b:Author>
    </b:Author>
    <b:Title>Impact of influenza vaccination on healthcare utilization - A systematic review.</b:Title>
    <b:JournalName>Vaccine</b:JournalName>
    <b:Year>2019</b:Year>
    <b:Pages>179-3189</b:Pages>
    <b:Month>May</b:Month>
    <b:Day>27</b:Day>
    <b:Volume>37</b:Volume>
    <b:Issue>24</b:Issue>
    <b:DOI>10.1016/j.vaccine.2019.04.051</b:DOI>
    <b:RefOrder>8</b:RefOrder>
  </b:Source>
  <b:Source>
    <b:Tag>Dir14</b:Tag>
    <b:SourceType>DocumentFromInternetSite</b:SourceType>
    <b:Guid>{3F360113-D2A4-46F0-A180-EF1CE67B3649}</b:Guid>
    <b:Author>
      <b:Author>
        <b:Corporate>Dirección General de Epidemiología</b:Corporate>
      </b:Author>
    </b:Author>
    <b:Title>Manual para la Vigilancia Epidemiológica de Influenza</b:Title>
    <b:Year>2014</b:Year>
    <b:Month>Octubre</b:Month>
    <b:URL>http://187.191.75.115/gobmx/salud/documentos/manuales/12_Manual_VE_Influenza.pdf</b:URL>
    <b:RefOrder>11</b:RefOrder>
  </b:Source>
  <b:Source>
    <b:Tag>SEED</b:Tag>
    <b:SourceType>InternetSite</b:SourceType>
    <b:Guid>{63CC7700-48D2-4A9C-8DEC-FD0AE02317D7}</b:Guid>
    <b:LCID>en-GB</b:LCID>
    <b:Author>
      <b:Author>
        <b:Corporate>Secretaría de Salud - SEED</b:Corporate>
      </b:Author>
    </b:Author>
    <b:Year>2019</b:Year>
    <b:Month>January</b:Month>
    <b:Day>18</b:Day>
    <b:URL>http://www.dgis.salud.gob.mx/contenidos/basesdedatos/std_defunciones_gobmx.html</b:URL>
    <b:Title>Subsistema Epidemiológico y Estadístico de Defunciones</b:Title>
    <b:RefOrder>23</b:RefOrder>
  </b:Source>
  <b:Source>
    <b:Tag>SAEH1</b:Tag>
    <b:SourceType>InternetSite</b:SourceType>
    <b:Guid>{0B5DB191-7136-4392-8F43-55B4CC3370D6}</b:Guid>
    <b:Title>Sistema Automatizado de Egresos Hospitalarios</b:Title>
    <b:Year>2019</b:Year>
    <b:Author>
      <b:Author>
        <b:Corporate>Secretaría de Salud - SAEH</b:Corporate>
      </b:Author>
    </b:Author>
    <b:Month>January</b:Month>
    <b:Day>19</b:Day>
    <b:URL>www.dgis.salud.gob.mx/contenidos/basesdedatos/da_egresoshosp_gobmx.html</b:URL>
    <b:RefOrder>24</b:RefOrder>
  </b:Source>
  <b:Source>
    <b:Tag>Sec15</b:Tag>
    <b:SourceType>Book</b:SourceType>
    <b:Guid>{34854E5E-B162-428F-ABBC-2FA9593AC817}</b:Guid>
    <b:Author>
      <b:Author>
        <b:NameList>
          <b:Person>
            <b:Last>CENETEC</b:Last>
            <b:First>Secretaría</b:First>
            <b:Middle>de Salud -</b:Middle>
          </b:Person>
        </b:NameList>
      </b:Author>
    </b:Author>
    <b:Title>Prevención, diagnóstico y tratamiento de la influenza estacional. Guía de Evidencias y recomendaciones</b:Title>
    <b:Year>2015</b:Year>
    <b:URL>http://www.cenetec.salud.gob.mx/contenidos/gpc/catalogoMaestroGPC.html</b:URL>
    <b:City>México</b:City>
    <b:Publisher>Secretaría de Salud</b:Publisher>
    <b:RefOrder>27</b:RefOrder>
  </b:Source>
  <b:Source>
    <b:Tag>Fla17</b:Tag>
    <b:SourceType>JournalArticle</b:SourceType>
    <b:Guid>{8A936195-EE6D-4D6C-81DC-02275E93617F}</b:Guid>
    <b:Author>
      <b:Author>
        <b:NameList>
          <b:Person>
            <b:Last>Flannery B</b:Last>
            <b:First>Reynolds</b:First>
            <b:Middle>SB, Blanton L, Santibanez TA, O'Halloran A, Lu PJ, Chen J, Foppa IM, Gargiullo P, Bresee J, Singleton JA, Fry AM.</b:Middle>
          </b:Person>
        </b:NameList>
      </b:Author>
    </b:Author>
    <b:Title>Influenza Vaccine Effectiveness Against Pediatric Deaths: 2010-2014.</b:Title>
    <b:JournalName>Pediatrics</b:JournalName>
    <b:Year>2017</b:Year>
    <b:Pages>e20164244</b:Pages>
    <b:Month>May</b:Month>
    <b:Volume>139</b:Volume>
    <b:Issue>5</b:Issue>
    <b:DOI>10.1542/peds.2016-4244.</b:DOI>
    <b:RefOrder>37</b:RefOrder>
  </b:Source>
  <b:Source>
    <b:Tag>Ram19</b:Tag>
    <b:SourceType>JournalArticle</b:SourceType>
    <b:Guid>{C2874477-84EF-4E6C-B674-E763D7283320}</b:Guid>
    <b:Author>
      <b:Author>
        <b:NameList>
          <b:Person>
            <b:Last>Ramsay LC</b:Last>
            <b:First>Buchan</b:First>
            <b:Middle>SA, Stirling RG, Cowling BJ, Feng S, Kwong JC, Warshawsky BF.</b:Middle>
          </b:Person>
        </b:NameList>
      </b:Author>
    </b:Author>
    <b:Title>The impact of repeated vaccination on influenza vaccine effectiveness: a systematic review and meta-analysis.</b:Title>
    <b:JournalName>BMC Med.</b:JournalName>
    <b:Year>2019</b:Year>
    <b:Month>January</b:Month>
    <b:Day>10</b:Day>
    <b:Volume>17</b:Volume>
    <b:Issue>1</b:Issue>
    <b:DOI>10.1186/s12916-018-1239-8.</b:DOI>
    <b:RefOrder>38</b:RefOrder>
  </b:Source>
  <b:Source>
    <b:Tag>Sav13</b:Tag>
    <b:SourceType>JournalArticle</b:SourceType>
    <b:Guid>{4348A7FB-A3BB-445D-901D-B85ED682F78A}</b:Guid>
    <b:Title>Burden of influenza in Latin America and the Caribbean: a systematic review and meta-analysis</b:Title>
    <b:JournalName>Influenza and other respiratory viruses</b:JournalName>
    <b:Year>2013</b:Year>
    <b:Pages>1017-1032</b:Pages>
    <b:Author>
      <b:Author>
        <b:NameList>
          <b:Person>
            <b:Last>Savy</b:Last>
            <b:First>Vilma</b:First>
          </b:Person>
          <b:Person>
            <b:Last>Ciapponi</b:Last>
            <b:First>Agustín</b:First>
          </b:Person>
          <b:Person>
            <b:Last>Bardach</b:Last>
            <b:First>Ariel</b:First>
          </b:Person>
          <b:Person>
            <b:Last>Glujovsky</b:Last>
            <b:First>Demián</b:First>
          </b:Person>
          <b:Person>
            <b:Last>Aruj</b:Last>
            <b:First>Patricia</b:First>
          </b:Person>
          <b:Person>
            <b:Last>Mazzoni</b:Last>
            <b:First>Agustina</b:First>
          </b:Person>
          <b:Person>
            <b:Last>Gibbons</b:Last>
            <b:First>Luz</b:First>
          </b:Person>
          <b:Person>
            <b:Last>Ortega-Barría</b:Last>
            <b:First>Eduardo</b:First>
          </b:Person>
          <b:Person>
            <b:Last>Colindres</b:Last>
            <b:First>Rómulo E.</b:First>
          </b:Person>
        </b:NameList>
      </b:Author>
    </b:Author>
    <b:Month>Nov</b:Month>
    <b:Volume>7</b:Volume>
    <b:Issue>6</b:Issue>
    <b:RefOrder>5</b:RefOrder>
  </b:Source>
  <b:Source>
    <b:Tag>Hei06</b:Tag>
    <b:SourceType>JournalArticle</b:SourceType>
    <b:Guid>{60623746-8A53-4C4E-878B-56FE6C12FDF9}</b:Guid>
    <b:Author>
      <b:Author>
        <b:NameList>
          <b:Person>
            <b:Last>Heikkinen</b:Last>
            <b:First>Terho</b:First>
          </b:Person>
        </b:NameList>
      </b:Author>
    </b:Author>
    <b:Title>Influenza in children</b:Title>
    <b:JournalName>Acta Paediatrica</b:JournalName>
    <b:Year>2006</b:Year>
    <b:Pages>778-784</b:Pages>
    <b:Volume>95</b:Volume>
    <b:Issue>7</b:Issue>
    <b:RefOrder>12</b:RefOrder>
  </b:Source>
  <b:Source>
    <b:Tag>Sau09</b:Tag>
    <b:SourceType>JournalArticle</b:SourceType>
    <b:Guid>{921EB503-8630-4B39-BC7F-8145BB44EA11}</b:Guid>
    <b:Title>Seroprevalence of influenza A and B in German infants and adolescents</b:Title>
    <b:JournalName>Medical Microbiology and Immunology</b:JournalName>
    <b:Year>2009</b:Year>
    <b:Pages>93-101</b:Pages>
    <b:Author>
      <b:Author>
        <b:NameList>
          <b:Person>
            <b:Last>Sauerbrei</b:Last>
            <b:First>Andreas</b:First>
          </b:Person>
          <b:Person>
            <b:Last>Schmidt-Ott</b:Last>
            <b:First>R.</b:First>
          </b:Person>
          <b:Person>
            <b:Last>Hoyer</b:Last>
            <b:First>H</b:First>
          </b:Person>
          <b:Person>
            <b:Last>Wutzler</b:Last>
            <b:First>P.</b:First>
          </b:Person>
        </b:NameList>
      </b:Author>
    </b:Author>
    <b:Month>May</b:Month>
    <b:Volume>2</b:Volume>
    <b:RefOrder>13</b:RefOrder>
  </b:Source>
  <b:Source>
    <b:Tag>Fra81</b:Tag>
    <b:SourceType>JournalArticle</b:SourceType>
    <b:Guid>{07C1528D-DF67-4648-91E5-2B2FDCA0740C}</b:Guid>
    <b:Title>Patterns of Shedding of Myxoviruses and Paramyxoviruses in Children</b:Title>
    <b:JournalName>The Journal of Infectious Diseases</b:JournalName>
    <b:Year>1981</b:Year>
    <b:Pages>433-441</b:Pages>
    <b:Author>
      <b:Author>
        <b:NameList>
          <b:Person>
            <b:Last>Frank</b:Last>
            <b:First>A. L.</b:First>
          </b:Person>
          <b:Person>
            <b:Last>Taber</b:Last>
            <b:First>L. H.</b:First>
          </b:Person>
          <b:Person>
            <b:Last>Wells</b:Last>
            <b:First>C. R.</b:First>
          </b:Person>
          <b:Person>
            <b:Last>Wells </b:Last>
            <b:First>J. M.</b:First>
          </b:Person>
          <b:Person>
            <b:Last>Glezen</b:Last>
            <b:First>W. P.</b:First>
          </b:Person>
        </b:NameList>
      </b:Author>
    </b:Author>
    <b:Month>November</b:Month>
    <b:Volume>144</b:Volume>
    <b:Issue>5</b:Issue>
    <b:RefOrder>14</b:RefOrder>
  </b:Source>
  <b:Source>
    <b:Tag>Bag17</b:Tag>
    <b:SourceType>JournalArticle</b:SourceType>
    <b:Guid>{91C7D3A3-17DE-47CD-8DC9-60A9B9603552}</b:Guid>
    <b:Title>Assessing Optimal Target Populations for Influenza Vaccination Programmes: An Evidence Synthesis and Modelling Study</b:Title>
    <b:JournalName>PLOS Medicine</b:JournalName>
    <b:Year>2013</b:Year>
    <b:Pages>e1001527</b:Pages>
    <b:Author>
      <b:Author>
        <b:NameList>
          <b:Person>
            <b:Last>Baguelin</b:Last>
            <b:First>Marc</b:First>
          </b:Person>
          <b:Person>
            <b:Last>Flasche</b:Last>
            <b:First>Stefan</b:First>
          </b:Person>
          <b:Person>
            <b:Last>Camacho</b:Last>
            <b:First>Anton</b:First>
          </b:Person>
          <b:Person>
            <b:Last>Demiris</b:Last>
            <b:First>Nikolaos</b:First>
          </b:Person>
          <b:Person>
            <b:Last>MIller</b:Last>
            <b:First>Elizabeth</b:First>
          </b:Person>
          <b:Person>
            <b:Last>Edmunds</b:Last>
            <b:First>W. John</b:First>
          </b:Person>
        </b:NameList>
      </b:Author>
    </b:Author>
    <b:Month>October</b:Month>
    <b:RefOrder>15</b:RefOrder>
  </b:Source>
  <b:Source>
    <b:Tag>WHO31</b:Tag>
    <b:SourceType>InternetSite</b:SourceType>
    <b:Guid>{470CF6BD-69E0-4FC7-962C-2907BCC3D0F1}</b:Guid>
    <b:Author>
      <b:Author>
        <b:NameList>
          <b:Person>
            <b:Last>WHO</b:Last>
            <b:First>vaccine-preventable</b:First>
            <b:Middle>diseases monitoring system</b:Middle>
          </b:Person>
        </b:NameList>
      </b:Author>
    </b:Author>
    <b:Title>2019 global summary</b:Title>
    <b:Year>2019</b:Year>
    <b:Month>Aug</b:Month>
    <b:Day>31</b:Day>
    <b:URL>http://apps.who.int/immunization_monitoring/globalsummary/schedules</b:URL>
    <b:RefOrder>16</b:RefOrder>
  </b:Source>
  <b:Source>
    <b:Tag>Nat19</b:Tag>
    <b:SourceType>InternetSite</b:SourceType>
    <b:Guid>{62402F3D-ABA6-448A-A875-17CAC5981926}</b:Guid>
    <b:Title>Canadian Immunization Guide Chapter on Influenza and Statement on Seasonal Influenza Vaccine for 2018–2019</b:Title>
    <b:Year>2019</b:Year>
    <b:Author>
      <b:Author>
        <b:Corporate>National Advisory Committee on Immunization</b:Corporate>
      </b:Author>
    </b:Author>
    <b:Month>Aug</b:Month>
    <b:Day>31</b:Day>
    <b:URL>https://www.canada.ca/en/public-health/services/publications/healthy-living/canadian-immunization-guide-statement-seasonal-influenza-vaccine-2018-2019.html#2.5</b:URL>
    <b:RefOrder>17</b:RefOrder>
  </b:Source>
  <b:Source>
    <b:Tag>deW12</b:Tag>
    <b:SourceType>JournalArticle</b:SourceType>
    <b:Guid>{7B32170D-4BE7-4BA1-A2A5-5127C7DBDC99}</b:Guid>
    <b:Title>Economic valur of influenza vaccination</b:Title>
    <b:JournalName>Human Vaccines &amp; Immunotherapeutics</b:JournalName>
    <b:Year>2012</b:Year>
    <b:Pages>119-129</b:Pages>
    <b:Author>
      <b:Author>
        <b:NameList>
          <b:Person>
            <b:Last>de Waure</b:Last>
            <b:First>Chiara</b:First>
          </b:Person>
          <b:Person>
            <b:Last>Veneziano</b:Last>
            <b:First>Maria Assunta</b:First>
          </b:Person>
          <b:Person>
            <b:Last>Cadeddu</b:Last>
            <b:First>Chiara</b:First>
          </b:Person>
          <b:Person>
            <b:Last>Capizzi</b:Last>
            <b:First>Silvio</b:First>
          </b:Person>
          <b:Person>
            <b:Last>Specchia</b:Last>
            <b:First>Maria Lucia</b:First>
          </b:Person>
          <b:Person>
            <b:Last>Capri</b:Last>
            <b:First>Stefano</b:First>
          </b:Person>
          <b:Person>
            <b:Last>Ricciardi</b:Last>
            <b:First>Walter</b:First>
          </b:Person>
        </b:NameList>
      </b:Author>
    </b:Author>
    <b:Volume>8</b:Volume>
    <b:Issue>1</b:Issue>
    <b:RefOrder>20</b:RefOrder>
  </b:Source>
  <b:Source>
    <b:Tag>Tin17</b:Tag>
    <b:SourceType>JournalArticle</b:SourceType>
    <b:Guid>{15EBB7EE-6A1F-4F33-9420-3EC7F1B0824F}</b:Guid>
    <b:Title>Systematic review of the cost-effectiveness of influenza immunization programs</b:Title>
    <b:JournalName>Vaccine</b:JournalName>
    <b:Year>2017</b:Year>
    <b:Pages>1828-1843</b:Pages>
    <b:Author>
      <b:Author>
        <b:NameList>
          <b:Person>
            <b:Last>Ting</b:Last>
            <b:First>Eon E. K.</b:First>
          </b:Person>
          <b:Person>
            <b:Last>Sander</b:Last>
            <b:First>Beate</b:First>
          </b:Person>
          <b:Person>
            <b:Last>Ungar</b:Last>
            <b:First>Wendy J.</b:First>
          </b:Person>
        </b:NameList>
      </b:Author>
    </b:Author>
    <b:Month>April</b:Month>
    <b:Volume>35</b:Volume>
    <b:Issue>15</b:Issue>
    <b:RefOrder>22</b:RefOrder>
  </b:Source>
  <b:Source>
    <b:Tag>Gut051</b:Tag>
    <b:SourceType>JournalArticle</b:SourceType>
    <b:Guid>{CFE77CFC-8399-4B8D-B6AE-F2982CFBBF2F}</b:Guid>
    <b:Title>Vacunación contra influenza en adultos mayores en México: consideraciones económicas</b:Title>
    <b:Year>2005</b:Year>
    <b:Author>
      <b:Author>
        <b:NameList>
          <b:Person>
            <b:Last>Gutiérrez</b:Last>
            <b:First>Juan Pablo</b:First>
          </b:Person>
          <b:Person>
            <b:Last>Bertozzi</b:Last>
            <b:First>Stefano M</b:First>
          </b:Person>
        </b:NameList>
      </b:Author>
    </b:Author>
    <b:JournalName>Salud Pública de México</b:JournalName>
    <b:Pages>234-239</b:Pages>
    <b:Volume>47</b:Volume>
    <b:Issue>3</b:Issue>
    <b:RefOrder>33</b:RefOrder>
  </b:Source>
  <b:Source>
    <b:Tag>Van13</b:Tag>
    <b:SourceType>JournalArticle</b:SourceType>
    <b:Guid>{B0C58DD0-1F1A-4FC0-9A8D-AE2688572669}</b:Guid>
    <b:Title>An approximation of herd effect due to vaccinating children against seasonal influenza - a potential solution to the incorporation indirect effects into static models</b:Title>
    <b:JournalName>BMC Infectious Diseases</b:JournalName>
    <b:Year>2013</b:Year>
    <b:Pages>25</b:Pages>
    <b:Author>
      <b:Author>
        <b:NameList>
          <b:Person>
            <b:Last>Van Vlaenderen</b:Last>
            <b:First>Ilse</b:First>
          </b:Person>
          <b:Person>
            <b:Last>Van Bellinghen</b:Last>
            <b:First>Laure-Anne</b:First>
          </b:Person>
          <b:Person>
            <b:Last>Meier </b:Last>
            <b:First>Genevieve</b:First>
          </b:Person>
          <b:Person>
            <b:Last>Poulsen Nautrup</b:Last>
            <b:First>Barbara</b:First>
          </b:Person>
        </b:NameList>
      </b:Author>
    </b:Author>
    <b:Volume>13</b:Volume>
    <b:RefOrder>34</b:RefOrder>
  </b:Source>
  <b:Source>
    <b:Tag>Pea13</b:Tag>
    <b:SourceType>JournalArticle</b:SourceType>
    <b:Guid>{9272612C-D491-4A39-8B31-20A4D8146F77}</b:Guid>
    <b:Author>
      <b:Author>
        <b:NameList>
          <b:Person>
            <b:Last>Peasah SK</b:Last>
            <b:First>Azziz-Baumgartner</b:First>
            <b:Middle>E, Breese J, Meltzer MI, Widdowson MA.</b:Middle>
          </b:Person>
        </b:NameList>
      </b:Author>
    </b:Author>
    <b:Title>Influenza cost and cost-effectiveness studies globally--a review</b:Title>
    <b:Year>2013</b:Year>
    <b:Month>November</b:Month>
    <b:Day>4</b:Day>
    <b:JournalName>Vaccine</b:JournalName>
    <b:Pages>5339-48</b:Pages>
    <b:Volume>31</b:Volume>
    <b:Issue>46</b:Issue>
    <b:DOI>10.1016/j.vaccine.2013.09.013.</b:DOI>
    <b:RefOrder>21</b:RefOrder>
  </b:Source>
  <b:Source>
    <b:Tag>Som18</b:Tag>
    <b:SourceType>JournalArticle</b:SourceType>
    <b:Guid>{63A3E0A4-1658-42AD-9F7C-2EC44C110808}</b:Guid>
    <b:Author>
      <b:Author>
        <b:NameList>
          <b:Person>
            <b:Last>Somes MP</b:Last>
            <b:First>Turner</b:First>
            <b:Middle>RM, Dwyer LJ, Newall AT</b:Middle>
          </b:Person>
        </b:NameList>
      </b:Author>
    </b:Author>
    <b:Title>Estimating the annual attack rate of seasonal influenza among unvaccinated individuals: A systematic review and meta-analysis.</b:Title>
    <b:JournalName>Vaccine</b:JournalName>
    <b:Year>2018</b:Year>
    <b:Pages>3199-3207</b:Pages>
    <b:Month>May</b:Month>
    <b:Day>31</b:Day>
    <b:Volume>36</b:Volume>
    <b:Issue>23</b:Issue>
    <b:DOI>10.1016/j.vaccine.2018.04.063.</b:DOI>
    <b:RefOrder>35</b:RefOrder>
  </b:Source>
  <b:Source>
    <b:Tag>Wor19</b:Tag>
    <b:SourceType>InternetSite</b:SourceType>
    <b:Guid>{044004AE-9868-4BDC-B4E2-601B86F570C6}</b:Guid>
    <b:Author>
      <b:Author>
        <b:Corporate>World Health Organization</b:Corporate>
      </b:Author>
    </b:Author>
    <b:Title>Sentinel Surveillance</b:Title>
    <b:URL>https://www.who.int/immunization/monitoring_surveillance/burden/vpd/surveillance_type/sentinel/en/</b:URL>
    <b:YearAccessed>2019</b:YearAccessed>
    <b:MonthAccessed>Marzo</b:MonthAccessed>
    <b:DayAccessed>29</b:DayAccessed>
    <b:RefOrder>49</b:RefOrder>
  </b:Source>
  <b:Source>
    <b:Tag>Wor15</b:Tag>
    <b:SourceType>DocumentFromInternetSite</b:SourceType>
    <b:Guid>{68586910-8F3F-4479-924E-239FBB020238}</b:Guid>
    <b:Author>
      <b:Author>
        <b:Corporate>World Health Organization</b:Corporate>
      </b:Author>
    </b:Author>
    <b:Title>A Manual for estimating disease burden associated with seasonal influenza</b:Title>
    <b:Year>2015</b:Year>
    <b:URL>https://apps.who.int/iris/bitstream/handle/10665/178801/9789241549301_eng.pdf;jsessionid=C93CD5E604D383D71B8A0646F3B8B164?sequence=1</b:URL>
    <b:YearAccessed>2019</b:YearAccessed>
    <b:MonthAccessed>Marzo</b:MonthAccessed>
    <b:DayAccessed>29</b:DayAccessed>
    <b:RefOrder>50</b:RefOrder>
  </b:Source>
  <b:Source>
    <b:Tag>MarcadorDePosición1</b:Tag>
    <b:SourceType>DocumentFromInternetSite</b:SourceType>
    <b:Guid>{7803BAFD-44C8-41D2-B06F-EB92E6AE3AD7}</b:Guid>
    <b:Title>Disease Burden of Influenza</b:Title>
    <b:Author>
      <b:Author>
        <b:Corporate>Centers for Disease Control and Prevention</b:Corporate>
      </b:Author>
    </b:Author>
    <b:URL>https://www.cdc.gov/flu/about/burden/index.html</b:URL>
    <b:YearAccessed>2019</b:YearAccessed>
    <b:MonthAccessed>Mayo</b:MonthAccessed>
    <b:DayAccessed>18</b:DayAccessed>
    <b:RefOrder>51</b:RefOrder>
  </b:Source>
  <b:Source>
    <b:Tag>Vac</b:Tag>
    <b:SourceType>DocumentFromInternetSite</b:SourceType>
    <b:Guid>{D3B4F262-EF3C-42C9-A8D1-7A4A7A474074}</b:Guid>
    <b:Title>Esquema de Vacunación</b:Title>
    <b:Year>2019</b:Year>
    <b:Author>
      <b:Author>
        <b:Corporate>Secretaria de Salud</b:Corporate>
      </b:Author>
    </b:Author>
    <b:Month>August</b:Month>
    <b:Day>20</b:Day>
    <b:URL>https://www.gob.mx/salud/articulos/esquema-de-vacunacion</b:URL>
    <b:RefOrder>18</b:RefOrder>
  </b:Source>
</b:Sources>
</file>

<file path=customXml/itemProps1.xml><?xml version="1.0" encoding="utf-8"?>
<ds:datastoreItem xmlns:ds="http://schemas.openxmlformats.org/officeDocument/2006/customXml" ds:itemID="{14519412-1907-4761-A0A9-DE1C93AC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9591</Words>
  <Characters>52751</Characters>
  <Application>Microsoft Office Word</Application>
  <DocSecurity>0</DocSecurity>
  <Lines>439</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Falcón Lezama</dc:creator>
  <cp:keywords/>
  <dc:description/>
  <cp:lastModifiedBy>Rodrigo Saucedo</cp:lastModifiedBy>
  <cp:revision>3</cp:revision>
  <cp:lastPrinted>2020-03-09T14:15:00Z</cp:lastPrinted>
  <dcterms:created xsi:type="dcterms:W3CDTF">2020-03-17T22:18:00Z</dcterms:created>
  <dcterms:modified xsi:type="dcterms:W3CDTF">2020-03-17T22:36:00Z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