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kern w:val="0"/>
          <w:sz w:val="24"/>
        </w:rPr>
      </w:pPr>
      <w:r>
        <w:rPr>
          <w:rFonts w:ascii="Times New Roman" w:hAnsi="Times New Roman" w:cs="Times New Roman"/>
          <w:b/>
          <w:kern w:val="0"/>
          <w:sz w:val="24"/>
        </w:rPr>
        <w:t>Table S1</w:t>
      </w:r>
    </w:p>
    <w:p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Findings Regarding Resistance to Mouth Opening, Resistance to Insertion, Cough, Swallowing, Laryngospasm/Airway Obstruction, and Head and Body Movement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132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Objection</w:t>
            </w:r>
          </w:p>
        </w:tc>
        <w:tc>
          <w:tcPr>
            <w:tcW w:w="1320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Score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Standard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Resistance to mouth opening grade</w:t>
            </w:r>
          </w:p>
        </w:tc>
        <w:tc>
          <w:tcPr>
            <w:tcW w:w="1320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3 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20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Significant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20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1 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Undue force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Resistance to insertion grade</w:t>
            </w:r>
          </w:p>
        </w:tc>
        <w:tc>
          <w:tcPr>
            <w:tcW w:w="1320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3 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Easy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20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2 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20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1 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Significant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Cough</w:t>
            </w:r>
          </w:p>
        </w:tc>
        <w:tc>
          <w:tcPr>
            <w:tcW w:w="1320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3 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Undue force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20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2 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Light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20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1 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Serious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Swallowing grade</w:t>
            </w:r>
          </w:p>
        </w:tc>
        <w:tc>
          <w:tcPr>
            <w:tcW w:w="1320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3 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20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2 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Slight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20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1 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Gross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Laryngospasm/airway obstruction</w:t>
            </w:r>
          </w:p>
        </w:tc>
        <w:tc>
          <w:tcPr>
            <w:tcW w:w="1320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3 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20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2 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Slight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20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1 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Gross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Head and body movement</w:t>
            </w:r>
          </w:p>
        </w:tc>
        <w:tc>
          <w:tcPr>
            <w:tcW w:w="1320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3 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20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2 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Slight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20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1 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Gross</w:t>
            </w:r>
          </w:p>
        </w:tc>
      </w:tr>
    </w:tbl>
    <w:p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evaluation criteria of laryngeal mask placement conditions comprise six-three levels proposed by Sivalingam, which are graded on six aspects: resistance to mouth opening, resistance to insertion, coughing, swallowing, laryngospasm/airway obstruction, and head and body movement. Each item is divided into 3 points, 2 points, and 1 point, based on the degree of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severity. The full score was 18 points; 16 points and higher indicated a satisfactory response, and less than 16 points indicated an unsatisfactory response.</w:t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B6"/>
    <w:rsid w:val="00650CB6"/>
    <w:rsid w:val="23E5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SimSun" w:cs="SimSu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Segoe UI" w:hAnsi="Segoe UI" w:cs="Segoe UI"/>
      <w:sz w:val="18"/>
      <w:szCs w:val="18"/>
    </w:rPr>
  </w:style>
  <w:style w:type="table" w:styleId="4">
    <w:name w:val="Table Grid"/>
    <w:basedOn w:val="3"/>
    <w:qFormat/>
    <w:uiPriority w:val="39"/>
    <w:pPr>
      <w:spacing w:after="0" w:line="240" w:lineRule="auto"/>
    </w:pPr>
    <w:rPr>
      <w:rFonts w:ascii="Calibri" w:hAnsi="Calibri" w:cs="Times New Roman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annotation reference"/>
    <w:basedOn w:val="5"/>
    <w:semiHidden/>
    <w:unhideWhenUsed/>
    <w:uiPriority w:val="99"/>
    <w:rPr>
      <w:rFonts w:cs="Times New Roman"/>
      <w:sz w:val="16"/>
      <w:szCs w:val="16"/>
    </w:rPr>
  </w:style>
  <w:style w:type="character" w:customStyle="1" w:styleId="7">
    <w:name w:val="Balloon Text Char"/>
    <w:basedOn w:val="5"/>
    <w:link w:val="2"/>
    <w:semiHidden/>
    <w:uiPriority w:val="99"/>
    <w:rPr>
      <w:rFonts w:ascii="Segoe UI" w:hAnsi="Segoe UI" w:eastAsia="SimSun" w:cs="Segoe UI"/>
      <w:kern w:val="2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264</Words>
  <Characters>1509</Characters>
  <Lines>12</Lines>
  <Paragraphs>3</Paragraphs>
  <TotalTime>1</TotalTime>
  <ScaleCrop>false</ScaleCrop>
  <LinksUpToDate>false</LinksUpToDate>
  <CharactersWithSpaces>1770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2019-05-08T12:13:00Z</dcterms:created>
  <dc:creator>Author</dc:creator>
  <cp:lastModifiedBy>wangxiaohua</cp:lastModifiedBy>
  <dcterms:modified xsi:type="dcterms:W3CDTF">2019-06-06T01:30:00Z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