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3C2" w:rsidRPr="00E343C2" w:rsidRDefault="00E343C2" w:rsidP="00E343C2">
      <w:pPr>
        <w:tabs>
          <w:tab w:val="left" w:pos="1073"/>
        </w:tabs>
        <w:spacing w:line="480" w:lineRule="auto"/>
        <w:jc w:val="both"/>
        <w:rPr>
          <w:sz w:val="28"/>
          <w:szCs w:val="28"/>
          <w:u w:val="single"/>
          <w:lang w:val="en-GB"/>
        </w:rPr>
      </w:pPr>
      <w:r w:rsidRPr="00E343C2">
        <w:rPr>
          <w:b/>
          <w:noProof/>
          <w:sz w:val="28"/>
          <w:szCs w:val="28"/>
          <w:u w:val="single"/>
          <w:lang w:val="en-GB" w:eastAsia="nl-BE"/>
        </w:rPr>
        <w:t>ADDITIONAL FILE 1:</w:t>
      </w:r>
    </w:p>
    <w:p w:rsidR="00E343C2" w:rsidRPr="00FA6AF7" w:rsidRDefault="00E343C2" w:rsidP="00E343C2">
      <w:pPr>
        <w:spacing w:after="0" w:line="480" w:lineRule="auto"/>
        <w:rPr>
          <w:b/>
          <w:sz w:val="28"/>
          <w:szCs w:val="28"/>
          <w:lang w:val="en-GB"/>
        </w:rPr>
      </w:pPr>
      <w:r w:rsidRPr="00FA6AF7">
        <w:rPr>
          <w:b/>
          <w:sz w:val="28"/>
          <w:szCs w:val="28"/>
          <w:lang w:val="en-GB"/>
        </w:rPr>
        <w:t xml:space="preserve">AGGLOMERATION OF TITANIUM DIOXIDE NANOPARTICLES INCREASES TOXICOLOGICAL RESPONSES </w:t>
      </w:r>
      <w:r w:rsidRPr="00FA6AF7">
        <w:rPr>
          <w:b/>
          <w:i/>
          <w:sz w:val="28"/>
          <w:szCs w:val="28"/>
          <w:lang w:val="en-GB"/>
        </w:rPr>
        <w:t>IN VITRO</w:t>
      </w:r>
      <w:r w:rsidRPr="00FA6AF7">
        <w:rPr>
          <w:b/>
          <w:sz w:val="28"/>
          <w:szCs w:val="28"/>
          <w:lang w:val="en-GB"/>
        </w:rPr>
        <w:t xml:space="preserve"> AND </w:t>
      </w:r>
      <w:r w:rsidRPr="00FA6AF7">
        <w:rPr>
          <w:b/>
          <w:i/>
          <w:sz w:val="28"/>
          <w:szCs w:val="28"/>
          <w:lang w:val="en-GB"/>
        </w:rPr>
        <w:t>IN VIVO</w:t>
      </w:r>
      <w:r w:rsidRPr="00FA6AF7">
        <w:rPr>
          <w:b/>
          <w:sz w:val="28"/>
          <w:szCs w:val="28"/>
          <w:lang w:val="en-GB"/>
        </w:rPr>
        <w:t xml:space="preserve">  </w:t>
      </w:r>
    </w:p>
    <w:p w:rsidR="00E343C2" w:rsidRPr="009310AF" w:rsidRDefault="00E343C2" w:rsidP="00E343C2">
      <w:pPr>
        <w:rPr>
          <w:rFonts w:ascii="Calibri" w:hAnsi="Calibri" w:cs="Calibri"/>
          <w:b/>
          <w:bCs/>
          <w:lang w:val="en-GB"/>
        </w:rPr>
      </w:pPr>
      <w:r w:rsidRPr="00113BC4">
        <w:rPr>
          <w:rFonts w:cstheme="minorHAnsi"/>
          <w:sz w:val="24"/>
          <w:szCs w:val="24"/>
          <w:lang w:val="en-GB"/>
        </w:rPr>
        <w:t>Sivakumar Murugadoss</w:t>
      </w:r>
      <w:r w:rsidRPr="00113BC4">
        <w:rPr>
          <w:rFonts w:cstheme="minorHAnsi"/>
          <w:sz w:val="24"/>
          <w:szCs w:val="24"/>
          <w:vertAlign w:val="superscript"/>
          <w:lang w:val="en-GB"/>
        </w:rPr>
        <w:t>1</w:t>
      </w:r>
      <w:r>
        <w:rPr>
          <w:rFonts w:cstheme="minorHAnsi"/>
          <w:sz w:val="24"/>
          <w:szCs w:val="24"/>
          <w:lang w:val="en-GB"/>
        </w:rPr>
        <w:t>, Frederic Bra</w:t>
      </w:r>
      <w:r w:rsidRPr="00113BC4">
        <w:rPr>
          <w:rFonts w:cstheme="minorHAnsi"/>
          <w:sz w:val="24"/>
          <w:szCs w:val="24"/>
          <w:lang w:val="en-GB"/>
        </w:rPr>
        <w:t>ssinne</w:t>
      </w:r>
      <w:r w:rsidRPr="00113BC4">
        <w:rPr>
          <w:rFonts w:cstheme="minorHAnsi"/>
          <w:sz w:val="24"/>
          <w:szCs w:val="24"/>
          <w:vertAlign w:val="superscript"/>
          <w:lang w:val="en-GB"/>
        </w:rPr>
        <w:t>2</w:t>
      </w:r>
      <w:r w:rsidRPr="00113BC4">
        <w:rPr>
          <w:rFonts w:cstheme="minorHAnsi"/>
          <w:sz w:val="24"/>
          <w:szCs w:val="24"/>
          <w:lang w:val="en-GB"/>
        </w:rPr>
        <w:t>, Noham Sebaihi</w:t>
      </w:r>
      <w:r w:rsidRPr="00113BC4">
        <w:rPr>
          <w:rFonts w:cstheme="minorHAnsi"/>
          <w:sz w:val="24"/>
          <w:szCs w:val="24"/>
          <w:vertAlign w:val="superscript"/>
          <w:lang w:val="en-GB"/>
        </w:rPr>
        <w:t>3</w:t>
      </w:r>
      <w:r w:rsidRPr="00113BC4">
        <w:rPr>
          <w:rFonts w:cstheme="minorHAnsi"/>
          <w:sz w:val="24"/>
          <w:szCs w:val="24"/>
          <w:lang w:val="en-GB"/>
        </w:rPr>
        <w:t>, Jasmine Petry</w:t>
      </w:r>
      <w:r w:rsidRPr="00113BC4">
        <w:rPr>
          <w:rFonts w:cstheme="minorHAnsi"/>
          <w:sz w:val="24"/>
          <w:szCs w:val="24"/>
          <w:vertAlign w:val="superscript"/>
          <w:lang w:val="en-GB"/>
        </w:rPr>
        <w:t>3</w:t>
      </w:r>
      <w:r w:rsidRPr="00113BC4">
        <w:rPr>
          <w:rFonts w:cstheme="minorHAnsi"/>
          <w:sz w:val="24"/>
          <w:szCs w:val="24"/>
          <w:lang w:val="en-GB"/>
        </w:rPr>
        <w:t>,</w:t>
      </w:r>
      <w:r w:rsidRPr="009310AF">
        <w:rPr>
          <w:rFonts w:cstheme="minorHAnsi"/>
          <w:sz w:val="24"/>
          <w:szCs w:val="24"/>
          <w:lang w:val="en-GB"/>
        </w:rPr>
        <w:t xml:space="preserve"> </w:t>
      </w:r>
      <w:r w:rsidRPr="009310AF">
        <w:rPr>
          <w:rFonts w:ascii="Calibri" w:hAnsi="Calibri" w:cs="Calibri"/>
          <w:bCs/>
          <w:lang w:val="en-GB"/>
        </w:rPr>
        <w:t>Stevan M. Cokic</w:t>
      </w:r>
      <w:r w:rsidRPr="00A9437B">
        <w:rPr>
          <w:rFonts w:ascii="Calibri" w:hAnsi="Calibri" w:cs="Calibri"/>
          <w:bCs/>
          <w:vertAlign w:val="superscript"/>
          <w:lang w:val="en-GB"/>
        </w:rPr>
        <w:t>4</w:t>
      </w:r>
      <w:r w:rsidRPr="009310AF">
        <w:rPr>
          <w:rFonts w:ascii="Calibri" w:hAnsi="Calibri" w:cs="Calibri"/>
          <w:bCs/>
          <w:lang w:val="en-GB"/>
        </w:rPr>
        <w:t xml:space="preserve"> , Kirsten L. Van Landuyt</w:t>
      </w:r>
      <w:r w:rsidRPr="00A9437B">
        <w:rPr>
          <w:rFonts w:ascii="Calibri" w:hAnsi="Calibri" w:cs="Calibri"/>
          <w:bCs/>
          <w:vertAlign w:val="superscript"/>
          <w:lang w:val="en-GB"/>
        </w:rPr>
        <w:t>4</w:t>
      </w:r>
      <w:r w:rsidRPr="009310AF">
        <w:rPr>
          <w:rFonts w:ascii="Calibri" w:hAnsi="Calibri" w:cs="Calibri"/>
          <w:bCs/>
          <w:lang w:val="en-GB"/>
        </w:rPr>
        <w:t xml:space="preserve">, </w:t>
      </w:r>
      <w:r w:rsidRPr="00113BC4">
        <w:rPr>
          <w:rFonts w:cstheme="minorHAnsi"/>
          <w:sz w:val="24"/>
          <w:szCs w:val="24"/>
          <w:lang w:val="en-GB"/>
        </w:rPr>
        <w:t>Lode Godderis</w:t>
      </w:r>
      <w:r>
        <w:rPr>
          <w:rFonts w:cstheme="minorHAnsi"/>
          <w:sz w:val="24"/>
          <w:szCs w:val="24"/>
          <w:vertAlign w:val="superscript"/>
          <w:lang w:val="en-GB"/>
        </w:rPr>
        <w:t>5,7</w:t>
      </w:r>
      <w:r w:rsidRPr="00113BC4">
        <w:rPr>
          <w:rFonts w:cstheme="minorHAnsi"/>
          <w:sz w:val="24"/>
          <w:szCs w:val="24"/>
          <w:lang w:val="en-GB"/>
        </w:rPr>
        <w:t>, Jan Mast</w:t>
      </w:r>
      <w:r w:rsidRPr="00113BC4">
        <w:rPr>
          <w:rFonts w:cstheme="minorHAnsi"/>
          <w:sz w:val="24"/>
          <w:szCs w:val="24"/>
          <w:vertAlign w:val="superscript"/>
          <w:lang w:val="en-GB"/>
        </w:rPr>
        <w:t>2</w:t>
      </w:r>
      <w:r w:rsidRPr="00113BC4">
        <w:rPr>
          <w:rFonts w:cstheme="minorHAnsi"/>
          <w:sz w:val="24"/>
          <w:szCs w:val="24"/>
          <w:lang w:val="en-GB"/>
        </w:rPr>
        <w:t>, Dominique Lison</w:t>
      </w:r>
      <w:r>
        <w:rPr>
          <w:rFonts w:cstheme="minorHAnsi"/>
          <w:sz w:val="24"/>
          <w:szCs w:val="24"/>
          <w:vertAlign w:val="superscript"/>
          <w:lang w:val="en-GB"/>
        </w:rPr>
        <w:t>6</w:t>
      </w:r>
      <w:r w:rsidRPr="00113BC4">
        <w:rPr>
          <w:rFonts w:cstheme="minorHAnsi"/>
          <w:sz w:val="24"/>
          <w:szCs w:val="24"/>
          <w:lang w:val="en-GB"/>
        </w:rPr>
        <w:t>, Peter H. Hoet</w:t>
      </w:r>
      <w:r w:rsidRPr="00113BC4">
        <w:rPr>
          <w:rFonts w:cstheme="minorHAnsi"/>
          <w:sz w:val="24"/>
          <w:szCs w:val="24"/>
          <w:vertAlign w:val="superscript"/>
          <w:lang w:val="en-GB"/>
        </w:rPr>
        <w:t>1,</w:t>
      </w:r>
      <w:r w:rsidRPr="00E343C2">
        <w:rPr>
          <w:rFonts w:eastAsia="Times New Roman" w:cstheme="minorHAnsi"/>
          <w:sz w:val="24"/>
          <w:szCs w:val="24"/>
          <w:vertAlign w:val="superscript"/>
          <w:lang w:val="en-GB"/>
        </w:rPr>
        <w:t xml:space="preserve">§ </w:t>
      </w:r>
      <w:r w:rsidRPr="00E343C2">
        <w:rPr>
          <w:rFonts w:eastAsia="Times New Roman" w:cstheme="minorHAnsi"/>
          <w:sz w:val="24"/>
          <w:szCs w:val="24"/>
          <w:lang w:val="en-GB"/>
        </w:rPr>
        <w:t>,</w:t>
      </w:r>
      <w:r w:rsidRPr="00743EF7">
        <w:rPr>
          <w:rFonts w:cstheme="minorHAnsi"/>
          <w:sz w:val="24"/>
          <w:szCs w:val="24"/>
          <w:lang w:val="en-GB"/>
        </w:rPr>
        <w:t xml:space="preserve"> </w:t>
      </w:r>
      <w:r w:rsidRPr="00113BC4">
        <w:rPr>
          <w:rFonts w:cstheme="minorHAnsi"/>
          <w:sz w:val="24"/>
          <w:szCs w:val="24"/>
          <w:lang w:val="en-GB"/>
        </w:rPr>
        <w:t>Sybille van den Brule</w:t>
      </w:r>
      <w:r w:rsidRPr="00534D56">
        <w:rPr>
          <w:rFonts w:cstheme="minorHAnsi"/>
          <w:sz w:val="24"/>
          <w:szCs w:val="24"/>
          <w:vertAlign w:val="superscript"/>
          <w:lang w:val="en-GB"/>
        </w:rPr>
        <w:t>6</w:t>
      </w:r>
      <w:r w:rsidRPr="00113BC4">
        <w:rPr>
          <w:rFonts w:cstheme="minorHAnsi"/>
          <w:sz w:val="24"/>
          <w:szCs w:val="24"/>
          <w:vertAlign w:val="superscript"/>
          <w:lang w:val="en-GB"/>
        </w:rPr>
        <w:t>,</w:t>
      </w:r>
      <w:r w:rsidRPr="00E343C2">
        <w:rPr>
          <w:rFonts w:eastAsia="Times New Roman" w:cstheme="minorHAnsi"/>
          <w:sz w:val="24"/>
          <w:szCs w:val="24"/>
          <w:vertAlign w:val="superscript"/>
          <w:lang w:val="en-GB"/>
        </w:rPr>
        <w:t>§</w:t>
      </w:r>
    </w:p>
    <w:p w:rsidR="00E343C2" w:rsidRPr="00E343C2" w:rsidRDefault="00E343C2" w:rsidP="00E343C2">
      <w:pPr>
        <w:spacing w:after="0" w:line="480" w:lineRule="auto"/>
        <w:jc w:val="both"/>
        <w:rPr>
          <w:rFonts w:eastAsia="WenQuanYi Micro Hei" w:cstheme="minorHAnsi"/>
          <w:sz w:val="24"/>
          <w:szCs w:val="24"/>
          <w:lang w:val="en-GB" w:eastAsia="fr-BE"/>
        </w:rPr>
      </w:pPr>
      <w:r w:rsidRPr="00E343C2">
        <w:rPr>
          <w:rFonts w:eastAsia="WenQuanYi Micro Hei" w:cstheme="minorHAnsi"/>
          <w:sz w:val="24"/>
          <w:szCs w:val="24"/>
          <w:vertAlign w:val="superscript"/>
          <w:lang w:val="en-GB" w:eastAsia="fr-BE"/>
        </w:rPr>
        <w:t>1</w:t>
      </w:r>
      <w:r w:rsidRPr="00E343C2">
        <w:rPr>
          <w:rFonts w:eastAsia="WenQuanYi Micro Hei" w:cstheme="minorHAnsi"/>
          <w:sz w:val="24"/>
          <w:szCs w:val="24"/>
          <w:lang w:val="en-GB" w:eastAsia="fr-BE"/>
        </w:rPr>
        <w:t>Laboratory of Toxicology, Unit of Environment and Health, Department of Public Health and Primary Care, KU Leuven, 3000 Leuven, Belgium</w:t>
      </w:r>
    </w:p>
    <w:p w:rsidR="00E343C2" w:rsidRPr="00E343C2" w:rsidRDefault="00E343C2" w:rsidP="00E343C2">
      <w:pPr>
        <w:spacing w:after="0" w:line="480" w:lineRule="auto"/>
        <w:jc w:val="both"/>
        <w:rPr>
          <w:rFonts w:eastAsia="WenQuanYi Micro Hei" w:cstheme="minorHAnsi"/>
          <w:sz w:val="24"/>
          <w:szCs w:val="24"/>
          <w:lang w:val="en-GB" w:eastAsia="fr-BE"/>
        </w:rPr>
      </w:pPr>
      <w:r w:rsidRPr="00E343C2">
        <w:rPr>
          <w:rFonts w:eastAsia="WenQuanYi Micro Hei" w:cstheme="minorHAnsi"/>
          <w:sz w:val="24"/>
          <w:szCs w:val="24"/>
          <w:vertAlign w:val="superscript"/>
          <w:lang w:val="en-GB" w:eastAsia="fr-BE"/>
        </w:rPr>
        <w:t>2</w:t>
      </w:r>
      <w:r w:rsidRPr="00E343C2">
        <w:rPr>
          <w:rFonts w:eastAsia="WenQuanYi Micro Hei" w:cstheme="minorHAnsi"/>
          <w:sz w:val="24"/>
          <w:szCs w:val="24"/>
          <w:lang w:val="en-GB" w:eastAsia="fr-BE"/>
        </w:rPr>
        <w:t>Trace Elements and Nanomaterials, Sciensano, 1180 Uccle, Belgium</w:t>
      </w:r>
    </w:p>
    <w:p w:rsidR="00E343C2" w:rsidRPr="00E343C2" w:rsidRDefault="00E343C2" w:rsidP="00E343C2">
      <w:pPr>
        <w:spacing w:after="0" w:line="480" w:lineRule="auto"/>
        <w:jc w:val="both"/>
        <w:rPr>
          <w:rFonts w:eastAsia="WenQuanYi Micro Hei" w:cstheme="minorHAnsi"/>
          <w:sz w:val="24"/>
          <w:szCs w:val="24"/>
          <w:lang w:val="en-GB" w:eastAsia="fr-BE"/>
        </w:rPr>
      </w:pPr>
      <w:r w:rsidRPr="00E343C2">
        <w:rPr>
          <w:rFonts w:eastAsia="WenQuanYi Micro Hei" w:cstheme="minorHAnsi"/>
          <w:sz w:val="24"/>
          <w:szCs w:val="24"/>
          <w:vertAlign w:val="superscript"/>
          <w:lang w:val="en-GB" w:eastAsia="fr-BE"/>
        </w:rPr>
        <w:t>3</w:t>
      </w:r>
      <w:r w:rsidRPr="00E343C2">
        <w:rPr>
          <w:rFonts w:eastAsia="WenQuanYi Micro Hei" w:cstheme="minorHAnsi"/>
          <w:sz w:val="24"/>
          <w:szCs w:val="24"/>
          <w:lang w:val="en-GB" w:eastAsia="fr-BE"/>
        </w:rPr>
        <w:t>National Standards, FPS Economy, 1000 Brussels, Belgium</w:t>
      </w:r>
    </w:p>
    <w:p w:rsidR="00E343C2" w:rsidRPr="00E343C2" w:rsidRDefault="00E343C2" w:rsidP="00E343C2">
      <w:pPr>
        <w:spacing w:after="0" w:line="480" w:lineRule="auto"/>
        <w:jc w:val="both"/>
        <w:rPr>
          <w:rFonts w:eastAsia="WenQuanYi Micro Hei" w:cstheme="minorHAnsi"/>
          <w:sz w:val="24"/>
          <w:szCs w:val="24"/>
          <w:lang w:val="en-GB" w:eastAsia="fr-BE"/>
        </w:rPr>
      </w:pPr>
      <w:r w:rsidRPr="00E343C2">
        <w:rPr>
          <w:rFonts w:eastAsia="WenQuanYi Micro Hei" w:cstheme="minorHAnsi"/>
          <w:sz w:val="24"/>
          <w:szCs w:val="24"/>
          <w:vertAlign w:val="superscript"/>
          <w:lang w:val="en-GB" w:eastAsia="fr-BE"/>
        </w:rPr>
        <w:t>4</w:t>
      </w:r>
      <w:r w:rsidRPr="00E343C2">
        <w:rPr>
          <w:rFonts w:eastAsia="WenQuanYi Micro Hei" w:cstheme="minorHAnsi"/>
          <w:sz w:val="24"/>
          <w:szCs w:val="24"/>
          <w:lang w:val="en-GB" w:eastAsia="fr-BE"/>
        </w:rPr>
        <w:t>KU Leuven, Department of Oral Health Sciences, BIOMAT &amp; UZ Leuven (University Hospitals Leuven), Dentistry, Kapucijnenvoer 7, 3000 Leuven, Belgium</w:t>
      </w:r>
    </w:p>
    <w:p w:rsidR="00E343C2" w:rsidRPr="00E343C2" w:rsidRDefault="00E343C2" w:rsidP="00E343C2">
      <w:pPr>
        <w:spacing w:after="0" w:line="480" w:lineRule="auto"/>
        <w:jc w:val="both"/>
        <w:rPr>
          <w:rFonts w:cstheme="minorHAnsi"/>
          <w:sz w:val="24"/>
          <w:szCs w:val="24"/>
          <w:lang w:val="en-GB"/>
        </w:rPr>
      </w:pPr>
      <w:r w:rsidRPr="00E343C2">
        <w:rPr>
          <w:rFonts w:cstheme="minorHAnsi"/>
          <w:sz w:val="24"/>
          <w:szCs w:val="24"/>
          <w:vertAlign w:val="superscript"/>
          <w:lang w:val="en-GB"/>
        </w:rPr>
        <w:t>5</w:t>
      </w:r>
      <w:r w:rsidRPr="00E343C2">
        <w:rPr>
          <w:rFonts w:cstheme="minorHAnsi"/>
          <w:sz w:val="24"/>
          <w:szCs w:val="24"/>
          <w:lang w:val="en-GB"/>
        </w:rPr>
        <w:t>Laboratory for Occupational and Environmental Hygiene, Unit of Environment and Health, Department of Public Health and Primary Care, KU Leuven, 3000 Leuven, Belgium</w:t>
      </w:r>
    </w:p>
    <w:p w:rsidR="00E343C2" w:rsidRPr="00E343C2" w:rsidRDefault="00E343C2" w:rsidP="00E343C2">
      <w:pPr>
        <w:spacing w:after="0" w:line="480" w:lineRule="auto"/>
        <w:jc w:val="both"/>
        <w:rPr>
          <w:rFonts w:eastAsia="WenQuanYi Micro Hei" w:cstheme="minorHAnsi"/>
          <w:sz w:val="24"/>
          <w:szCs w:val="24"/>
          <w:lang w:val="en-GB" w:eastAsia="fr-BE"/>
        </w:rPr>
      </w:pPr>
      <w:r w:rsidRPr="00E343C2">
        <w:rPr>
          <w:rFonts w:eastAsia="WenQuanYi Micro Hei" w:cstheme="minorHAnsi"/>
          <w:sz w:val="24"/>
          <w:szCs w:val="24"/>
          <w:vertAlign w:val="superscript"/>
          <w:lang w:val="en-GB"/>
        </w:rPr>
        <w:t>6</w:t>
      </w:r>
      <w:r w:rsidRPr="00E343C2">
        <w:rPr>
          <w:rFonts w:eastAsia="WenQuanYi Micro Hei" w:cstheme="minorHAnsi"/>
          <w:sz w:val="24"/>
          <w:szCs w:val="24"/>
          <w:lang w:val="en-GB" w:eastAsia="fr-BE"/>
        </w:rPr>
        <w:t xml:space="preserve">Louvain centre for Toxicology and Applied Pharmacology, </w:t>
      </w:r>
      <w:r w:rsidRPr="00E343C2">
        <w:rPr>
          <w:rFonts w:eastAsia="Times New Roman" w:cstheme="minorHAnsi"/>
          <w:sz w:val="24"/>
          <w:szCs w:val="24"/>
          <w:lang w:val="en-GB" w:eastAsia="fr-BE"/>
        </w:rPr>
        <w:t xml:space="preserve">Institute of Experimental and Clinical Research, </w:t>
      </w:r>
      <w:r w:rsidRPr="00E343C2">
        <w:rPr>
          <w:rFonts w:eastAsia="WenQuanYi Micro Hei" w:cstheme="minorHAnsi"/>
          <w:sz w:val="24"/>
          <w:szCs w:val="24"/>
          <w:lang w:val="en-GB" w:eastAsia="fr-BE"/>
        </w:rPr>
        <w:t>Université catholique de Louvain, 1200 Brussels, Belgium</w:t>
      </w:r>
    </w:p>
    <w:p w:rsidR="00E343C2" w:rsidRPr="00E343C2" w:rsidRDefault="00E343C2" w:rsidP="00E343C2">
      <w:pPr>
        <w:spacing w:after="0" w:line="480" w:lineRule="auto"/>
        <w:jc w:val="both"/>
        <w:rPr>
          <w:rFonts w:eastAsia="WenQuanYi Micro Hei" w:cstheme="minorHAnsi"/>
          <w:sz w:val="24"/>
          <w:szCs w:val="24"/>
          <w:lang w:val="en-GB" w:eastAsia="fr-BE"/>
        </w:rPr>
      </w:pPr>
      <w:r w:rsidRPr="00E343C2">
        <w:rPr>
          <w:rFonts w:eastAsia="WenQuanYi Micro Hei" w:cstheme="minorHAnsi"/>
          <w:sz w:val="24"/>
          <w:szCs w:val="24"/>
          <w:vertAlign w:val="superscript"/>
          <w:lang w:val="en-GB" w:eastAsia="fr-BE"/>
        </w:rPr>
        <w:t>7</w:t>
      </w:r>
      <w:r w:rsidRPr="00E343C2">
        <w:rPr>
          <w:rFonts w:eastAsia="WenQuanYi Micro Hei" w:cstheme="minorHAnsi"/>
          <w:sz w:val="24"/>
          <w:szCs w:val="24"/>
          <w:lang w:val="en-GB" w:eastAsia="fr-BE"/>
        </w:rPr>
        <w:t>IDEWE, External Service for Prevention and Protection at work, Interleuvenlaan 58, 3001 Heverlee, Belgium</w:t>
      </w: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>
      <w:pPr>
        <w:rPr>
          <w:b/>
          <w:noProof/>
          <w:sz w:val="24"/>
          <w:szCs w:val="24"/>
          <w:lang w:val="en-GB" w:eastAsia="nl-BE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  <w:r w:rsidRPr="004A7BED">
        <w:rPr>
          <w:rFonts w:cstheme="minorHAnsi"/>
          <w:b/>
          <w:sz w:val="24"/>
          <w:szCs w:val="24"/>
          <w:lang w:val="en-GB"/>
        </w:rPr>
        <w:lastRenderedPageBreak/>
        <w:t>Materials and Methods:</w:t>
      </w:r>
    </w:p>
    <w:p w:rsidR="00E343C2" w:rsidRPr="004A7BED" w:rsidRDefault="00E343C2" w:rsidP="00E343C2">
      <w:pPr>
        <w:pStyle w:val="Heading3"/>
        <w:spacing w:after="240"/>
        <w:rPr>
          <w:rFonts w:asciiTheme="minorHAnsi" w:hAnsiTheme="minorHAnsi" w:cstheme="minorHAnsi"/>
        </w:rPr>
      </w:pPr>
      <w:r w:rsidRPr="004A7BED">
        <w:rPr>
          <w:rFonts w:asciiTheme="minorHAnsi" w:hAnsiTheme="minorHAnsi" w:cstheme="minorHAnsi"/>
        </w:rPr>
        <w:t>TiO</w:t>
      </w:r>
      <w:r w:rsidRPr="004A7BED">
        <w:rPr>
          <w:rFonts w:asciiTheme="minorHAnsi" w:hAnsiTheme="minorHAnsi" w:cstheme="minorHAnsi"/>
          <w:vertAlign w:val="subscript"/>
        </w:rPr>
        <w:t>2</w:t>
      </w:r>
      <w:r w:rsidRPr="004A7BED">
        <w:rPr>
          <w:rFonts w:asciiTheme="minorHAnsi" w:hAnsiTheme="minorHAnsi" w:cstheme="minorHAnsi"/>
        </w:rPr>
        <w:t xml:space="preserve"> uptake studies</w:t>
      </w:r>
      <w:r>
        <w:rPr>
          <w:rFonts w:asciiTheme="minorHAnsi" w:hAnsiTheme="minorHAnsi" w:cstheme="minorHAnsi"/>
        </w:rPr>
        <w:t>:</w:t>
      </w: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  <w:r w:rsidRPr="004A7BED">
        <w:rPr>
          <w:rFonts w:cstheme="minorHAnsi"/>
          <w:sz w:val="24"/>
          <w:szCs w:val="24"/>
          <w:lang w:val="en-GB"/>
        </w:rPr>
        <w:t>HBE cells exposed to 50 µg/mL of TiO</w:t>
      </w:r>
      <w:r w:rsidRPr="004A7BED">
        <w:rPr>
          <w:rFonts w:cstheme="minorHAnsi"/>
          <w:sz w:val="24"/>
          <w:szCs w:val="24"/>
          <w:vertAlign w:val="subscript"/>
          <w:lang w:val="en-GB"/>
        </w:rPr>
        <w:t>2</w:t>
      </w:r>
      <w:r w:rsidRPr="004A7BED">
        <w:rPr>
          <w:rFonts w:cstheme="minorHAnsi"/>
          <w:sz w:val="24"/>
          <w:szCs w:val="24"/>
          <w:lang w:val="en-GB"/>
        </w:rPr>
        <w:t xml:space="preserve"> suspensions for 24 h were fixed with 2.5% formaldehyde in DPBS buffer (without Ca</w:t>
      </w:r>
      <w:r w:rsidRPr="004A7BED">
        <w:rPr>
          <w:rFonts w:cstheme="minorHAnsi"/>
          <w:sz w:val="24"/>
          <w:szCs w:val="24"/>
          <w:vertAlign w:val="superscript"/>
          <w:lang w:val="en-GB"/>
        </w:rPr>
        <w:t>2+</w:t>
      </w:r>
      <w:r w:rsidRPr="004A7BED">
        <w:rPr>
          <w:rFonts w:cstheme="minorHAnsi"/>
          <w:sz w:val="24"/>
          <w:szCs w:val="24"/>
          <w:lang w:val="en-GB"/>
        </w:rPr>
        <w:t>/Mg</w:t>
      </w:r>
      <w:r w:rsidRPr="004A7BED">
        <w:rPr>
          <w:rFonts w:cstheme="minorHAnsi"/>
          <w:sz w:val="24"/>
          <w:szCs w:val="24"/>
          <w:vertAlign w:val="superscript"/>
          <w:lang w:val="en-GB"/>
        </w:rPr>
        <w:t>2+</w:t>
      </w:r>
      <w:r w:rsidRPr="004A7BED">
        <w:rPr>
          <w:rFonts w:cstheme="minorHAnsi"/>
          <w:sz w:val="24"/>
          <w:szCs w:val="24"/>
          <w:lang w:val="en-GB"/>
        </w:rPr>
        <w:t xml:space="preserve">). Samples were washed three times using the same buffer, fixed in 1% OsO4  and dehydrated in ascending concentrations of ethanol. Subsequently, the cells were embedded in epoxy resin (Sigma Aldrich Chemie Gmbh, Steinheim, Germany). Sections of 50-70 nm were obtained by ultramicrotomy using a diamond knife and images were acquired using TEM (JEOL, JEM-1200 EX II Tokyo, Japan) at a voltage of 80 </w:t>
      </w:r>
      <w:r>
        <w:rPr>
          <w:rFonts w:cstheme="minorHAnsi"/>
          <w:sz w:val="24"/>
          <w:szCs w:val="24"/>
          <w:lang w:val="en-GB"/>
        </w:rPr>
        <w:t>kV.</w:t>
      </w: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rFonts w:cstheme="minorHAnsi"/>
          <w:sz w:val="24"/>
          <w:szCs w:val="24"/>
          <w:lang w:val="en-GB"/>
        </w:rPr>
      </w:pPr>
    </w:p>
    <w:p w:rsidR="00E343C2" w:rsidRDefault="00E343C2" w:rsidP="00894DFA">
      <w:pPr>
        <w:tabs>
          <w:tab w:val="left" w:pos="1073"/>
        </w:tabs>
        <w:spacing w:line="480" w:lineRule="auto"/>
        <w:jc w:val="both"/>
        <w:rPr>
          <w:b/>
          <w:noProof/>
          <w:sz w:val="24"/>
          <w:szCs w:val="24"/>
          <w:lang w:val="en-GB" w:eastAsia="nl-BE"/>
        </w:rPr>
      </w:pPr>
    </w:p>
    <w:p w:rsidR="00894DFA" w:rsidRPr="000954E2" w:rsidRDefault="006D339F" w:rsidP="00894DFA">
      <w:pPr>
        <w:tabs>
          <w:tab w:val="left" w:pos="1073"/>
        </w:tabs>
        <w:spacing w:line="480" w:lineRule="auto"/>
        <w:jc w:val="both"/>
        <w:rPr>
          <w:b/>
          <w:sz w:val="24"/>
          <w:szCs w:val="24"/>
          <w:lang w:val="en-GB"/>
        </w:rPr>
      </w:pPr>
      <w:r w:rsidRPr="000954E2">
        <w:rPr>
          <w:b/>
          <w:sz w:val="24"/>
          <w:szCs w:val="24"/>
          <w:lang w:val="en-GB"/>
        </w:rPr>
        <w:t>T</w:t>
      </w:r>
      <w:r w:rsidR="00894DFA" w:rsidRPr="000954E2">
        <w:rPr>
          <w:b/>
          <w:sz w:val="24"/>
          <w:szCs w:val="24"/>
          <w:lang w:val="en-GB"/>
        </w:rPr>
        <w:t xml:space="preserve">able </w:t>
      </w:r>
      <w:r w:rsidRPr="000954E2">
        <w:rPr>
          <w:b/>
          <w:sz w:val="24"/>
          <w:szCs w:val="24"/>
          <w:lang w:val="en-GB"/>
        </w:rPr>
        <w:t>S</w:t>
      </w:r>
      <w:r w:rsidR="00894DFA" w:rsidRPr="000954E2">
        <w:rPr>
          <w:b/>
          <w:sz w:val="24"/>
          <w:szCs w:val="24"/>
          <w:lang w:val="en-GB"/>
        </w:rPr>
        <w:t xml:space="preserve">1: </w:t>
      </w:r>
      <w:r w:rsidR="00333212" w:rsidRPr="000954E2">
        <w:rPr>
          <w:b/>
          <w:sz w:val="24"/>
          <w:szCs w:val="24"/>
          <w:lang w:val="en-GB"/>
        </w:rPr>
        <w:t>Main p</w:t>
      </w:r>
      <w:r w:rsidR="00894DFA" w:rsidRPr="000954E2">
        <w:rPr>
          <w:b/>
          <w:sz w:val="24"/>
          <w:szCs w:val="24"/>
          <w:lang w:val="en-GB"/>
        </w:rPr>
        <w:t xml:space="preserve">arameters necessary to calculate the delivered dose </w:t>
      </w:r>
      <w:r w:rsidR="00894DFA" w:rsidRPr="000954E2">
        <w:rPr>
          <w:b/>
          <w:i/>
          <w:sz w:val="24"/>
          <w:szCs w:val="24"/>
          <w:lang w:val="en-GB"/>
        </w:rPr>
        <w:t>in vitro</w:t>
      </w:r>
      <w:r w:rsidR="00894DFA" w:rsidRPr="000954E2">
        <w:rPr>
          <w:b/>
          <w:sz w:val="24"/>
          <w:szCs w:val="24"/>
          <w:lang w:val="en-GB"/>
        </w:rPr>
        <w:t xml:space="preserve"> for different</w:t>
      </w:r>
      <w:r w:rsidR="00CC211F" w:rsidRPr="000954E2">
        <w:rPr>
          <w:b/>
          <w:sz w:val="24"/>
          <w:szCs w:val="24"/>
          <w:lang w:val="en-GB"/>
        </w:rPr>
        <w:t xml:space="preserve"> the</w:t>
      </w:r>
      <w:r w:rsidR="00894DFA" w:rsidRPr="000954E2">
        <w:rPr>
          <w:b/>
          <w:sz w:val="24"/>
          <w:szCs w:val="24"/>
          <w:lang w:val="en-GB"/>
        </w:rPr>
        <w:t xml:space="preserve"> TiO</w:t>
      </w:r>
      <w:r w:rsidR="00894DFA" w:rsidRPr="000954E2">
        <w:rPr>
          <w:b/>
          <w:sz w:val="24"/>
          <w:szCs w:val="24"/>
          <w:vertAlign w:val="subscript"/>
          <w:lang w:val="en-GB"/>
        </w:rPr>
        <w:t>2</w:t>
      </w:r>
      <w:r w:rsidR="00894DFA" w:rsidRPr="000954E2">
        <w:rPr>
          <w:b/>
          <w:sz w:val="24"/>
          <w:szCs w:val="24"/>
          <w:lang w:val="en-GB"/>
        </w:rPr>
        <w:t xml:space="preserve"> suspensions. </w:t>
      </w:r>
    </w:p>
    <w:tbl>
      <w:tblPr>
        <w:tblStyle w:val="TableGrid"/>
        <w:tblpPr w:leftFromText="141" w:rightFromText="141" w:vertAnchor="text" w:horzAnchor="margin" w:tblpY="-72"/>
        <w:tblW w:w="5000" w:type="pct"/>
        <w:tblLayout w:type="fixed"/>
        <w:tblLook w:val="04A0" w:firstRow="1" w:lastRow="0" w:firstColumn="1" w:lastColumn="0" w:noHBand="0" w:noVBand="1"/>
      </w:tblPr>
      <w:tblGrid>
        <w:gridCol w:w="2775"/>
        <w:gridCol w:w="986"/>
        <w:gridCol w:w="980"/>
        <w:gridCol w:w="982"/>
        <w:gridCol w:w="982"/>
        <w:gridCol w:w="986"/>
        <w:gridCol w:w="917"/>
        <w:gridCol w:w="906"/>
        <w:gridCol w:w="952"/>
      </w:tblGrid>
      <w:tr w:rsidR="00E53FDD" w:rsidRPr="00E53FDD" w:rsidTr="00E53FDD">
        <w:trPr>
          <w:trHeight w:val="99"/>
        </w:trPr>
        <w:tc>
          <w:tcPr>
            <w:tcW w:w="1326" w:type="pct"/>
            <w:tcBorders>
              <w:left w:val="nil"/>
              <w:bottom w:val="single" w:sz="4" w:space="0" w:color="auto"/>
            </w:tcBorders>
          </w:tcPr>
          <w:p w:rsidR="00E53FDD" w:rsidRPr="00894DFA" w:rsidRDefault="00E53FDD" w:rsidP="00E53FDD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77" w:type="pct"/>
            <w:gridSpan w:val="4"/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DMEM/F12</w:t>
            </w:r>
          </w:p>
        </w:tc>
        <w:tc>
          <w:tcPr>
            <w:tcW w:w="1798" w:type="pct"/>
            <w:gridSpan w:val="4"/>
            <w:tcBorders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RPMI 1640</w:t>
            </w:r>
          </w:p>
        </w:tc>
      </w:tr>
      <w:tr w:rsidR="00E53FDD" w:rsidRPr="00E53FDD" w:rsidTr="00E53FDD">
        <w:trPr>
          <w:trHeight w:val="195"/>
        </w:trPr>
        <w:tc>
          <w:tcPr>
            <w:tcW w:w="1326" w:type="pct"/>
            <w:tcBorders>
              <w:left w:val="nil"/>
              <w:bottom w:val="nil"/>
              <w:right w:val="single" w:sz="4" w:space="0" w:color="auto"/>
            </w:tcBorders>
          </w:tcPr>
          <w:p w:rsidR="00E53FDD" w:rsidRPr="00E53FDD" w:rsidRDefault="00E53FDD" w:rsidP="00894D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Suspension</w:t>
            </w:r>
          </w:p>
        </w:tc>
        <w:tc>
          <w:tcPr>
            <w:tcW w:w="471" w:type="pct"/>
            <w:tcBorders>
              <w:left w:val="single" w:sz="4" w:space="0" w:color="auto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17nm</w:t>
            </w:r>
          </w:p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SA</w:t>
            </w:r>
          </w:p>
        </w:tc>
        <w:tc>
          <w:tcPr>
            <w:tcW w:w="468" w:type="pct"/>
            <w:tcBorders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17nm</w:t>
            </w:r>
          </w:p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LA</w:t>
            </w:r>
          </w:p>
        </w:tc>
        <w:tc>
          <w:tcPr>
            <w:tcW w:w="469" w:type="pct"/>
            <w:tcBorders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117nm</w:t>
            </w:r>
          </w:p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SA</w:t>
            </w:r>
          </w:p>
        </w:tc>
        <w:tc>
          <w:tcPr>
            <w:tcW w:w="469" w:type="pct"/>
            <w:tcBorders>
              <w:left w:val="nil"/>
              <w:bottom w:val="nil"/>
              <w:right w:val="single" w:sz="4" w:space="0" w:color="auto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117nm</w:t>
            </w:r>
          </w:p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LA</w:t>
            </w:r>
          </w:p>
        </w:tc>
        <w:tc>
          <w:tcPr>
            <w:tcW w:w="471" w:type="pct"/>
            <w:tcBorders>
              <w:left w:val="single" w:sz="4" w:space="0" w:color="auto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17nm</w:t>
            </w:r>
          </w:p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SA</w:t>
            </w:r>
          </w:p>
        </w:tc>
        <w:tc>
          <w:tcPr>
            <w:tcW w:w="438" w:type="pct"/>
            <w:tcBorders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17nm</w:t>
            </w:r>
          </w:p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LA</w:t>
            </w:r>
          </w:p>
        </w:tc>
        <w:tc>
          <w:tcPr>
            <w:tcW w:w="433" w:type="pct"/>
            <w:tcBorders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117nm</w:t>
            </w:r>
          </w:p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SA</w:t>
            </w:r>
          </w:p>
        </w:tc>
        <w:tc>
          <w:tcPr>
            <w:tcW w:w="455" w:type="pct"/>
            <w:tcBorders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117nm</w:t>
            </w:r>
          </w:p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LA</w:t>
            </w:r>
          </w:p>
        </w:tc>
      </w:tr>
      <w:tr w:rsidR="00E53FDD" w:rsidRPr="00E53FDD" w:rsidTr="00E53FDD">
        <w:trPr>
          <w:trHeight w:val="295"/>
        </w:trPr>
        <w:tc>
          <w:tcPr>
            <w:tcW w:w="1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3FDD" w:rsidRPr="00E53FDD" w:rsidRDefault="00E53FDD" w:rsidP="00E53FD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Effective density (g/cm</w:t>
            </w:r>
            <w:r w:rsidRPr="00E53FDD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3FDD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1.5519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1.4939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Style w:val="Strong"/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1.7814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1.6804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1.4896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1.4634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1.6655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1.6543</w:t>
            </w:r>
          </w:p>
        </w:tc>
      </w:tr>
      <w:tr w:rsidR="00E53FDD" w:rsidRPr="00E53FDD" w:rsidTr="00E53FDD">
        <w:trPr>
          <w:trHeight w:val="195"/>
        </w:trPr>
        <w:tc>
          <w:tcPr>
            <w:tcW w:w="1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3FDD" w:rsidRPr="00E53FDD" w:rsidRDefault="00E53FDD" w:rsidP="00E53FD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Medium density (g/cm</w:t>
            </w:r>
            <w:r w:rsidRPr="00E53FDD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53FDD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1.0211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1.0211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1.0211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1.0211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1.0102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1.0102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1.0102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1.0102</w:t>
            </w:r>
          </w:p>
        </w:tc>
      </w:tr>
      <w:tr w:rsidR="00E53FDD" w:rsidRPr="00E53FDD" w:rsidTr="00E53FDD">
        <w:trPr>
          <w:trHeight w:val="295"/>
        </w:trPr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3FDD" w:rsidRPr="00E53FDD" w:rsidRDefault="00E53FDD" w:rsidP="00E53FD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Medium viscosity (mPa S)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0.95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0.95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0.95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3FDD" w:rsidRPr="00E53FDD" w:rsidRDefault="00E53FDD" w:rsidP="00E53FD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3FDD">
              <w:rPr>
                <w:rFonts w:cstheme="minorHAnsi"/>
                <w:sz w:val="20"/>
                <w:szCs w:val="20"/>
              </w:rPr>
              <w:t>0.95</w:t>
            </w:r>
          </w:p>
        </w:tc>
      </w:tr>
    </w:tbl>
    <w:p w:rsidR="00E53FDD" w:rsidRDefault="00E53FDD" w:rsidP="00894DFA">
      <w:pPr>
        <w:jc w:val="both"/>
        <w:rPr>
          <w:b/>
          <w:noProof/>
          <w:sz w:val="24"/>
          <w:szCs w:val="24"/>
          <w:lang w:eastAsia="nl-BE"/>
        </w:rPr>
      </w:pPr>
    </w:p>
    <w:p w:rsidR="00E53FDD" w:rsidRPr="00894DFA" w:rsidRDefault="00894DFA" w:rsidP="00894DFA">
      <w:pPr>
        <w:spacing w:line="480" w:lineRule="auto"/>
        <w:jc w:val="both"/>
        <w:rPr>
          <w:b/>
          <w:noProof/>
          <w:sz w:val="24"/>
          <w:szCs w:val="24"/>
          <w:lang w:val="en-GB" w:eastAsia="nl-BE"/>
        </w:rPr>
      </w:pPr>
      <w:r>
        <w:rPr>
          <w:sz w:val="24"/>
          <w:szCs w:val="24"/>
          <w:lang w:val="en-GB"/>
        </w:rPr>
        <w:t>Effective density of TiO</w:t>
      </w:r>
      <w:r w:rsidRPr="00894DFA">
        <w:rPr>
          <w:sz w:val="24"/>
          <w:szCs w:val="24"/>
          <w:vertAlign w:val="subscript"/>
          <w:lang w:val="en-GB"/>
        </w:rPr>
        <w:t xml:space="preserve">2 </w:t>
      </w:r>
      <w:r w:rsidR="002507EE">
        <w:rPr>
          <w:sz w:val="24"/>
          <w:szCs w:val="24"/>
          <w:lang w:val="en-GB"/>
        </w:rPr>
        <w:t xml:space="preserve">in exposure media </w:t>
      </w:r>
      <w:r>
        <w:rPr>
          <w:sz w:val="24"/>
          <w:szCs w:val="24"/>
          <w:lang w:val="en-GB"/>
        </w:rPr>
        <w:t>and, density and viscosity of exposure media prepared from DMEM/F12 and RPMI 1640</w:t>
      </w:r>
      <w:r w:rsidR="00CC211F">
        <w:rPr>
          <w:sz w:val="24"/>
          <w:szCs w:val="24"/>
          <w:lang w:val="en-GB"/>
        </w:rPr>
        <w:t xml:space="preserve"> were</w:t>
      </w:r>
      <w:r w:rsidR="002507EE">
        <w:rPr>
          <w:sz w:val="24"/>
          <w:szCs w:val="24"/>
          <w:lang w:val="en-GB"/>
        </w:rPr>
        <w:t xml:space="preserve"> calculated</w:t>
      </w:r>
      <w:r>
        <w:rPr>
          <w:sz w:val="24"/>
          <w:szCs w:val="24"/>
          <w:lang w:val="en-GB"/>
        </w:rPr>
        <w:t xml:space="preserve">. </w:t>
      </w:r>
      <w:r w:rsidRPr="00894DFA">
        <w:rPr>
          <w:sz w:val="24"/>
          <w:szCs w:val="24"/>
          <w:lang w:val="en-GB"/>
        </w:rPr>
        <w:t xml:space="preserve">All </w:t>
      </w:r>
      <w:r w:rsidR="00AF150B">
        <w:rPr>
          <w:sz w:val="24"/>
          <w:szCs w:val="24"/>
          <w:lang w:val="en-GB"/>
        </w:rPr>
        <w:t xml:space="preserve">dosimetry </w:t>
      </w:r>
      <w:r w:rsidRPr="00894DFA">
        <w:rPr>
          <w:sz w:val="24"/>
          <w:szCs w:val="24"/>
          <w:lang w:val="en-GB"/>
        </w:rPr>
        <w:t xml:space="preserve">simulations </w:t>
      </w:r>
      <w:proofErr w:type="gramStart"/>
      <w:r w:rsidRPr="00894DFA">
        <w:rPr>
          <w:sz w:val="24"/>
          <w:szCs w:val="24"/>
          <w:lang w:val="en-GB"/>
        </w:rPr>
        <w:t xml:space="preserve">were </w:t>
      </w:r>
      <w:r w:rsidR="000076FE">
        <w:rPr>
          <w:sz w:val="24"/>
          <w:szCs w:val="24"/>
          <w:lang w:val="en-GB"/>
        </w:rPr>
        <w:t>per</w:t>
      </w:r>
      <w:r w:rsidRPr="00894DFA">
        <w:rPr>
          <w:sz w:val="24"/>
          <w:szCs w:val="24"/>
          <w:lang w:val="en-GB"/>
        </w:rPr>
        <w:t>formed</w:t>
      </w:r>
      <w:proofErr w:type="gramEnd"/>
      <w:r w:rsidR="000076FE">
        <w:rPr>
          <w:sz w:val="24"/>
          <w:szCs w:val="24"/>
          <w:lang w:val="en-GB"/>
        </w:rPr>
        <w:t xml:space="preserve"> for </w:t>
      </w:r>
      <w:r w:rsidRPr="00894DFA">
        <w:rPr>
          <w:sz w:val="24"/>
          <w:szCs w:val="24"/>
          <w:lang w:val="en-GB"/>
        </w:rPr>
        <w:t>24</w:t>
      </w:r>
      <w:r w:rsidR="0074580B">
        <w:rPr>
          <w:sz w:val="24"/>
          <w:szCs w:val="24"/>
          <w:lang w:val="en-GB"/>
        </w:rPr>
        <w:t xml:space="preserve"> </w:t>
      </w:r>
      <w:r w:rsidRPr="00894DFA">
        <w:rPr>
          <w:sz w:val="24"/>
          <w:szCs w:val="24"/>
          <w:lang w:val="en-GB"/>
        </w:rPr>
        <w:t xml:space="preserve">h incubation at 37°C and </w:t>
      </w:r>
      <w:r w:rsidR="001221EB">
        <w:rPr>
          <w:sz w:val="24"/>
          <w:szCs w:val="24"/>
          <w:lang w:val="en-GB"/>
        </w:rPr>
        <w:t>for a</w:t>
      </w:r>
      <w:r w:rsidR="000076FE">
        <w:rPr>
          <w:sz w:val="24"/>
          <w:szCs w:val="24"/>
          <w:lang w:val="en-GB"/>
        </w:rPr>
        <w:t xml:space="preserve"> </w:t>
      </w:r>
      <w:r w:rsidRPr="00894DFA">
        <w:rPr>
          <w:sz w:val="24"/>
          <w:szCs w:val="24"/>
          <w:lang w:val="en-GB"/>
        </w:rPr>
        <w:t xml:space="preserve">6 mm </w:t>
      </w:r>
      <w:r w:rsidR="00CC211F">
        <w:rPr>
          <w:sz w:val="24"/>
          <w:szCs w:val="24"/>
          <w:lang w:val="en-GB"/>
        </w:rPr>
        <w:t xml:space="preserve">liquid </w:t>
      </w:r>
      <w:r w:rsidRPr="00894DFA">
        <w:rPr>
          <w:sz w:val="24"/>
          <w:szCs w:val="24"/>
          <w:lang w:val="en-GB"/>
        </w:rPr>
        <w:t>column height. The hydrodynamic</w:t>
      </w:r>
      <w:r w:rsidR="001221EB">
        <w:rPr>
          <w:sz w:val="24"/>
          <w:szCs w:val="24"/>
          <w:lang w:val="en-GB"/>
        </w:rPr>
        <w:t xml:space="preserve"> sizes </w:t>
      </w:r>
      <w:proofErr w:type="gramStart"/>
      <w:r w:rsidR="001221EB">
        <w:rPr>
          <w:sz w:val="24"/>
          <w:szCs w:val="24"/>
          <w:lang w:val="en-GB"/>
        </w:rPr>
        <w:t>are given</w:t>
      </w:r>
      <w:proofErr w:type="gramEnd"/>
      <w:r>
        <w:rPr>
          <w:sz w:val="24"/>
          <w:szCs w:val="24"/>
          <w:lang w:val="en-GB"/>
        </w:rPr>
        <w:t xml:space="preserve"> in table 2.</w:t>
      </w:r>
    </w:p>
    <w:p w:rsidR="00E53FDD" w:rsidRPr="00894DFA" w:rsidRDefault="005469E0" w:rsidP="005469E0">
      <w:pPr>
        <w:tabs>
          <w:tab w:val="left" w:pos="2955"/>
        </w:tabs>
        <w:rPr>
          <w:b/>
          <w:noProof/>
          <w:sz w:val="24"/>
          <w:szCs w:val="24"/>
          <w:lang w:val="en-GB" w:eastAsia="nl-BE"/>
        </w:rPr>
      </w:pPr>
      <w:r>
        <w:rPr>
          <w:b/>
          <w:noProof/>
          <w:sz w:val="24"/>
          <w:szCs w:val="24"/>
          <w:lang w:val="en-GB" w:eastAsia="nl-BE"/>
        </w:rPr>
        <w:tab/>
      </w: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E53FDD" w:rsidRPr="00894DFA" w:rsidRDefault="00E53FDD">
      <w:pPr>
        <w:rPr>
          <w:b/>
          <w:noProof/>
          <w:sz w:val="24"/>
          <w:szCs w:val="24"/>
          <w:lang w:val="en-GB" w:eastAsia="nl-BE"/>
        </w:rPr>
      </w:pPr>
    </w:p>
    <w:p w:rsidR="00894DFA" w:rsidRPr="00894DFA" w:rsidRDefault="00894DFA">
      <w:pPr>
        <w:rPr>
          <w:b/>
          <w:noProof/>
          <w:sz w:val="24"/>
          <w:szCs w:val="24"/>
          <w:lang w:val="en-GB" w:eastAsia="nl-BE"/>
        </w:rPr>
      </w:pPr>
    </w:p>
    <w:p w:rsidR="00650227" w:rsidRPr="00CC211F" w:rsidRDefault="00650227">
      <w:pPr>
        <w:rPr>
          <w:noProof/>
          <w:lang w:val="en-GB" w:eastAsia="nl-BE"/>
        </w:rPr>
      </w:pPr>
    </w:p>
    <w:p w:rsidR="00650227" w:rsidRPr="00CC211F" w:rsidRDefault="00650227">
      <w:pPr>
        <w:rPr>
          <w:noProof/>
          <w:lang w:val="en-GB" w:eastAsia="nl-BE"/>
        </w:rPr>
      </w:pPr>
    </w:p>
    <w:p w:rsidR="00650227" w:rsidRPr="00CC211F" w:rsidRDefault="00650227">
      <w:pPr>
        <w:rPr>
          <w:noProof/>
          <w:lang w:val="en-GB" w:eastAsia="nl-BE"/>
        </w:rPr>
      </w:pPr>
    </w:p>
    <w:p w:rsidR="00650227" w:rsidRPr="00CC211F" w:rsidRDefault="00650227">
      <w:pPr>
        <w:rPr>
          <w:noProof/>
          <w:lang w:val="en-GB" w:eastAsia="nl-BE"/>
        </w:rPr>
      </w:pPr>
    </w:p>
    <w:p w:rsidR="00650227" w:rsidRDefault="00650227">
      <w:r w:rsidRPr="00FF0537">
        <w:rPr>
          <w:noProof/>
          <w:lang w:eastAsia="nl-BE"/>
        </w:rPr>
        <w:lastRenderedPageBreak/>
        <w:drawing>
          <wp:inline distT="0" distB="0" distL="0" distR="0" wp14:anchorId="44AEA9AC" wp14:editId="7BAFFD14">
            <wp:extent cx="6260850" cy="20875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4842" r="5655" b="4505"/>
                    <a:stretch/>
                  </pic:blipFill>
                  <pic:spPr bwMode="auto">
                    <a:xfrm>
                      <a:off x="0" y="0"/>
                      <a:ext cx="6289052" cy="20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EC0" w:rsidRDefault="00650227" w:rsidP="00650227">
      <w:pPr>
        <w:tabs>
          <w:tab w:val="left" w:pos="3641"/>
        </w:tabs>
      </w:pPr>
      <w:r>
        <w:tab/>
      </w:r>
    </w:p>
    <w:p w:rsidR="00650227" w:rsidRPr="00650227" w:rsidRDefault="006D339F" w:rsidP="00650227">
      <w:pPr>
        <w:pStyle w:val="Caption"/>
        <w:jc w:val="center"/>
        <w:rPr>
          <w:i w:val="0"/>
          <w:color w:val="000000" w:themeColor="text1"/>
          <w:sz w:val="24"/>
          <w:szCs w:val="24"/>
          <w:lang w:val="en-GB"/>
        </w:rPr>
      </w:pPr>
      <w:r w:rsidRPr="006D339F">
        <w:rPr>
          <w:b/>
          <w:i w:val="0"/>
          <w:color w:val="000000" w:themeColor="text1"/>
          <w:sz w:val="24"/>
          <w:szCs w:val="24"/>
          <w:lang w:val="en-GB"/>
        </w:rPr>
        <w:t>F</w:t>
      </w:r>
      <w:r w:rsidR="00650227" w:rsidRPr="00650227">
        <w:rPr>
          <w:b/>
          <w:i w:val="0"/>
          <w:color w:val="000000" w:themeColor="text1"/>
          <w:sz w:val="24"/>
          <w:szCs w:val="24"/>
          <w:lang w:val="en-GB"/>
        </w:rPr>
        <w:t xml:space="preserve">igure </w:t>
      </w:r>
      <w:r>
        <w:rPr>
          <w:b/>
          <w:i w:val="0"/>
          <w:color w:val="000000" w:themeColor="text1"/>
          <w:sz w:val="24"/>
          <w:szCs w:val="24"/>
          <w:lang w:val="en-GB"/>
        </w:rPr>
        <w:t>S</w:t>
      </w:r>
      <w:r w:rsidR="00650227" w:rsidRPr="00650227">
        <w:rPr>
          <w:b/>
          <w:i w:val="0"/>
          <w:color w:val="000000" w:themeColor="text1"/>
          <w:sz w:val="24"/>
          <w:szCs w:val="24"/>
        </w:rPr>
        <w:fldChar w:fldCharType="begin"/>
      </w:r>
      <w:r w:rsidR="00650227" w:rsidRPr="00650227">
        <w:rPr>
          <w:b/>
          <w:i w:val="0"/>
          <w:color w:val="000000" w:themeColor="text1"/>
          <w:sz w:val="24"/>
          <w:szCs w:val="24"/>
          <w:lang w:val="en-GB"/>
        </w:rPr>
        <w:instrText xml:space="preserve"> SEQ Figure \* ARABIC </w:instrText>
      </w:r>
      <w:r w:rsidR="00650227" w:rsidRPr="00650227">
        <w:rPr>
          <w:b/>
          <w:i w:val="0"/>
          <w:color w:val="000000" w:themeColor="text1"/>
          <w:sz w:val="24"/>
          <w:szCs w:val="24"/>
        </w:rPr>
        <w:fldChar w:fldCharType="separate"/>
      </w:r>
      <w:r w:rsidR="00650227" w:rsidRPr="00650227">
        <w:rPr>
          <w:b/>
          <w:i w:val="0"/>
          <w:noProof/>
          <w:color w:val="000000" w:themeColor="text1"/>
          <w:sz w:val="24"/>
          <w:szCs w:val="24"/>
          <w:lang w:val="en-GB"/>
        </w:rPr>
        <w:t>1</w:t>
      </w:r>
      <w:r w:rsidR="00650227" w:rsidRPr="00650227">
        <w:rPr>
          <w:b/>
          <w:i w:val="0"/>
          <w:color w:val="000000" w:themeColor="text1"/>
          <w:sz w:val="24"/>
          <w:szCs w:val="24"/>
        </w:rPr>
        <w:fldChar w:fldCharType="end"/>
      </w:r>
      <w:r w:rsidR="00650227" w:rsidRPr="00650227">
        <w:rPr>
          <w:b/>
          <w:i w:val="0"/>
          <w:color w:val="000000" w:themeColor="text1"/>
          <w:sz w:val="24"/>
          <w:szCs w:val="24"/>
          <w:lang w:val="en-GB"/>
        </w:rPr>
        <w:t>: pH vs Zeta potential curves.</w:t>
      </w:r>
      <w:r w:rsidR="00650227" w:rsidRPr="00650227">
        <w:rPr>
          <w:i w:val="0"/>
          <w:color w:val="000000" w:themeColor="text1"/>
          <w:sz w:val="24"/>
          <w:szCs w:val="24"/>
          <w:lang w:val="en-GB"/>
        </w:rPr>
        <w:t xml:space="preserve"> 17 nm TiO</w:t>
      </w:r>
      <w:r w:rsidR="00650227" w:rsidRPr="00650227">
        <w:rPr>
          <w:i w:val="0"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650227">
        <w:rPr>
          <w:i w:val="0"/>
          <w:color w:val="000000" w:themeColor="text1"/>
          <w:sz w:val="24"/>
          <w:szCs w:val="24"/>
          <w:lang w:val="en-GB"/>
        </w:rPr>
        <w:t xml:space="preserve"> (A) and 117 nm TiO</w:t>
      </w:r>
      <w:r w:rsidR="00650227" w:rsidRPr="00650227">
        <w:rPr>
          <w:i w:val="0"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650227">
        <w:rPr>
          <w:i w:val="0"/>
          <w:color w:val="000000" w:themeColor="text1"/>
          <w:sz w:val="24"/>
          <w:szCs w:val="24"/>
          <w:lang w:val="en-GB"/>
        </w:rPr>
        <w:t xml:space="preserve"> (B)</w:t>
      </w:r>
      <w:r w:rsidR="00650227">
        <w:rPr>
          <w:i w:val="0"/>
          <w:color w:val="000000" w:themeColor="text1"/>
          <w:sz w:val="24"/>
          <w:szCs w:val="24"/>
          <w:lang w:val="en-GB"/>
        </w:rPr>
        <w:t>.</w:t>
      </w: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Pr="006D339F" w:rsidRDefault="00650227" w:rsidP="00650227">
      <w:pPr>
        <w:tabs>
          <w:tab w:val="left" w:pos="3641"/>
        </w:tabs>
        <w:rPr>
          <w:noProof/>
          <w:lang w:val="en-GB" w:eastAsia="nl-BE"/>
        </w:rPr>
      </w:pPr>
    </w:p>
    <w:p w:rsidR="00650227" w:rsidRPr="006D339F" w:rsidRDefault="00650227" w:rsidP="00650227">
      <w:pPr>
        <w:tabs>
          <w:tab w:val="left" w:pos="3641"/>
        </w:tabs>
        <w:rPr>
          <w:noProof/>
          <w:lang w:val="en-GB" w:eastAsia="nl-BE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810649" w:rsidP="00223141">
      <w:pPr>
        <w:tabs>
          <w:tab w:val="left" w:pos="3641"/>
        </w:tabs>
        <w:jc w:val="center"/>
        <w:rPr>
          <w:lang w:val="en-GB"/>
        </w:rPr>
      </w:pPr>
      <w:r w:rsidRPr="00810649">
        <w:rPr>
          <w:noProof/>
          <w:lang w:eastAsia="nl-BE"/>
        </w:rPr>
        <w:lastRenderedPageBreak/>
        <w:drawing>
          <wp:inline distT="0" distB="0" distL="0" distR="0">
            <wp:extent cx="5898885" cy="23336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22340" r="14517" b="24750"/>
                    <a:stretch/>
                  </pic:blipFill>
                  <pic:spPr bwMode="auto">
                    <a:xfrm>
                      <a:off x="0" y="0"/>
                      <a:ext cx="5904064" cy="233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227" w:rsidRPr="00650227" w:rsidRDefault="006D339F" w:rsidP="00650227">
      <w:pPr>
        <w:pStyle w:val="Caption"/>
        <w:spacing w:line="480" w:lineRule="auto"/>
        <w:jc w:val="both"/>
        <w:rPr>
          <w:rFonts w:cstheme="minorHAnsi"/>
          <w:i w:val="0"/>
          <w:color w:val="000000" w:themeColor="text1"/>
          <w:sz w:val="24"/>
          <w:szCs w:val="24"/>
          <w:lang w:val="en-GB"/>
        </w:rPr>
      </w:pPr>
      <w:r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t>F</w:t>
      </w:r>
      <w:r w:rsidR="00650227" w:rsidRPr="00650227"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t xml:space="preserve">igure </w:t>
      </w:r>
      <w:r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t>S</w:t>
      </w:r>
      <w:r w:rsidR="00650227" w:rsidRPr="00650227">
        <w:rPr>
          <w:rFonts w:cstheme="minorHAnsi"/>
          <w:b/>
          <w:i w:val="0"/>
          <w:color w:val="000000" w:themeColor="text1"/>
          <w:sz w:val="24"/>
          <w:szCs w:val="24"/>
        </w:rPr>
        <w:fldChar w:fldCharType="begin"/>
      </w:r>
      <w:r w:rsidR="00650227" w:rsidRPr="00650227"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instrText xml:space="preserve"> SEQ Figure \* ARABIC </w:instrText>
      </w:r>
      <w:r w:rsidR="00650227" w:rsidRPr="00650227">
        <w:rPr>
          <w:rFonts w:cstheme="minorHAnsi"/>
          <w:b/>
          <w:i w:val="0"/>
          <w:color w:val="000000" w:themeColor="text1"/>
          <w:sz w:val="24"/>
          <w:szCs w:val="24"/>
        </w:rPr>
        <w:fldChar w:fldCharType="separate"/>
      </w:r>
      <w:r w:rsidR="00650227" w:rsidRPr="00650227">
        <w:rPr>
          <w:rFonts w:cstheme="minorHAnsi"/>
          <w:b/>
          <w:i w:val="0"/>
          <w:noProof/>
          <w:color w:val="000000" w:themeColor="text1"/>
          <w:sz w:val="24"/>
          <w:szCs w:val="24"/>
          <w:lang w:val="en-GB"/>
        </w:rPr>
        <w:t>2</w:t>
      </w:r>
      <w:r w:rsidR="00650227" w:rsidRPr="00650227">
        <w:rPr>
          <w:rFonts w:cstheme="minorHAnsi"/>
          <w:b/>
          <w:i w:val="0"/>
          <w:color w:val="000000" w:themeColor="text1"/>
          <w:sz w:val="24"/>
          <w:szCs w:val="24"/>
        </w:rPr>
        <w:fldChar w:fldCharType="end"/>
      </w:r>
      <w:r w:rsidR="00650227" w:rsidRPr="00650227"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t xml:space="preserve">: Scheme of </w:t>
      </w:r>
      <w:r w:rsidR="001221EB"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t xml:space="preserve">the </w:t>
      </w:r>
      <w:r w:rsidR="00650227" w:rsidRPr="00650227"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t xml:space="preserve">protocol for the preparation of SA and LA </w:t>
      </w:r>
      <w:r w:rsidR="00CC211F" w:rsidRPr="00650227"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t>from TiO</w:t>
      </w:r>
      <w:r w:rsidR="00CC211F" w:rsidRPr="00650227">
        <w:rPr>
          <w:rFonts w:cstheme="minorHAnsi"/>
          <w:b/>
          <w:i w:val="0"/>
          <w:color w:val="000000" w:themeColor="text1"/>
          <w:sz w:val="24"/>
          <w:szCs w:val="24"/>
          <w:vertAlign w:val="subscript"/>
          <w:lang w:val="en-GB"/>
        </w:rPr>
        <w:t>2</w:t>
      </w:r>
      <w:r w:rsidR="00CC211F">
        <w:rPr>
          <w:rFonts w:cstheme="minorHAnsi"/>
          <w:b/>
          <w:i w:val="0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="00650227" w:rsidRPr="00650227">
        <w:rPr>
          <w:rFonts w:cstheme="minorHAnsi"/>
          <w:b/>
          <w:i w:val="0"/>
          <w:color w:val="000000" w:themeColor="text1"/>
          <w:sz w:val="24"/>
          <w:szCs w:val="24"/>
          <w:lang w:val="en-GB"/>
        </w:rPr>
        <w:t>suspensions.</w:t>
      </w:r>
      <w:r w:rsidR="00650227" w:rsidRPr="00650227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 To obtain small (SA) and large agglomerates (LA), 17 and 117nm TiO</w:t>
      </w:r>
      <w:r w:rsidR="00650227" w:rsidRPr="00650227">
        <w:rPr>
          <w:rFonts w:cstheme="minorHAnsi"/>
          <w:i w:val="0"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650227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 </w:t>
      </w:r>
      <w:r w:rsidR="00CC211F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were </w:t>
      </w:r>
      <w:r w:rsidR="009370F2">
        <w:rPr>
          <w:rFonts w:cstheme="minorHAnsi"/>
          <w:i w:val="0"/>
          <w:color w:val="000000" w:themeColor="text1"/>
          <w:sz w:val="24"/>
          <w:szCs w:val="24"/>
          <w:lang w:val="en-GB"/>
        </w:rPr>
        <w:t>dispersed at</w:t>
      </w:r>
      <w:r w:rsidR="00650227" w:rsidRPr="00650227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 different pH conditions, sonicated and stabilized</w:t>
      </w:r>
      <w:r w:rsidR="009A61D4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 with</w:t>
      </w:r>
      <w:r w:rsidR="00AF4D4E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 </w:t>
      </w:r>
      <w:r w:rsidR="009370F2">
        <w:rPr>
          <w:rFonts w:cstheme="minorHAnsi"/>
          <w:i w:val="0"/>
          <w:color w:val="000000" w:themeColor="text1"/>
          <w:sz w:val="24"/>
          <w:szCs w:val="24"/>
          <w:lang w:val="en-GB"/>
        </w:rPr>
        <w:t>BSA</w:t>
      </w:r>
      <w:r w:rsidR="009A61D4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 0.25%</w:t>
      </w:r>
      <w:r w:rsidR="00650227" w:rsidRPr="00650227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. </w:t>
      </w:r>
      <w:r w:rsidR="005F53CB" w:rsidRPr="005F53CB">
        <w:rPr>
          <w:rFonts w:cstheme="minorHAnsi"/>
          <w:i w:val="0"/>
          <w:color w:val="000000" w:themeColor="text1"/>
          <w:sz w:val="24"/>
          <w:szCs w:val="24"/>
          <w:lang w:val="en-GB"/>
        </w:rPr>
        <w:t>The suspensions dispersed at pH 2 were readjusted to pH 7-7.5</w:t>
      </w:r>
      <w:r w:rsidR="005F53CB">
        <w:rPr>
          <w:rFonts w:cstheme="minorHAnsi"/>
          <w:i w:val="0"/>
          <w:color w:val="000000" w:themeColor="text1"/>
          <w:sz w:val="24"/>
          <w:szCs w:val="24"/>
          <w:lang w:val="en-GB"/>
        </w:rPr>
        <w:t xml:space="preserve"> using 0.1M NaOH</w:t>
      </w:r>
      <w:r w:rsidR="00650227" w:rsidRPr="00650227">
        <w:rPr>
          <w:rFonts w:cstheme="minorHAnsi"/>
          <w:i w:val="0"/>
          <w:color w:val="000000" w:themeColor="text1"/>
          <w:sz w:val="24"/>
          <w:szCs w:val="24"/>
          <w:lang w:val="en-GB"/>
        </w:rPr>
        <w:t>.</w:t>
      </w: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5F53CB" w:rsidP="005F53CB">
      <w:pPr>
        <w:tabs>
          <w:tab w:val="left" w:pos="2910"/>
        </w:tabs>
        <w:rPr>
          <w:lang w:val="en-GB"/>
        </w:rPr>
      </w:pPr>
      <w:r>
        <w:rPr>
          <w:lang w:val="en-GB"/>
        </w:rPr>
        <w:tab/>
      </w: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650227">
      <w:pPr>
        <w:tabs>
          <w:tab w:val="left" w:pos="3641"/>
        </w:tabs>
        <w:rPr>
          <w:lang w:val="en-GB"/>
        </w:rPr>
      </w:pPr>
    </w:p>
    <w:p w:rsidR="00650227" w:rsidRDefault="00650227" w:rsidP="005469E0">
      <w:pPr>
        <w:rPr>
          <w:lang w:val="en-GB"/>
        </w:rPr>
      </w:pPr>
    </w:p>
    <w:p w:rsidR="00650227" w:rsidRPr="00E32822" w:rsidRDefault="00E32822" w:rsidP="00650227">
      <w:pPr>
        <w:tabs>
          <w:tab w:val="left" w:pos="3641"/>
        </w:tabs>
        <w:rPr>
          <w:lang w:val="en-GB"/>
        </w:rPr>
      </w:pPr>
      <w:r w:rsidRPr="00E32822">
        <w:rPr>
          <w:noProof/>
          <w:lang w:eastAsia="nl-BE"/>
        </w:rPr>
        <w:lastRenderedPageBreak/>
        <w:drawing>
          <wp:inline distT="0" distB="0" distL="0" distR="0">
            <wp:extent cx="6246230" cy="618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667" r="1947" b="2489"/>
                    <a:stretch/>
                  </pic:blipFill>
                  <pic:spPr bwMode="auto">
                    <a:xfrm>
                      <a:off x="0" y="0"/>
                      <a:ext cx="6266218" cy="62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9E0" w:rsidRDefault="006D339F" w:rsidP="00F807D8">
      <w:pPr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GB"/>
        </w:rPr>
        <w:t>F</w:t>
      </w:r>
      <w:r w:rsidR="00650227" w:rsidRPr="00650227">
        <w:rPr>
          <w:rFonts w:cstheme="minorHAnsi"/>
          <w:b/>
          <w:sz w:val="24"/>
          <w:szCs w:val="24"/>
          <w:lang w:val="en-GB"/>
        </w:rPr>
        <w:t xml:space="preserve">igure </w:t>
      </w:r>
      <w:r>
        <w:rPr>
          <w:rFonts w:cstheme="minorHAnsi"/>
          <w:b/>
          <w:sz w:val="24"/>
          <w:szCs w:val="24"/>
          <w:lang w:val="en-GB"/>
        </w:rPr>
        <w:t>S</w:t>
      </w:r>
      <w:r w:rsidR="00650227" w:rsidRPr="00650227">
        <w:rPr>
          <w:rFonts w:cstheme="minorHAnsi"/>
          <w:b/>
          <w:color w:val="000000" w:themeColor="text1"/>
          <w:sz w:val="24"/>
          <w:szCs w:val="24"/>
          <w:lang w:val="en-GB"/>
        </w:rPr>
        <w:t>3: Influence of TiO</w:t>
      </w:r>
      <w:r w:rsidR="00650227" w:rsidRPr="00650227">
        <w:rPr>
          <w:rFonts w:cstheme="minorHAnsi"/>
          <w:b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650227">
        <w:rPr>
          <w:rFonts w:cstheme="minorHAnsi"/>
          <w:b/>
          <w:color w:val="000000" w:themeColor="text1"/>
          <w:sz w:val="24"/>
          <w:szCs w:val="24"/>
          <w:lang w:val="en-GB"/>
        </w:rPr>
        <w:t xml:space="preserve"> agglomeration on cytotoxicity </w:t>
      </w:r>
      <w:r w:rsidR="00650227" w:rsidRPr="00650227">
        <w:rPr>
          <w:rFonts w:cstheme="minorHAnsi"/>
          <w:b/>
          <w:i/>
          <w:color w:val="000000" w:themeColor="text1"/>
          <w:sz w:val="24"/>
          <w:szCs w:val="24"/>
          <w:lang w:val="en-GB"/>
        </w:rPr>
        <w:t>in vitro</w:t>
      </w:r>
      <w:r w:rsidR="00650227" w:rsidRPr="00650227">
        <w:rPr>
          <w:rFonts w:cstheme="minorHAnsi"/>
          <w:b/>
          <w:color w:val="000000" w:themeColor="text1"/>
          <w:sz w:val="24"/>
          <w:szCs w:val="24"/>
          <w:lang w:val="en-GB"/>
        </w:rPr>
        <w:t>.</w:t>
      </w:r>
      <w:r w:rsidR="0042316F">
        <w:rPr>
          <w:rFonts w:cstheme="minorHAnsi"/>
          <w:color w:val="000000" w:themeColor="text1"/>
          <w:sz w:val="24"/>
          <w:szCs w:val="24"/>
          <w:lang w:val="en-GB"/>
        </w:rPr>
        <w:t xml:space="preserve">  WST-1 and LDH assay were</w:t>
      </w:r>
      <w:r w:rsidR="00650227" w:rsidRPr="00650227">
        <w:rPr>
          <w:rFonts w:cstheme="minorHAnsi"/>
          <w:color w:val="000000" w:themeColor="text1"/>
          <w:sz w:val="24"/>
          <w:szCs w:val="24"/>
          <w:lang w:val="en-GB"/>
        </w:rPr>
        <w:t xml:space="preserve"> used to measure the </w:t>
      </w:r>
      <w:r w:rsidR="00B03577">
        <w:rPr>
          <w:rFonts w:cstheme="minorHAnsi"/>
          <w:color w:val="000000" w:themeColor="text1"/>
          <w:sz w:val="24"/>
          <w:szCs w:val="24"/>
          <w:lang w:val="en-GB"/>
        </w:rPr>
        <w:t>cell</w:t>
      </w:r>
      <w:r w:rsidR="00650227" w:rsidRPr="00650227">
        <w:rPr>
          <w:rFonts w:cstheme="minorHAnsi"/>
          <w:color w:val="000000" w:themeColor="text1"/>
          <w:sz w:val="24"/>
          <w:szCs w:val="24"/>
          <w:lang w:val="en-GB"/>
        </w:rPr>
        <w:t xml:space="preserve"> metabolic activity in HBE (A), Caco2 (C) and  THP-1 (E) and cell viability in HBE (B) Caco2 (D) and THP1 (F) after 24 h exposure to</w:t>
      </w:r>
      <w:r w:rsidR="00650227" w:rsidRPr="00650227">
        <w:rPr>
          <w:rFonts w:cstheme="minorHAnsi"/>
          <w:color w:val="000000" w:themeColor="text1"/>
          <w:sz w:val="24"/>
          <w:szCs w:val="24"/>
          <w:lang w:val="en-US"/>
        </w:rPr>
        <w:t xml:space="preserve"> small (SA) and large agglomerates (LA) of 17 nm and 117nm TiO</w:t>
      </w:r>
      <w:r w:rsidR="00650227" w:rsidRPr="00650227">
        <w:rPr>
          <w:rFonts w:cstheme="minorHAnsi"/>
          <w:color w:val="000000" w:themeColor="text1"/>
          <w:sz w:val="24"/>
          <w:szCs w:val="24"/>
          <w:vertAlign w:val="subscript"/>
          <w:lang w:val="en-US"/>
        </w:rPr>
        <w:t>2</w:t>
      </w:r>
      <w:r w:rsidR="00650227" w:rsidRPr="00650227">
        <w:rPr>
          <w:rFonts w:cstheme="minorHAnsi"/>
          <w:color w:val="000000" w:themeColor="text1"/>
          <w:sz w:val="24"/>
          <w:szCs w:val="24"/>
          <w:lang w:val="en-US"/>
        </w:rPr>
        <w:t>. Data are expressed as means ± SD from three independent experiments performed in triplicates.</w:t>
      </w:r>
      <w:r w:rsidR="00650227" w:rsidRPr="00650227">
        <w:rPr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650227" w:rsidRPr="00650227">
        <w:rPr>
          <w:color w:val="000000" w:themeColor="text1"/>
          <w:sz w:val="24"/>
          <w:szCs w:val="24"/>
          <w:lang w:val="en-US"/>
        </w:rPr>
        <w:t>p</w:t>
      </w:r>
      <w:proofErr w:type="gramEnd"/>
      <w:r w:rsidR="00650227" w:rsidRPr="00650227">
        <w:rPr>
          <w:color w:val="000000" w:themeColor="text1"/>
          <w:sz w:val="24"/>
          <w:szCs w:val="24"/>
          <w:lang w:val="en-US"/>
        </w:rPr>
        <w:t xml:space="preserve"> &lt; 0.001 (***) represent</w:t>
      </w:r>
      <w:r w:rsidR="009370F2">
        <w:rPr>
          <w:color w:val="000000" w:themeColor="text1"/>
          <w:sz w:val="24"/>
          <w:szCs w:val="24"/>
          <w:lang w:val="en-US"/>
        </w:rPr>
        <w:t>s</w:t>
      </w:r>
      <w:r w:rsidR="00650227" w:rsidRPr="00650227">
        <w:rPr>
          <w:color w:val="000000" w:themeColor="text1"/>
          <w:sz w:val="24"/>
          <w:szCs w:val="24"/>
          <w:lang w:val="en-US"/>
        </w:rPr>
        <w:t xml:space="preserve"> significant difference compared to control</w:t>
      </w:r>
      <w:r w:rsidR="00B03577">
        <w:rPr>
          <w:color w:val="000000" w:themeColor="text1"/>
          <w:sz w:val="24"/>
          <w:szCs w:val="24"/>
          <w:lang w:val="en-US"/>
        </w:rPr>
        <w:t xml:space="preserve"> </w:t>
      </w:r>
      <w:r w:rsidR="00B03577" w:rsidRPr="00650227">
        <w:rPr>
          <w:color w:val="000000" w:themeColor="text1"/>
          <w:sz w:val="24"/>
          <w:szCs w:val="24"/>
          <w:lang w:val="en-US"/>
        </w:rPr>
        <w:t>(One-way ANOVA followed by Dunnett’s multiple comparison test)</w:t>
      </w:r>
      <w:r w:rsidR="00650227" w:rsidRPr="00650227">
        <w:rPr>
          <w:color w:val="000000" w:themeColor="text1"/>
          <w:sz w:val="24"/>
          <w:szCs w:val="24"/>
          <w:lang w:val="en-US"/>
        </w:rPr>
        <w:t>.</w:t>
      </w:r>
    </w:p>
    <w:p w:rsidR="00650227" w:rsidRPr="00F807D8" w:rsidRDefault="00650227" w:rsidP="005469E0">
      <w:pPr>
        <w:rPr>
          <w:color w:val="000000" w:themeColor="text1"/>
          <w:sz w:val="24"/>
          <w:szCs w:val="24"/>
          <w:lang w:val="en-US"/>
        </w:rPr>
      </w:pPr>
    </w:p>
    <w:p w:rsidR="00650227" w:rsidRPr="00E53FDD" w:rsidRDefault="00650227" w:rsidP="00650227">
      <w:pPr>
        <w:rPr>
          <w:lang w:val="en-GB"/>
        </w:rPr>
      </w:pPr>
    </w:p>
    <w:p w:rsidR="00650227" w:rsidRPr="00650227" w:rsidRDefault="00E32822" w:rsidP="00650227">
      <w:pPr>
        <w:rPr>
          <w:lang w:val="en-US"/>
        </w:rPr>
      </w:pPr>
      <w:r w:rsidRPr="00E32822">
        <w:rPr>
          <w:noProof/>
          <w:lang w:eastAsia="nl-BE"/>
        </w:rPr>
        <w:lastRenderedPageBreak/>
        <w:drawing>
          <wp:inline distT="0" distB="0" distL="0" distR="0">
            <wp:extent cx="6362700" cy="408715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2917" r="2929" b="7161"/>
                    <a:stretch/>
                  </pic:blipFill>
                  <pic:spPr bwMode="auto">
                    <a:xfrm>
                      <a:off x="0" y="0"/>
                      <a:ext cx="6383864" cy="41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227" w:rsidRPr="00650227" w:rsidRDefault="006D339F" w:rsidP="00650227">
      <w:pPr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</w:t>
      </w:r>
      <w:r w:rsidR="00650227" w:rsidRPr="00650227">
        <w:rPr>
          <w:b/>
          <w:sz w:val="24"/>
          <w:szCs w:val="24"/>
          <w:lang w:val="en-GB"/>
        </w:rPr>
        <w:t xml:space="preserve">igure </w:t>
      </w:r>
      <w:r>
        <w:rPr>
          <w:b/>
          <w:sz w:val="24"/>
          <w:szCs w:val="24"/>
          <w:lang w:val="en-GB"/>
        </w:rPr>
        <w:t>S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>4: Influence of TiO</w:t>
      </w:r>
      <w:r w:rsidR="00650227" w:rsidRPr="00650227">
        <w:rPr>
          <w:b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 xml:space="preserve"> agglomeration on total glutathione (GSH) </w:t>
      </w:r>
      <w:r w:rsidR="00650227" w:rsidRPr="00650227">
        <w:rPr>
          <w:b/>
          <w:i/>
          <w:color w:val="000000" w:themeColor="text1"/>
          <w:sz w:val="24"/>
          <w:szCs w:val="24"/>
          <w:lang w:val="en-GB"/>
        </w:rPr>
        <w:t>in vitro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>.</w:t>
      </w:r>
      <w:r w:rsidR="00650227" w:rsidRPr="00650227">
        <w:rPr>
          <w:color w:val="000000" w:themeColor="text1"/>
          <w:sz w:val="24"/>
          <w:szCs w:val="24"/>
          <w:lang w:val="en-GB"/>
        </w:rPr>
        <w:t xml:space="preserve"> GSH depletion was measured as an indicator of oxidative stress in HBE </w:t>
      </w:r>
      <w:r w:rsidR="009370F2">
        <w:rPr>
          <w:color w:val="000000" w:themeColor="text1"/>
          <w:sz w:val="24"/>
          <w:szCs w:val="24"/>
          <w:lang w:val="en-GB"/>
        </w:rPr>
        <w:t>(A,B) and Caco2 (C) cell</w:t>
      </w:r>
      <w:r w:rsidR="00650227" w:rsidRPr="00650227">
        <w:rPr>
          <w:color w:val="000000" w:themeColor="text1"/>
          <w:sz w:val="24"/>
          <w:szCs w:val="24"/>
          <w:lang w:val="en-GB"/>
        </w:rPr>
        <w:t>s after 24 h exposure to</w:t>
      </w:r>
      <w:r w:rsidR="00650227" w:rsidRPr="00650227">
        <w:rPr>
          <w:color w:val="000000" w:themeColor="text1"/>
          <w:sz w:val="24"/>
          <w:szCs w:val="24"/>
          <w:lang w:val="en-US"/>
        </w:rPr>
        <w:t xml:space="preserve"> small (SA) and large agglomerates (LA) of 17 nm (A,C) or 117 nm TiO</w:t>
      </w:r>
      <w:r w:rsidR="00650227" w:rsidRPr="00650227">
        <w:rPr>
          <w:color w:val="000000" w:themeColor="text1"/>
          <w:sz w:val="24"/>
          <w:szCs w:val="24"/>
          <w:vertAlign w:val="subscript"/>
          <w:lang w:val="en-US"/>
        </w:rPr>
        <w:t>2</w:t>
      </w:r>
      <w:r w:rsidR="00650227" w:rsidRPr="00650227">
        <w:rPr>
          <w:color w:val="000000" w:themeColor="text1"/>
          <w:sz w:val="24"/>
          <w:szCs w:val="24"/>
          <w:lang w:val="en-US"/>
        </w:rPr>
        <w:t xml:space="preserve"> (B). Data are expressed as means ± SD from three independent experiments performed in duplicates. </w:t>
      </w:r>
      <w:proofErr w:type="gramStart"/>
      <w:r w:rsidR="00650227" w:rsidRPr="00650227">
        <w:rPr>
          <w:color w:val="000000" w:themeColor="text1"/>
          <w:sz w:val="24"/>
          <w:szCs w:val="24"/>
          <w:lang w:val="en-US"/>
        </w:rPr>
        <w:t>p</w:t>
      </w:r>
      <w:proofErr w:type="gramEnd"/>
      <w:r w:rsidR="00650227" w:rsidRPr="00650227">
        <w:rPr>
          <w:color w:val="000000" w:themeColor="text1"/>
          <w:sz w:val="24"/>
          <w:szCs w:val="24"/>
          <w:lang w:val="en-US"/>
        </w:rPr>
        <w:t xml:space="preserve"> &lt; 0.05 (*), p &lt; 0.01 (**) and p &lt; 0.001 (***) represent significant difference compared to control</w:t>
      </w:r>
      <w:r w:rsidR="00B03577">
        <w:rPr>
          <w:color w:val="000000" w:themeColor="text1"/>
          <w:sz w:val="24"/>
          <w:szCs w:val="24"/>
          <w:lang w:val="en-US"/>
        </w:rPr>
        <w:t xml:space="preserve"> </w:t>
      </w:r>
      <w:r w:rsidR="00B03577" w:rsidRPr="00650227">
        <w:rPr>
          <w:color w:val="000000" w:themeColor="text1"/>
          <w:sz w:val="24"/>
          <w:szCs w:val="24"/>
          <w:lang w:val="en-US"/>
        </w:rPr>
        <w:t>(One-way ANOVA followed by Dunnett’s multiple comparison test)</w:t>
      </w:r>
      <w:r w:rsidR="00650227" w:rsidRPr="00650227">
        <w:rPr>
          <w:color w:val="000000" w:themeColor="text1"/>
          <w:sz w:val="24"/>
          <w:szCs w:val="24"/>
          <w:lang w:val="en-US"/>
        </w:rPr>
        <w:t>.</w:t>
      </w:r>
    </w:p>
    <w:p w:rsidR="00650227" w:rsidRDefault="00650227" w:rsidP="00650227">
      <w:pPr>
        <w:rPr>
          <w:lang w:val="en-US"/>
        </w:rPr>
      </w:pPr>
    </w:p>
    <w:p w:rsidR="00650227" w:rsidRDefault="00650227" w:rsidP="00650227">
      <w:pPr>
        <w:rPr>
          <w:lang w:val="en-US"/>
        </w:rPr>
      </w:pPr>
    </w:p>
    <w:p w:rsidR="00650227" w:rsidRDefault="00650227" w:rsidP="00650227">
      <w:pPr>
        <w:rPr>
          <w:lang w:val="en-US"/>
        </w:rPr>
      </w:pPr>
    </w:p>
    <w:p w:rsidR="00650227" w:rsidRDefault="00650227" w:rsidP="00650227">
      <w:pPr>
        <w:rPr>
          <w:lang w:val="en-US"/>
        </w:rPr>
      </w:pPr>
    </w:p>
    <w:p w:rsidR="00650227" w:rsidRPr="00E53FDD" w:rsidRDefault="00650227" w:rsidP="00650227">
      <w:pPr>
        <w:rPr>
          <w:lang w:val="en-GB"/>
        </w:rPr>
      </w:pPr>
    </w:p>
    <w:p w:rsidR="00650227" w:rsidRDefault="00E32822" w:rsidP="00650227">
      <w:pPr>
        <w:rPr>
          <w:lang w:val="en-US"/>
        </w:rPr>
      </w:pPr>
      <w:r w:rsidRPr="00E32822">
        <w:rPr>
          <w:noProof/>
          <w:lang w:eastAsia="nl-BE"/>
        </w:rPr>
        <w:lastRenderedPageBreak/>
        <w:drawing>
          <wp:inline distT="0" distB="0" distL="0" distR="0">
            <wp:extent cx="6187533" cy="394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2218" r="2603" b="6866"/>
                    <a:stretch/>
                  </pic:blipFill>
                  <pic:spPr bwMode="auto">
                    <a:xfrm>
                      <a:off x="0" y="0"/>
                      <a:ext cx="6195996" cy="39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227" w:rsidRPr="00650227" w:rsidRDefault="006D339F" w:rsidP="00650227">
      <w:pPr>
        <w:spacing w:line="480" w:lineRule="auto"/>
        <w:jc w:val="both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</w:t>
      </w:r>
      <w:r w:rsidR="00650227" w:rsidRPr="00650227">
        <w:rPr>
          <w:b/>
          <w:sz w:val="24"/>
          <w:szCs w:val="24"/>
          <w:lang w:val="en-GB"/>
        </w:rPr>
        <w:t xml:space="preserve">igure </w:t>
      </w:r>
      <w:r>
        <w:rPr>
          <w:b/>
          <w:sz w:val="24"/>
          <w:szCs w:val="24"/>
          <w:lang w:val="en-GB"/>
        </w:rPr>
        <w:t>S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>5: Influence of TiO</w:t>
      </w:r>
      <w:r w:rsidR="00650227" w:rsidRPr="00650227">
        <w:rPr>
          <w:b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 xml:space="preserve"> agglomeration on barrier integrity in epithelial monolayers </w:t>
      </w:r>
      <w:r w:rsidR="00650227" w:rsidRPr="00650227">
        <w:rPr>
          <w:b/>
          <w:i/>
          <w:color w:val="000000" w:themeColor="text1"/>
          <w:sz w:val="24"/>
          <w:szCs w:val="24"/>
          <w:lang w:val="en-GB"/>
        </w:rPr>
        <w:t>in vitro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>.</w:t>
      </w:r>
      <w:r w:rsidR="00650227" w:rsidRPr="00650227">
        <w:rPr>
          <w:color w:val="000000" w:themeColor="text1"/>
          <w:sz w:val="24"/>
          <w:szCs w:val="24"/>
          <w:lang w:val="en-GB"/>
        </w:rPr>
        <w:t xml:space="preserve"> Trans-epithelial electrical resistance (TEER) was measured in HBE (A, B) and Caco2 (C) after 24</w:t>
      </w:r>
      <w:r w:rsidR="0042316F">
        <w:rPr>
          <w:color w:val="000000" w:themeColor="text1"/>
          <w:sz w:val="24"/>
          <w:szCs w:val="24"/>
          <w:lang w:val="en-GB"/>
        </w:rPr>
        <w:t xml:space="preserve"> </w:t>
      </w:r>
      <w:r w:rsidR="00650227" w:rsidRPr="00650227">
        <w:rPr>
          <w:color w:val="000000" w:themeColor="text1"/>
          <w:sz w:val="24"/>
          <w:szCs w:val="24"/>
          <w:lang w:val="en-GB"/>
        </w:rPr>
        <w:t>h exposure to</w:t>
      </w:r>
      <w:r w:rsidR="00650227" w:rsidRPr="00650227">
        <w:rPr>
          <w:color w:val="000000" w:themeColor="text1"/>
          <w:sz w:val="24"/>
          <w:szCs w:val="24"/>
          <w:lang w:val="en-US"/>
        </w:rPr>
        <w:t xml:space="preserve"> small (SA) and large agglomerates (LA) of 17 nm (A) or 117nm TiO</w:t>
      </w:r>
      <w:r w:rsidR="00650227" w:rsidRPr="00650227">
        <w:rPr>
          <w:color w:val="000000" w:themeColor="text1"/>
          <w:sz w:val="24"/>
          <w:szCs w:val="24"/>
          <w:vertAlign w:val="subscript"/>
          <w:lang w:val="en-US"/>
        </w:rPr>
        <w:t>2</w:t>
      </w:r>
      <w:r w:rsidR="00650227" w:rsidRPr="00650227">
        <w:rPr>
          <w:color w:val="000000" w:themeColor="text1"/>
          <w:sz w:val="24"/>
          <w:szCs w:val="24"/>
          <w:lang w:val="en-US"/>
        </w:rPr>
        <w:t xml:space="preserve"> (B, C). Data are expressed as means ± SD from three independent experiments performed in duplicates. </w:t>
      </w:r>
      <w:proofErr w:type="gramStart"/>
      <w:r w:rsidR="00650227" w:rsidRPr="00650227">
        <w:rPr>
          <w:color w:val="000000" w:themeColor="text1"/>
          <w:sz w:val="24"/>
          <w:szCs w:val="24"/>
          <w:lang w:val="en-US"/>
        </w:rPr>
        <w:t>p</w:t>
      </w:r>
      <w:proofErr w:type="gramEnd"/>
      <w:r w:rsidR="00650227" w:rsidRPr="00650227">
        <w:rPr>
          <w:color w:val="000000" w:themeColor="text1"/>
          <w:sz w:val="24"/>
          <w:szCs w:val="24"/>
          <w:lang w:val="en-US"/>
        </w:rPr>
        <w:t xml:space="preserve"> &lt; 0.05 (*), p &lt; 0.01 (**) and p &lt; 0.001 (***) represent significant difference compared to control</w:t>
      </w:r>
      <w:r w:rsidR="00B03577">
        <w:rPr>
          <w:color w:val="000000" w:themeColor="text1"/>
          <w:sz w:val="24"/>
          <w:szCs w:val="24"/>
          <w:lang w:val="en-US"/>
        </w:rPr>
        <w:t xml:space="preserve"> </w:t>
      </w:r>
      <w:r w:rsidR="00650227" w:rsidRPr="00650227">
        <w:rPr>
          <w:color w:val="000000" w:themeColor="text1"/>
          <w:sz w:val="24"/>
          <w:szCs w:val="24"/>
          <w:lang w:val="en-US"/>
        </w:rPr>
        <w:t>(One-way ANOVA followed by Dunnett’s multiple comparison test).</w:t>
      </w:r>
    </w:p>
    <w:p w:rsidR="00650227" w:rsidRDefault="00650227" w:rsidP="005469E0">
      <w:pPr>
        <w:rPr>
          <w:lang w:val="en-US"/>
        </w:rPr>
      </w:pPr>
    </w:p>
    <w:p w:rsidR="00650227" w:rsidRDefault="00650227" w:rsidP="00650227">
      <w:pPr>
        <w:tabs>
          <w:tab w:val="left" w:pos="2866"/>
        </w:tabs>
        <w:rPr>
          <w:lang w:val="en-US"/>
        </w:rPr>
      </w:pPr>
    </w:p>
    <w:p w:rsidR="00650227" w:rsidRDefault="00650227" w:rsidP="00650227">
      <w:pPr>
        <w:tabs>
          <w:tab w:val="left" w:pos="2866"/>
        </w:tabs>
        <w:rPr>
          <w:lang w:val="en-US"/>
        </w:rPr>
      </w:pPr>
    </w:p>
    <w:p w:rsidR="00650227" w:rsidRPr="00E53FDD" w:rsidRDefault="00650227" w:rsidP="00650227">
      <w:pPr>
        <w:tabs>
          <w:tab w:val="left" w:pos="2866"/>
        </w:tabs>
        <w:rPr>
          <w:lang w:val="en-GB"/>
        </w:rPr>
      </w:pPr>
    </w:p>
    <w:p w:rsidR="00650227" w:rsidRPr="00E53FDD" w:rsidRDefault="00650227" w:rsidP="00650227">
      <w:pPr>
        <w:tabs>
          <w:tab w:val="left" w:pos="2866"/>
        </w:tabs>
        <w:rPr>
          <w:lang w:val="en-GB"/>
        </w:rPr>
      </w:pPr>
    </w:p>
    <w:p w:rsidR="00650227" w:rsidRDefault="00E32822" w:rsidP="00650227">
      <w:pPr>
        <w:tabs>
          <w:tab w:val="left" w:pos="2866"/>
        </w:tabs>
        <w:rPr>
          <w:lang w:val="en-US"/>
        </w:rPr>
      </w:pPr>
      <w:r w:rsidRPr="00E32822">
        <w:rPr>
          <w:noProof/>
          <w:lang w:eastAsia="nl-BE"/>
        </w:rPr>
        <w:lastRenderedPageBreak/>
        <w:drawing>
          <wp:inline distT="0" distB="0" distL="0" distR="0">
            <wp:extent cx="6387186" cy="4076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2461" r="3099" b="7219"/>
                    <a:stretch/>
                  </pic:blipFill>
                  <pic:spPr bwMode="auto">
                    <a:xfrm>
                      <a:off x="0" y="0"/>
                      <a:ext cx="6396088" cy="40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227" w:rsidRPr="00650227" w:rsidRDefault="006D339F" w:rsidP="00650227">
      <w:pPr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  <w:r>
        <w:rPr>
          <w:b/>
          <w:color w:val="000000" w:themeColor="text1"/>
          <w:sz w:val="24"/>
          <w:szCs w:val="24"/>
          <w:lang w:val="en-US"/>
        </w:rPr>
        <w:t>F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 xml:space="preserve">igure </w:t>
      </w:r>
      <w:r>
        <w:rPr>
          <w:b/>
          <w:color w:val="000000" w:themeColor="text1"/>
          <w:sz w:val="24"/>
          <w:szCs w:val="24"/>
          <w:lang w:val="en-GB"/>
        </w:rPr>
        <w:t>S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>6: Influence of TiO</w:t>
      </w:r>
      <w:r w:rsidR="00650227" w:rsidRPr="00650227">
        <w:rPr>
          <w:b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 xml:space="preserve"> agglomeration on cytokine release </w:t>
      </w:r>
      <w:r w:rsidR="00650227" w:rsidRPr="00650227">
        <w:rPr>
          <w:b/>
          <w:i/>
          <w:color w:val="000000" w:themeColor="text1"/>
          <w:sz w:val="24"/>
          <w:szCs w:val="24"/>
          <w:lang w:val="en-GB"/>
        </w:rPr>
        <w:t>in vitro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>.</w:t>
      </w:r>
      <w:r w:rsidR="00650227" w:rsidRPr="00650227">
        <w:rPr>
          <w:color w:val="000000" w:themeColor="text1"/>
          <w:sz w:val="24"/>
          <w:szCs w:val="24"/>
          <w:lang w:val="en-GB"/>
        </w:rPr>
        <w:t xml:space="preserve"> TNF-</w:t>
      </w:r>
      <w:r w:rsidR="00650227" w:rsidRPr="00650227">
        <w:rPr>
          <w:rFonts w:cstheme="minorHAnsi"/>
          <w:color w:val="000000" w:themeColor="text1"/>
          <w:sz w:val="24"/>
          <w:szCs w:val="24"/>
          <w:lang w:val="en-GB"/>
        </w:rPr>
        <w:t>α</w:t>
      </w:r>
      <w:r w:rsidR="00650227" w:rsidRPr="00650227">
        <w:rPr>
          <w:color w:val="000000" w:themeColor="text1"/>
          <w:sz w:val="24"/>
          <w:szCs w:val="24"/>
          <w:lang w:val="en-GB"/>
        </w:rPr>
        <w:t xml:space="preserve"> (A), IL-6 (B) and IL-</w:t>
      </w:r>
      <w:r w:rsidR="00650227" w:rsidRPr="00650227">
        <w:rPr>
          <w:rFonts w:cstheme="minorHAnsi"/>
          <w:color w:val="000000" w:themeColor="text1"/>
          <w:sz w:val="24"/>
          <w:szCs w:val="24"/>
          <w:lang w:val="en-GB"/>
        </w:rPr>
        <w:t>β</w:t>
      </w:r>
      <w:r w:rsidR="00650227" w:rsidRPr="00650227">
        <w:rPr>
          <w:color w:val="000000" w:themeColor="text1"/>
          <w:sz w:val="24"/>
          <w:szCs w:val="24"/>
          <w:lang w:val="en-GB"/>
        </w:rPr>
        <w:t xml:space="preserve"> (C) levels were measured in the supernatant of the HBE (A,B) and THP-1 (C) after 24 h exposure to</w:t>
      </w:r>
      <w:r w:rsidR="00650227" w:rsidRPr="00650227">
        <w:rPr>
          <w:color w:val="000000" w:themeColor="text1"/>
          <w:sz w:val="24"/>
          <w:szCs w:val="24"/>
          <w:lang w:val="en-US"/>
        </w:rPr>
        <w:t xml:space="preserve"> small (SA) and large agg</w:t>
      </w:r>
      <w:r w:rsidR="009370F2">
        <w:rPr>
          <w:color w:val="000000" w:themeColor="text1"/>
          <w:sz w:val="24"/>
          <w:szCs w:val="24"/>
          <w:lang w:val="en-US"/>
        </w:rPr>
        <w:t xml:space="preserve">lomerates (LA) of 17 nm (A, C) </w:t>
      </w:r>
      <w:r w:rsidR="00650227" w:rsidRPr="00650227">
        <w:rPr>
          <w:color w:val="000000" w:themeColor="text1"/>
          <w:sz w:val="24"/>
          <w:szCs w:val="24"/>
          <w:lang w:val="en-US"/>
        </w:rPr>
        <w:t>or 117nm TiO</w:t>
      </w:r>
      <w:r w:rsidR="00650227" w:rsidRPr="00650227">
        <w:rPr>
          <w:color w:val="000000" w:themeColor="text1"/>
          <w:sz w:val="24"/>
          <w:szCs w:val="24"/>
          <w:vertAlign w:val="subscript"/>
          <w:lang w:val="en-US"/>
        </w:rPr>
        <w:t>2</w:t>
      </w:r>
      <w:r w:rsidR="00650227" w:rsidRPr="00650227">
        <w:rPr>
          <w:color w:val="000000" w:themeColor="text1"/>
          <w:sz w:val="24"/>
          <w:szCs w:val="24"/>
          <w:lang w:val="en-US"/>
        </w:rPr>
        <w:t xml:space="preserve"> (B). Data are expressed as means ± SD from three independent experiments performed in duplicates. </w:t>
      </w:r>
      <w:proofErr w:type="gramStart"/>
      <w:r w:rsidR="00650227" w:rsidRPr="00650227">
        <w:rPr>
          <w:color w:val="000000" w:themeColor="text1"/>
          <w:sz w:val="24"/>
          <w:szCs w:val="24"/>
          <w:lang w:val="en-US"/>
        </w:rPr>
        <w:t>p</w:t>
      </w:r>
      <w:proofErr w:type="gramEnd"/>
      <w:r w:rsidR="00650227" w:rsidRPr="00650227">
        <w:rPr>
          <w:color w:val="000000" w:themeColor="text1"/>
          <w:sz w:val="24"/>
          <w:szCs w:val="24"/>
          <w:lang w:val="en-US"/>
        </w:rPr>
        <w:t xml:space="preserve"> &lt; 0.05 (*), p &lt; 0.01 (**) and p &lt; 0.001 (***) represent significant difference compared to control</w:t>
      </w:r>
      <w:r w:rsidR="00B03577">
        <w:rPr>
          <w:color w:val="000000" w:themeColor="text1"/>
          <w:sz w:val="24"/>
          <w:szCs w:val="24"/>
          <w:lang w:val="en-US"/>
        </w:rPr>
        <w:t xml:space="preserve"> </w:t>
      </w:r>
      <w:r w:rsidR="00650227" w:rsidRPr="00650227">
        <w:rPr>
          <w:color w:val="000000" w:themeColor="text1"/>
          <w:sz w:val="24"/>
          <w:szCs w:val="24"/>
          <w:lang w:val="en-US"/>
        </w:rPr>
        <w:t>(One-way ANOVA followed by Dunnett’s multiple comparison test).</w:t>
      </w:r>
    </w:p>
    <w:p w:rsidR="00650227" w:rsidRPr="00650227" w:rsidRDefault="00650227" w:rsidP="00650227">
      <w:pPr>
        <w:rPr>
          <w:lang w:val="en-US"/>
        </w:rPr>
      </w:pPr>
    </w:p>
    <w:p w:rsidR="00650227" w:rsidRDefault="00650227" w:rsidP="005469E0">
      <w:pPr>
        <w:rPr>
          <w:lang w:val="en-US"/>
        </w:rPr>
      </w:pPr>
    </w:p>
    <w:p w:rsidR="00650227" w:rsidRDefault="00650227" w:rsidP="00650227">
      <w:pPr>
        <w:rPr>
          <w:lang w:val="en-US"/>
        </w:rPr>
      </w:pPr>
    </w:p>
    <w:p w:rsidR="00650227" w:rsidRDefault="00650227" w:rsidP="00650227">
      <w:pPr>
        <w:rPr>
          <w:lang w:val="en-US"/>
        </w:rPr>
      </w:pPr>
    </w:p>
    <w:p w:rsidR="00650227" w:rsidRDefault="00650227" w:rsidP="00650227">
      <w:pPr>
        <w:rPr>
          <w:lang w:val="en-US"/>
        </w:rPr>
      </w:pPr>
    </w:p>
    <w:p w:rsidR="00650227" w:rsidRDefault="00650227" w:rsidP="00650227">
      <w:pPr>
        <w:rPr>
          <w:lang w:val="en-US"/>
        </w:rPr>
      </w:pPr>
    </w:p>
    <w:p w:rsidR="00650227" w:rsidRDefault="00C82E19" w:rsidP="00650227">
      <w:pPr>
        <w:rPr>
          <w:lang w:val="en-US"/>
        </w:rPr>
      </w:pPr>
      <w:r w:rsidRPr="00C82E19">
        <w:rPr>
          <w:noProof/>
          <w:lang w:eastAsia="nl-BE"/>
        </w:rPr>
        <w:lastRenderedPageBreak/>
        <w:drawing>
          <wp:inline distT="0" distB="0" distL="0" distR="0">
            <wp:extent cx="6384013" cy="6412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1450" r="2692" b="2605"/>
                    <a:stretch/>
                  </pic:blipFill>
                  <pic:spPr bwMode="auto">
                    <a:xfrm>
                      <a:off x="0" y="0"/>
                      <a:ext cx="6398044" cy="64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9E0" w:rsidRDefault="006D339F" w:rsidP="00650227">
      <w:pPr>
        <w:pStyle w:val="Caption"/>
        <w:spacing w:line="480" w:lineRule="auto"/>
        <w:jc w:val="both"/>
        <w:rPr>
          <w:i w:val="0"/>
          <w:color w:val="000000" w:themeColor="text1"/>
          <w:sz w:val="24"/>
          <w:szCs w:val="24"/>
          <w:lang w:val="en-US"/>
        </w:rPr>
      </w:pPr>
      <w:r>
        <w:rPr>
          <w:b/>
          <w:i w:val="0"/>
          <w:color w:val="000000" w:themeColor="text1"/>
          <w:sz w:val="24"/>
          <w:szCs w:val="24"/>
          <w:lang w:val="en-GB"/>
        </w:rPr>
        <w:t>F</w:t>
      </w:r>
      <w:r w:rsidR="00650227" w:rsidRPr="00650227">
        <w:rPr>
          <w:b/>
          <w:i w:val="0"/>
          <w:color w:val="000000" w:themeColor="text1"/>
          <w:sz w:val="24"/>
          <w:szCs w:val="24"/>
          <w:lang w:val="en-GB"/>
        </w:rPr>
        <w:t xml:space="preserve">igure </w:t>
      </w:r>
      <w:r>
        <w:rPr>
          <w:b/>
          <w:i w:val="0"/>
          <w:color w:val="000000" w:themeColor="text1"/>
          <w:sz w:val="24"/>
          <w:szCs w:val="24"/>
          <w:lang w:val="en-GB"/>
        </w:rPr>
        <w:t>S</w:t>
      </w:r>
      <w:r w:rsidR="00650227" w:rsidRPr="00650227">
        <w:rPr>
          <w:b/>
          <w:i w:val="0"/>
          <w:color w:val="000000" w:themeColor="text1"/>
          <w:sz w:val="24"/>
          <w:szCs w:val="24"/>
          <w:lang w:val="en-GB"/>
        </w:rPr>
        <w:t>7: Influence of TiO</w:t>
      </w:r>
      <w:r w:rsidR="00650227" w:rsidRPr="00650227">
        <w:rPr>
          <w:b/>
          <w:i w:val="0"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650227">
        <w:rPr>
          <w:b/>
          <w:i w:val="0"/>
          <w:color w:val="000000" w:themeColor="text1"/>
          <w:sz w:val="24"/>
          <w:szCs w:val="24"/>
          <w:lang w:val="en-GB"/>
        </w:rPr>
        <w:t xml:space="preserve"> agglomeration on DNA damage </w:t>
      </w:r>
      <w:r w:rsidR="00650227" w:rsidRPr="00650227">
        <w:rPr>
          <w:b/>
          <w:color w:val="000000" w:themeColor="text1"/>
          <w:sz w:val="24"/>
          <w:szCs w:val="24"/>
          <w:lang w:val="en-GB"/>
        </w:rPr>
        <w:t>in vitro</w:t>
      </w:r>
      <w:r w:rsidR="00650227" w:rsidRPr="00650227">
        <w:rPr>
          <w:b/>
          <w:i w:val="0"/>
          <w:color w:val="000000" w:themeColor="text1"/>
          <w:sz w:val="24"/>
          <w:szCs w:val="24"/>
          <w:lang w:val="en-US"/>
        </w:rPr>
        <w:t>.</w:t>
      </w:r>
      <w:r w:rsidR="00650227" w:rsidRPr="00650227">
        <w:rPr>
          <w:i w:val="0"/>
          <w:color w:val="000000" w:themeColor="text1"/>
          <w:sz w:val="24"/>
          <w:szCs w:val="24"/>
          <w:lang w:val="en-US"/>
        </w:rPr>
        <w:t xml:space="preserve">  DNA damage was measured in HBE (A</w:t>
      </w:r>
      <w:proofErr w:type="gramStart"/>
      <w:r w:rsidR="00650227" w:rsidRPr="00650227">
        <w:rPr>
          <w:i w:val="0"/>
          <w:color w:val="000000" w:themeColor="text1"/>
          <w:sz w:val="24"/>
          <w:szCs w:val="24"/>
          <w:lang w:val="en-US"/>
        </w:rPr>
        <w:t>,C</w:t>
      </w:r>
      <w:proofErr w:type="gramEnd"/>
      <w:r w:rsidR="00650227" w:rsidRPr="00650227">
        <w:rPr>
          <w:i w:val="0"/>
          <w:color w:val="000000" w:themeColor="text1"/>
          <w:sz w:val="24"/>
          <w:szCs w:val="24"/>
          <w:lang w:val="en-US"/>
        </w:rPr>
        <w:t xml:space="preserve">), Caco2 (B,D) and THP-1 (E)  after 24 h exposure </w:t>
      </w:r>
      <w:r w:rsidR="00650227" w:rsidRPr="00650227">
        <w:rPr>
          <w:i w:val="0"/>
          <w:color w:val="000000" w:themeColor="text1"/>
          <w:sz w:val="24"/>
          <w:szCs w:val="24"/>
          <w:lang w:val="en-GB"/>
        </w:rPr>
        <w:t>to</w:t>
      </w:r>
      <w:r w:rsidR="00650227" w:rsidRPr="00650227">
        <w:rPr>
          <w:i w:val="0"/>
          <w:color w:val="000000" w:themeColor="text1"/>
          <w:sz w:val="24"/>
          <w:szCs w:val="24"/>
          <w:lang w:val="en-US"/>
        </w:rPr>
        <w:t xml:space="preserve"> small (SA) and large agglomerates (LA) of 17 nm (A,B) or 117nm TiO</w:t>
      </w:r>
      <w:r w:rsidR="00650227" w:rsidRPr="00650227">
        <w:rPr>
          <w:i w:val="0"/>
          <w:color w:val="000000" w:themeColor="text1"/>
          <w:sz w:val="24"/>
          <w:szCs w:val="24"/>
          <w:vertAlign w:val="subscript"/>
          <w:lang w:val="en-US"/>
        </w:rPr>
        <w:t>2</w:t>
      </w:r>
      <w:r w:rsidR="00650227" w:rsidRPr="00650227">
        <w:rPr>
          <w:i w:val="0"/>
          <w:color w:val="000000" w:themeColor="text1"/>
          <w:sz w:val="24"/>
          <w:szCs w:val="24"/>
          <w:lang w:val="en-US"/>
        </w:rPr>
        <w:t xml:space="preserve"> (C, D,E). Data are expressed as means ± SD from three independent experiments performed in duplicates. P &lt; 0.05 (*), p &lt; 0.01 (**) and p &lt; 0.001 (***) represent significant difference compared to control (One-way ANOVA followed by Dunnett’s multiple comparison test).</w:t>
      </w:r>
    </w:p>
    <w:p w:rsidR="000C5D68" w:rsidRPr="00E53FDD" w:rsidRDefault="000C5D68" w:rsidP="00650227">
      <w:pPr>
        <w:rPr>
          <w:lang w:val="en-GB"/>
        </w:rPr>
      </w:pPr>
    </w:p>
    <w:p w:rsidR="00650227" w:rsidRPr="00650227" w:rsidRDefault="001F6593" w:rsidP="00650227">
      <w:pPr>
        <w:rPr>
          <w:lang w:val="en-US"/>
        </w:rPr>
      </w:pPr>
      <w:r w:rsidRPr="001F6593">
        <w:rPr>
          <w:noProof/>
          <w:lang w:eastAsia="nl-BE"/>
        </w:rPr>
        <w:lastRenderedPageBreak/>
        <w:drawing>
          <wp:inline distT="0" distB="0" distL="0" distR="0">
            <wp:extent cx="6284703" cy="42394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 t="1510" r="2493" b="3376"/>
                    <a:stretch/>
                  </pic:blipFill>
                  <pic:spPr bwMode="auto">
                    <a:xfrm>
                      <a:off x="0" y="0"/>
                      <a:ext cx="6303157" cy="42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203" w:rsidRDefault="006D339F" w:rsidP="000C5D68">
      <w:pPr>
        <w:pStyle w:val="Caption"/>
        <w:spacing w:line="480" w:lineRule="auto"/>
        <w:jc w:val="both"/>
        <w:rPr>
          <w:i w:val="0"/>
          <w:color w:val="000000" w:themeColor="text1"/>
          <w:sz w:val="24"/>
          <w:szCs w:val="24"/>
          <w:lang w:val="en-US"/>
        </w:rPr>
      </w:pPr>
      <w:bookmarkStart w:id="0" w:name="OLE_LINK2"/>
      <w:r>
        <w:rPr>
          <w:b/>
          <w:i w:val="0"/>
          <w:color w:val="000000" w:themeColor="text1"/>
          <w:sz w:val="24"/>
          <w:szCs w:val="24"/>
          <w:lang w:val="en-US"/>
        </w:rPr>
        <w:t>F</w:t>
      </w:r>
      <w:r w:rsidR="00650227" w:rsidRPr="000C5D68">
        <w:rPr>
          <w:b/>
          <w:i w:val="0"/>
          <w:color w:val="000000" w:themeColor="text1"/>
          <w:sz w:val="24"/>
          <w:szCs w:val="24"/>
          <w:lang w:val="en-GB"/>
        </w:rPr>
        <w:t xml:space="preserve">igure </w:t>
      </w:r>
      <w:r>
        <w:rPr>
          <w:b/>
          <w:i w:val="0"/>
          <w:color w:val="000000" w:themeColor="text1"/>
          <w:sz w:val="24"/>
          <w:szCs w:val="24"/>
          <w:lang w:val="en-GB"/>
        </w:rPr>
        <w:t>S</w:t>
      </w:r>
      <w:r w:rsidR="00650227" w:rsidRPr="000C5D68">
        <w:rPr>
          <w:b/>
          <w:i w:val="0"/>
          <w:color w:val="000000" w:themeColor="text1"/>
          <w:sz w:val="24"/>
          <w:szCs w:val="24"/>
          <w:lang w:val="en-GB"/>
        </w:rPr>
        <w:t>8: Influence of TiO</w:t>
      </w:r>
      <w:r w:rsidR="00650227" w:rsidRPr="000C5D68">
        <w:rPr>
          <w:b/>
          <w:i w:val="0"/>
          <w:color w:val="000000" w:themeColor="text1"/>
          <w:sz w:val="24"/>
          <w:szCs w:val="24"/>
          <w:vertAlign w:val="subscript"/>
          <w:lang w:val="en-GB"/>
        </w:rPr>
        <w:t>2</w:t>
      </w:r>
      <w:r w:rsidR="00650227" w:rsidRPr="000C5D68">
        <w:rPr>
          <w:b/>
          <w:i w:val="0"/>
          <w:color w:val="000000" w:themeColor="text1"/>
          <w:sz w:val="24"/>
          <w:szCs w:val="24"/>
          <w:lang w:val="en-GB"/>
        </w:rPr>
        <w:t xml:space="preserve"> agglomeration on </w:t>
      </w:r>
      <w:r w:rsidR="00650227" w:rsidRPr="000C5D68">
        <w:rPr>
          <w:b/>
          <w:color w:val="000000" w:themeColor="text1"/>
          <w:sz w:val="24"/>
          <w:szCs w:val="24"/>
          <w:lang w:val="en-GB"/>
        </w:rPr>
        <w:t>in vivo</w:t>
      </w:r>
      <w:r w:rsidR="00650227" w:rsidRPr="000C5D68">
        <w:rPr>
          <w:b/>
          <w:i w:val="0"/>
          <w:color w:val="000000" w:themeColor="text1"/>
          <w:sz w:val="24"/>
          <w:szCs w:val="24"/>
          <w:lang w:val="en-GB"/>
        </w:rPr>
        <w:t xml:space="preserve"> toxicity in mice exposed via oropharyngeal aspiration.</w:t>
      </w:r>
      <w:r w:rsidR="00650227" w:rsidRPr="000C5D68">
        <w:rPr>
          <w:i w:val="0"/>
          <w:color w:val="000000" w:themeColor="text1"/>
          <w:sz w:val="24"/>
          <w:szCs w:val="24"/>
          <w:lang w:val="en-GB"/>
        </w:rPr>
        <w:t xml:space="preserve"> </w:t>
      </w:r>
      <w:r w:rsidR="00650227" w:rsidRPr="000C5D68">
        <w:rPr>
          <w:i w:val="0"/>
          <w:color w:val="000000" w:themeColor="text1"/>
          <w:sz w:val="24"/>
          <w:szCs w:val="24"/>
          <w:lang w:val="en-US"/>
        </w:rPr>
        <w:t>BAL lymphocytes (A), Ti persistence in lung tissues (B) and BALF LDH activity (C) measured after 3</w:t>
      </w:r>
      <w:r w:rsidR="0042316F">
        <w:rPr>
          <w:i w:val="0"/>
          <w:color w:val="000000" w:themeColor="text1"/>
          <w:sz w:val="24"/>
          <w:szCs w:val="24"/>
          <w:lang w:val="en-US"/>
        </w:rPr>
        <w:t xml:space="preserve"> </w:t>
      </w:r>
      <w:r w:rsidR="00650227" w:rsidRPr="000C5D68">
        <w:rPr>
          <w:i w:val="0"/>
          <w:color w:val="000000" w:themeColor="text1"/>
          <w:sz w:val="24"/>
          <w:szCs w:val="24"/>
          <w:lang w:val="en-US"/>
        </w:rPr>
        <w:t>d in mice aspirated</w:t>
      </w:r>
      <w:r w:rsidR="009370F2">
        <w:rPr>
          <w:i w:val="0"/>
          <w:color w:val="000000" w:themeColor="text1"/>
          <w:sz w:val="24"/>
          <w:szCs w:val="24"/>
          <w:lang w:val="en-US"/>
        </w:rPr>
        <w:t xml:space="preserve"> with different doses of small (SA) and large</w:t>
      </w:r>
      <w:r w:rsidR="00650227" w:rsidRPr="000C5D68">
        <w:rPr>
          <w:i w:val="0"/>
          <w:color w:val="000000" w:themeColor="text1"/>
          <w:sz w:val="24"/>
          <w:szCs w:val="24"/>
          <w:lang w:val="en-US"/>
        </w:rPr>
        <w:t xml:space="preserve"> agglomerates (LA). Data are expressed as means ± SD from 4-5 mice in each group. </w:t>
      </w:r>
      <w:proofErr w:type="gramStart"/>
      <w:r w:rsidR="00650227" w:rsidRPr="000C5D68">
        <w:rPr>
          <w:i w:val="0"/>
          <w:color w:val="000000" w:themeColor="text1"/>
          <w:sz w:val="24"/>
          <w:szCs w:val="24"/>
          <w:lang w:val="en-US"/>
        </w:rPr>
        <w:t>p</w:t>
      </w:r>
      <w:proofErr w:type="gramEnd"/>
      <w:r w:rsidR="00650227" w:rsidRPr="000C5D68">
        <w:rPr>
          <w:i w:val="0"/>
          <w:color w:val="000000" w:themeColor="text1"/>
          <w:sz w:val="24"/>
          <w:szCs w:val="24"/>
          <w:lang w:val="en-US"/>
        </w:rPr>
        <w:t xml:space="preserve"> &lt; 0.05 (*), p &lt; 0.01 (**) and p &lt; 0.001 (***) represent significant difference compared to control (One-way ANOVA followed by Dunnett’s multiple comparison test).</w:t>
      </w:r>
    </w:p>
    <w:p w:rsidR="002A7203" w:rsidRDefault="002A7203" w:rsidP="002A7203">
      <w:pPr>
        <w:rPr>
          <w:lang w:val="en-US"/>
        </w:rPr>
      </w:pPr>
    </w:p>
    <w:p w:rsidR="002A7203" w:rsidRDefault="002A7203">
      <w:pPr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  <w:lang w:val="en-GB"/>
        </w:rPr>
      </w:pPr>
      <w:r w:rsidRPr="004A7BED">
        <w:rPr>
          <w:lang w:val="en-GB"/>
        </w:rPr>
        <w:br w:type="page"/>
      </w:r>
    </w:p>
    <w:p w:rsidR="002A7203" w:rsidRDefault="002A7203" w:rsidP="002A7203">
      <w:pPr>
        <w:pStyle w:val="Heading3"/>
        <w:spacing w:after="240"/>
        <w:sectPr w:rsidR="002A7203" w:rsidSect="002A720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3C2" w:rsidRDefault="004A7BED" w:rsidP="00271EB9">
      <w:pPr>
        <w:spacing w:line="276" w:lineRule="auto"/>
        <w:jc w:val="center"/>
        <w:rPr>
          <w:rFonts w:cstheme="minorHAnsi"/>
          <w:sz w:val="24"/>
          <w:szCs w:val="24"/>
          <w:lang w:val="en-GB"/>
        </w:rPr>
      </w:pPr>
      <w:r w:rsidRPr="00DF66E3">
        <w:rPr>
          <w:noProof/>
          <w:lang w:eastAsia="nl-BE"/>
        </w:rPr>
        <w:lastRenderedPageBreak/>
        <w:drawing>
          <wp:inline distT="0" distB="0" distL="0" distR="0">
            <wp:extent cx="7715250" cy="494955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r="11094" b="5555"/>
                    <a:stretch/>
                  </pic:blipFill>
                  <pic:spPr bwMode="auto">
                    <a:xfrm>
                      <a:off x="0" y="0"/>
                      <a:ext cx="7716012" cy="49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3C2" w:rsidRPr="004A7BED" w:rsidRDefault="00E343C2" w:rsidP="002A7203">
      <w:pPr>
        <w:spacing w:line="276" w:lineRule="auto"/>
        <w:jc w:val="both"/>
        <w:rPr>
          <w:rFonts w:cstheme="minorHAnsi"/>
          <w:sz w:val="24"/>
          <w:szCs w:val="24"/>
          <w:lang w:val="en-GB"/>
        </w:rPr>
      </w:pPr>
    </w:p>
    <w:p w:rsidR="002A7203" w:rsidRPr="00271EB9" w:rsidRDefault="002A7203" w:rsidP="00271EB9">
      <w:pPr>
        <w:spacing w:line="480" w:lineRule="auto"/>
        <w:rPr>
          <w:lang w:val="en-GB"/>
        </w:rPr>
      </w:pPr>
      <w:bookmarkStart w:id="1" w:name="_GoBack"/>
      <w:bookmarkEnd w:id="1"/>
      <w:r w:rsidRPr="004217BC">
        <w:rPr>
          <w:b/>
          <w:sz w:val="24"/>
          <w:szCs w:val="24"/>
          <w:lang w:val="en-GB"/>
        </w:rPr>
        <w:t>Figure S9: Intracellular uptake of TiO</w:t>
      </w:r>
      <w:r w:rsidRPr="004217BC">
        <w:rPr>
          <w:b/>
          <w:sz w:val="24"/>
          <w:szCs w:val="24"/>
          <w:vertAlign w:val="subscript"/>
          <w:lang w:val="en-GB"/>
        </w:rPr>
        <w:t>2</w:t>
      </w:r>
      <w:r w:rsidRPr="004217BC">
        <w:rPr>
          <w:b/>
          <w:sz w:val="24"/>
          <w:szCs w:val="24"/>
          <w:lang w:val="en-GB"/>
        </w:rPr>
        <w:t xml:space="preserve"> agglomerates by HBE cell cultures and cellular distribution.</w:t>
      </w:r>
      <w:r w:rsidRPr="00040125">
        <w:rPr>
          <w:sz w:val="24"/>
          <w:szCs w:val="24"/>
          <w:lang w:val="en-GB"/>
        </w:rPr>
        <w:t xml:space="preserve"> TEM images of </w:t>
      </w:r>
      <w:r>
        <w:rPr>
          <w:sz w:val="24"/>
          <w:szCs w:val="24"/>
          <w:lang w:val="en-GB"/>
        </w:rPr>
        <w:t xml:space="preserve">control </w:t>
      </w:r>
      <w:r w:rsidRPr="00040125">
        <w:rPr>
          <w:sz w:val="24"/>
          <w:szCs w:val="24"/>
          <w:lang w:val="en-GB"/>
        </w:rPr>
        <w:t xml:space="preserve">cells </w:t>
      </w:r>
      <w:r>
        <w:rPr>
          <w:sz w:val="24"/>
          <w:szCs w:val="24"/>
          <w:lang w:val="en-GB"/>
        </w:rPr>
        <w:t>(A) and exposed to 50 μg/mL of</w:t>
      </w:r>
      <w:r w:rsidRPr="00040125">
        <w:rPr>
          <w:sz w:val="24"/>
          <w:szCs w:val="24"/>
          <w:lang w:val="en-GB"/>
        </w:rPr>
        <w:t xml:space="preserve"> TiO</w:t>
      </w:r>
      <w:r w:rsidRPr="00040125">
        <w:rPr>
          <w:sz w:val="24"/>
          <w:szCs w:val="24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 xml:space="preserve"> </w:t>
      </w:r>
      <w:r w:rsidRPr="00040125">
        <w:rPr>
          <w:sz w:val="24"/>
          <w:szCs w:val="24"/>
          <w:lang w:val="en-GB"/>
        </w:rPr>
        <w:t>NPs</w:t>
      </w:r>
      <w:r>
        <w:rPr>
          <w:sz w:val="24"/>
          <w:szCs w:val="24"/>
          <w:lang w:val="en-GB"/>
        </w:rPr>
        <w:t xml:space="preserve"> </w:t>
      </w:r>
      <w:r w:rsidRPr="00040125">
        <w:rPr>
          <w:sz w:val="24"/>
          <w:szCs w:val="24"/>
          <w:lang w:val="en-GB"/>
        </w:rPr>
        <w:t>for 24 h</w:t>
      </w:r>
      <w:r>
        <w:rPr>
          <w:sz w:val="24"/>
          <w:szCs w:val="24"/>
          <w:lang w:val="en-GB"/>
        </w:rPr>
        <w:t xml:space="preserve">: </w:t>
      </w:r>
      <w:r w:rsidRPr="00040125">
        <w:rPr>
          <w:sz w:val="24"/>
          <w:szCs w:val="24"/>
          <w:lang w:val="en-GB"/>
        </w:rPr>
        <w:t>17nm-SA (B), 17nm-LA (C), 117nm-SA (D) a</w:t>
      </w:r>
      <w:r>
        <w:rPr>
          <w:sz w:val="24"/>
          <w:szCs w:val="24"/>
          <w:lang w:val="en-GB"/>
        </w:rPr>
        <w:t>nd 117nm-LA (E). N -Nucleus; C-C</w:t>
      </w:r>
      <w:r w:rsidRPr="00040125">
        <w:rPr>
          <w:sz w:val="24"/>
          <w:szCs w:val="24"/>
          <w:lang w:val="en-GB"/>
        </w:rPr>
        <w:t xml:space="preserve">ytoplasm. </w:t>
      </w:r>
      <w:r w:rsidRPr="004E57F1">
        <w:rPr>
          <w:sz w:val="24"/>
          <w:szCs w:val="24"/>
          <w:lang w:val="en-GB"/>
        </w:rPr>
        <w:t>S</w:t>
      </w:r>
      <w:r>
        <w:rPr>
          <w:sz w:val="24"/>
          <w:szCs w:val="24"/>
          <w:lang w:val="en-GB"/>
        </w:rPr>
        <w:t xml:space="preserve">ome </w:t>
      </w:r>
      <w:r w:rsidRPr="00040125">
        <w:rPr>
          <w:sz w:val="24"/>
          <w:szCs w:val="24"/>
          <w:lang w:val="en-GB"/>
        </w:rPr>
        <w:t>TiO</w:t>
      </w:r>
      <w:r w:rsidRPr="00040125">
        <w:rPr>
          <w:sz w:val="24"/>
          <w:szCs w:val="24"/>
          <w:vertAlign w:val="subscript"/>
          <w:lang w:val="en-GB"/>
        </w:rPr>
        <w:t xml:space="preserve">2 </w:t>
      </w:r>
      <w:r w:rsidRPr="00040125">
        <w:rPr>
          <w:sz w:val="24"/>
          <w:szCs w:val="24"/>
          <w:lang w:val="en-GB"/>
        </w:rPr>
        <w:t xml:space="preserve">agglomerates </w:t>
      </w:r>
      <w:r>
        <w:rPr>
          <w:sz w:val="24"/>
          <w:szCs w:val="24"/>
          <w:lang w:val="en-GB"/>
        </w:rPr>
        <w:t>close to</w:t>
      </w:r>
      <w:r w:rsidRPr="00040125">
        <w:rPr>
          <w:sz w:val="24"/>
          <w:szCs w:val="24"/>
          <w:lang w:val="en-GB"/>
        </w:rPr>
        <w:t xml:space="preserve"> the nucleus induced arch like structure</w:t>
      </w:r>
      <w:r>
        <w:rPr>
          <w:sz w:val="24"/>
          <w:szCs w:val="24"/>
          <w:lang w:val="en-GB"/>
        </w:rPr>
        <w:t>s (indicated in red arrow).</w:t>
      </w:r>
      <w:bookmarkEnd w:id="0"/>
    </w:p>
    <w:sectPr w:rsidR="002A7203" w:rsidRPr="00271EB9" w:rsidSect="002A720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227"/>
    <w:rsid w:val="000076FE"/>
    <w:rsid w:val="000954E2"/>
    <w:rsid w:val="000C5D68"/>
    <w:rsid w:val="00114960"/>
    <w:rsid w:val="001221EB"/>
    <w:rsid w:val="001310ED"/>
    <w:rsid w:val="00153ABF"/>
    <w:rsid w:val="001969D2"/>
    <w:rsid w:val="001F6593"/>
    <w:rsid w:val="00223141"/>
    <w:rsid w:val="002507EE"/>
    <w:rsid w:val="00265B79"/>
    <w:rsid w:val="00271EB9"/>
    <w:rsid w:val="002772B9"/>
    <w:rsid w:val="002A7203"/>
    <w:rsid w:val="00333212"/>
    <w:rsid w:val="00390BD3"/>
    <w:rsid w:val="004217BC"/>
    <w:rsid w:val="0042316F"/>
    <w:rsid w:val="004A557F"/>
    <w:rsid w:val="004A7BED"/>
    <w:rsid w:val="004C13BB"/>
    <w:rsid w:val="005469E0"/>
    <w:rsid w:val="0058780A"/>
    <w:rsid w:val="00595B94"/>
    <w:rsid w:val="005D0080"/>
    <w:rsid w:val="005F53CB"/>
    <w:rsid w:val="00631272"/>
    <w:rsid w:val="00650227"/>
    <w:rsid w:val="006655B4"/>
    <w:rsid w:val="006735CB"/>
    <w:rsid w:val="006D339F"/>
    <w:rsid w:val="0074580B"/>
    <w:rsid w:val="00810649"/>
    <w:rsid w:val="00816122"/>
    <w:rsid w:val="00845C27"/>
    <w:rsid w:val="00894DFA"/>
    <w:rsid w:val="008C1765"/>
    <w:rsid w:val="009370F2"/>
    <w:rsid w:val="00992A98"/>
    <w:rsid w:val="0099384B"/>
    <w:rsid w:val="009A61D4"/>
    <w:rsid w:val="009F7EC0"/>
    <w:rsid w:val="00A10DE0"/>
    <w:rsid w:val="00A674A2"/>
    <w:rsid w:val="00AF150B"/>
    <w:rsid w:val="00AF4D4E"/>
    <w:rsid w:val="00B03577"/>
    <w:rsid w:val="00B209B8"/>
    <w:rsid w:val="00BE7AB5"/>
    <w:rsid w:val="00C82E19"/>
    <w:rsid w:val="00CC211F"/>
    <w:rsid w:val="00D749C2"/>
    <w:rsid w:val="00DA5DE7"/>
    <w:rsid w:val="00E32822"/>
    <w:rsid w:val="00E343C2"/>
    <w:rsid w:val="00E53FDD"/>
    <w:rsid w:val="00E77491"/>
    <w:rsid w:val="00EE3204"/>
    <w:rsid w:val="00F17927"/>
    <w:rsid w:val="00F4020E"/>
    <w:rsid w:val="00F8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316319"/>
  <w15:chartTrackingRefBased/>
  <w15:docId w15:val="{251ACBFE-64E1-4B96-AD98-93D47F13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203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502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E53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53FD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A7203"/>
    <w:rPr>
      <w:rFonts w:asciiTheme="majorHAnsi" w:eastAsiaTheme="majorEastAsia" w:hAnsiTheme="majorHAnsi" w:cstheme="majorBidi"/>
      <w:b/>
      <w:color w:val="000000" w:themeColor="text1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0FAEC-7B33-42F2-89F6-23C3B738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1011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KULeuven</Company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Sivakumar Murugadoss</dc:creator>
  <cp:keywords/>
  <dc:description/>
  <cp:lastModifiedBy>Sivakumar Murugadoss</cp:lastModifiedBy>
  <cp:revision>41</cp:revision>
  <dcterms:created xsi:type="dcterms:W3CDTF">2019-08-18T08:49:00Z</dcterms:created>
  <dcterms:modified xsi:type="dcterms:W3CDTF">2019-12-19T14:42:00Z</dcterms:modified>
</cp:coreProperties>
</file>