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1C" w:rsidRPr="00F40F03" w:rsidRDefault="00646B53" w:rsidP="00F1451C">
      <w:pPr>
        <w:pStyle w:val="ListParagraph"/>
        <w:spacing w:line="360" w:lineRule="auto"/>
        <w:ind w:left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</w:t>
      </w:r>
      <w:r w:rsidR="00F1451C" w:rsidRPr="00F40F03">
        <w:rPr>
          <w:rFonts w:ascii="Arial" w:hAnsi="Arial"/>
          <w:b/>
          <w:lang w:val="en-GB"/>
        </w:rPr>
        <w:t xml:space="preserve">able </w:t>
      </w:r>
      <w:r>
        <w:rPr>
          <w:rFonts w:ascii="Arial" w:hAnsi="Arial"/>
          <w:b/>
          <w:lang w:val="en-GB"/>
        </w:rPr>
        <w:t>S</w:t>
      </w:r>
      <w:bookmarkStart w:id="0" w:name="_GoBack"/>
      <w:bookmarkEnd w:id="0"/>
      <w:r w:rsidR="00F1451C" w:rsidRPr="00F40F03">
        <w:rPr>
          <w:rFonts w:ascii="Arial" w:hAnsi="Arial"/>
          <w:b/>
          <w:lang w:val="en-GB"/>
        </w:rPr>
        <w:t>2</w:t>
      </w:r>
    </w:p>
    <w:p w:rsidR="00F1451C" w:rsidRPr="005F6B50" w:rsidRDefault="00F1451C" w:rsidP="00F1451C">
      <w:pPr>
        <w:spacing w:line="360" w:lineRule="auto"/>
        <w:rPr>
          <w:rFonts w:ascii="Arial" w:hAnsi="Arial"/>
          <w:b/>
          <w:lang w:val="en-GB"/>
        </w:rPr>
      </w:pPr>
      <w:r w:rsidRPr="008E6E69">
        <w:rPr>
          <w:rFonts w:ascii="Arial" w:hAnsi="Arial" w:cs="Arial"/>
          <w:b/>
          <w:lang w:val="en-GB"/>
        </w:rPr>
        <w:t>PRO-KIND</w:t>
      </w:r>
      <w:r w:rsidRPr="00F526A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/>
          <w:b/>
          <w:lang w:val="en-GB"/>
        </w:rPr>
        <w:t>disease-</w:t>
      </w:r>
      <w:r w:rsidRPr="004974C7">
        <w:rPr>
          <w:rFonts w:ascii="Arial" w:hAnsi="Arial"/>
          <w:b/>
          <w:lang w:val="en-GB"/>
        </w:rPr>
        <w:t>specific consensus statements for diagnosis an</w:t>
      </w:r>
      <w:r>
        <w:rPr>
          <w:rFonts w:ascii="Arial" w:hAnsi="Arial"/>
          <w:b/>
          <w:lang w:val="en-GB"/>
        </w:rPr>
        <w:t>d management of CAPS/TRAPS/HIDS/</w:t>
      </w:r>
      <w:r w:rsidRPr="004974C7">
        <w:rPr>
          <w:rFonts w:ascii="Arial" w:hAnsi="Arial"/>
          <w:b/>
          <w:lang w:val="en-GB"/>
        </w:rPr>
        <w:t>MKD</w:t>
      </w:r>
      <w:r w:rsidRPr="005F6B50">
        <w:rPr>
          <w:rFonts w:ascii="Arial" w:hAnsi="Arial" w:cs="Arial"/>
          <w:b/>
          <w:vertAlign w:val="superscript"/>
          <w:lang w:val="en-GB"/>
        </w:rPr>
        <w:t xml:space="preserve"> </w:t>
      </w:r>
      <w:r>
        <w:rPr>
          <w:rFonts w:ascii="Arial" w:hAnsi="Arial" w:cs="Arial"/>
          <w:b/>
          <w:vertAlign w:val="superscript"/>
          <w:lang w:val="en-GB"/>
        </w:rPr>
        <w:t>*</w:t>
      </w:r>
    </w:p>
    <w:tbl>
      <w:tblPr>
        <w:tblW w:w="8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1134"/>
        <w:gridCol w:w="1458"/>
      </w:tblGrid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b/>
                <w:sz w:val="22"/>
                <w:szCs w:val="22"/>
                <w:lang w:val="en-GB"/>
              </w:rPr>
              <w:t>Level of evidence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b/>
                <w:sz w:val="22"/>
                <w:szCs w:val="22"/>
                <w:lang w:val="en-GB"/>
              </w:rPr>
              <w:t>Strength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b/>
                <w:sz w:val="22"/>
                <w:szCs w:val="22"/>
                <w:lang w:val="en-GB"/>
              </w:rPr>
              <w:t>Agreement</w:t>
            </w:r>
          </w:p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b/>
                <w:sz w:val="22"/>
                <w:szCs w:val="22"/>
                <w:lang w:val="en-GB"/>
              </w:rPr>
              <w:t>PRO-KIND</w:t>
            </w:r>
          </w:p>
        </w:tc>
      </w:tr>
      <w:tr w:rsidR="00F1451C" w:rsidRPr="00F40F03" w:rsidTr="001E58EB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b/>
                <w:sz w:val="22"/>
                <w:szCs w:val="22"/>
                <w:lang w:val="en-GB"/>
              </w:rPr>
              <w:t>CAPS statements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The following examinations should be performed for all CAPS patients: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Detailed physical examination including muscle strength, joint status and neurological status, growth and development 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Blood tests including AID inflammatory markers C-reactive protein (CRP) and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/or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 serum amyloid A (SAA)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Hearing tests (audiograms) and ophthalmological examination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Urine testing for proteinuria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Disease activity using a validated tool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Health-related quality of life and disease impact on well-being and 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>participation</w:t>
            </w:r>
            <w:r w:rsidRPr="006E7735">
              <w:rPr>
                <w:rFonts w:ascii="Arial" w:hAnsi="Arial"/>
                <w:lang w:val="en-GB"/>
              </w:rPr>
              <w:t>*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100 %</w:t>
            </w: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In CAPS patients with severe disease the following examinations should be considered: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Formal cognitive testing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Lumbar puncture including opening pressure, cell counts and protein 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Brain MRI including inner ear imaging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Bone MRI and skeletal X-ray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91.1 %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For patients with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clinically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relevant disease activity, IL-1 inhibition is recommended for all CAPS forms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at any age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93.2 %</w:t>
            </w:r>
          </w:p>
        </w:tc>
      </w:tr>
      <w:tr w:rsidR="00F1451C" w:rsidRPr="00D66E27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To prevent organ damage, long-term IL-1 inhibition should be initiated as early as possible in patients 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clinically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relevant disease activity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93.2 %</w:t>
            </w:r>
          </w:p>
        </w:tc>
      </w:tr>
      <w:tr w:rsidR="00F1451C" w:rsidRPr="00D66E27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In CAPS, there is no evidence for the effectiveness of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DM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ARDs or other biological therapies than IL-1.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88.4 %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addition to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adequate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ly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dosed IL-1 inhibition, NSAIDs and co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rticosteroids may be useful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symptomatic treatment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for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short-term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use.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97.8 %</w:t>
            </w: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For patients with CAPS, supportive therapies such as physiotherapy, hearing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aids and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splints are recommended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when required.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100%</w:t>
            </w:r>
          </w:p>
        </w:tc>
      </w:tr>
      <w:tr w:rsidR="00F1451C" w:rsidRPr="00F40F03" w:rsidTr="001E58EB">
        <w:trPr>
          <w:trHeight w:val="6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b/>
                <w:sz w:val="22"/>
                <w:szCs w:val="22"/>
                <w:lang w:val="en-GB"/>
              </w:rPr>
              <w:t>TRAPS statements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pStyle w:val="ListParagraph"/>
              <w:spacing w:line="360" w:lineRule="auto"/>
              <w:ind w:left="0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The following examinations should be performed for all TRAPS patients: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Detailed physical examination including growth and development 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Blood tests including AID inflammatory markers C-reactive protein (CRP) and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/or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 serum amyloid A (SAA), erythrocyte sedimentation rate (ESR) is optional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Urine testing for proteinuria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Disease activity using a validated tool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Health-related quality of life and disease impact on well-being and 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>participation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100 %</w:t>
            </w:r>
          </w:p>
        </w:tc>
      </w:tr>
      <w:tr w:rsidR="00F1451C" w:rsidRPr="00D66E27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TNFRSF1A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 xml:space="preserve"> gene variants:</w:t>
            </w:r>
          </w:p>
          <w:p w:rsidR="00F1451C" w:rsidRPr="001008F6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1008F6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 xml:space="preserve">The interpretation of the R92Q and P46L sequence variants can be difficult. </w:t>
            </w:r>
            <w:r w:rsidRPr="001008F6">
              <w:rPr>
                <w:rFonts w:ascii="Arial" w:hAnsi="Arial"/>
                <w:sz w:val="22"/>
                <w:szCs w:val="22"/>
                <w:lang w:val="en-GB"/>
              </w:rPr>
              <w:t>These occur at a high frequency in healthy controls; their pathogenic significance remains contentious. However, some individuals develop the clinical phenotype of TRAPS. Fever episodes may be shorter and/or more frequent.</w:t>
            </w:r>
            <w:r w:rsidRPr="006E7735">
              <w:rPr>
                <w:rFonts w:ascii="Arial" w:hAnsi="Arial"/>
                <w:lang w:val="en-GB"/>
              </w:rPr>
              <w:t>*</w:t>
            </w:r>
            <w:r w:rsidRPr="001008F6">
              <w:rPr>
                <w:rFonts w:ascii="Arial" w:hAnsi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97.7 %</w:t>
            </w:r>
          </w:p>
        </w:tc>
      </w:tr>
      <w:tr w:rsidR="00F1451C" w:rsidRPr="00F40F03" w:rsidTr="001E58EB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TNFRSF1A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 xml:space="preserve"> gene variants:</w:t>
            </w:r>
          </w:p>
          <w:p w:rsidR="00F1451C" w:rsidRPr="001008F6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/>
                <w:sz w:val="22"/>
                <w:szCs w:val="22"/>
                <w:lang w:val="en-GB"/>
              </w:rPr>
              <w:t>Patients carrying R92Q or P46L variants frequently have milder disease and a better prognosis with improvement over time and a low risk of AA amyloidosis compared to patients with structural TNFRSF1A mutations.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2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90.2 %</w:t>
            </w: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lastRenderedPageBreak/>
              <w:t>TRAPS patients with chronic, persistent disease activity have a higher risk of developing AA amyloidosis.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100 %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NSAIDs may provide symptom relief during inflammatory attacks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TRAPS.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100%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Short-term glucocorticoids, with or witho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ut NSAIDs, may be effective in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alleviating inflammatory attacks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TRAPS.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97.8%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IL-1 inhibition is recommended for TRAPS patients age 2 and older.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1B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93.2%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TNF-α inhibition with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TNF-α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decoy receptor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etanerc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ept (off-label use) may be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in some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TRAPS patients;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the effect may decrease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over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time</w:t>
            </w:r>
            <w:r w:rsidRPr="00454C9C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95.5%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In patients with frequent TRAPS flares and in those with partially controlled, mildly active disease inflammation between flares, maintenance therapy with IL-1 inhibition or etanercept is recommended to limit corticosteroid exposure.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B-3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1008F6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A-</w:t>
            </w: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08F6">
              <w:rPr>
                <w:rFonts w:ascii="Arial" w:hAnsi="Arial" w:cs="Arial"/>
                <w:sz w:val="22"/>
                <w:szCs w:val="22"/>
                <w:lang w:val="en-GB"/>
              </w:rPr>
              <w:t>95.6%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TRAPS patients, i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treatment with the first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IL-1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inhibitor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adequate dose is ineffective or intolerable, a switch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the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TNF-α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inhibitor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etanercept 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 different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IL-1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inhibitor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be considered. Likewise, if etanercept is ineffective or intolerable, a switch to an IL-1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inhibitor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should be considered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91.3%</w:t>
            </w:r>
          </w:p>
        </w:tc>
      </w:tr>
      <w:tr w:rsidR="00F1451C" w:rsidRPr="00F40F03" w:rsidTr="001E58EB">
        <w:trPr>
          <w:trHeight w:val="1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Although a beneficial effect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was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reported in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select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cases,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TRAPS therapy with a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monoclonal anti-TNF-α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antibody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is not recommended, since it can result in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possible paradox hyper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inflammatory 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actions.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This applies for infliximab, in lower case numbers also for adalimumab.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80.0%</w:t>
            </w:r>
          </w:p>
        </w:tc>
      </w:tr>
      <w:tr w:rsidR="00F1451C" w:rsidRPr="00F40F03" w:rsidTr="001E58EB">
        <w:trPr>
          <w:trHeight w:val="6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b/>
                <w:sz w:val="22"/>
                <w:szCs w:val="22"/>
                <w:lang w:val="en-GB"/>
              </w:rPr>
              <w:t>MKD</w:t>
            </w: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/HIDS</w:t>
            </w:r>
            <w:r w:rsidRPr="00F40F03"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 statements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lastRenderedPageBreak/>
              <w:t xml:space="preserve">The following examinations should be performed for all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>patients: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Detailed physical examination including muscle strength, growth and development 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Blood tests including AID inflammatory markers C-reactive protein (CRP) and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/or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 serum amyloid A (SAA), erythrocyte sedimentation rate (ESR) is optional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Ophthalmological examination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Urine testing for proteinuria and hematuria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Disease activity using a validated tool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Health-related quality of life and disease impact on well-being and </w:t>
            </w:r>
            <w:r w:rsidRPr="00F40F03">
              <w:rPr>
                <w:rStyle w:val="tlid-translation"/>
                <w:rFonts w:ascii="Arial" w:hAnsi="Arial"/>
                <w:sz w:val="22"/>
                <w:szCs w:val="22"/>
                <w:lang w:val="en-GB"/>
              </w:rPr>
              <w:t>participation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100 %</w:t>
            </w:r>
          </w:p>
        </w:tc>
      </w:tr>
      <w:tr w:rsidR="00F1451C" w:rsidRPr="00F40F03" w:rsidTr="001E58EB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>patients with severe disease, the following examinations should be considered: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Formal cognitive testing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Muscle and liver enzyme testing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Complete neurological examination</w:t>
            </w:r>
          </w:p>
          <w:p w:rsidR="00F1451C" w:rsidRPr="00F40F03" w:rsidRDefault="00F1451C" w:rsidP="00F1451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Evaluation for complete mevalonate kinase deficiency</w:t>
            </w:r>
            <w:r w:rsidRPr="00454C9C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D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100 %</w:t>
            </w:r>
          </w:p>
        </w:tc>
      </w:tr>
      <w:tr w:rsidR="00F1451C" w:rsidRPr="00F40F03" w:rsidTr="001E58EB">
        <w:trPr>
          <w:trHeight w:val="11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 xml:space="preserve">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 w:rsidRPr="00F40F03">
              <w:rPr>
                <w:rFonts w:ascii="Arial" w:hAnsi="Arial"/>
                <w:sz w:val="22"/>
                <w:szCs w:val="22"/>
                <w:lang w:val="en-GB"/>
              </w:rPr>
              <w:t>patients infections and macrophage activation syndrome (MAS) should be considered.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C42CAB">
              <w:rPr>
                <w:rFonts w:ascii="Arial" w:hAnsi="Arial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/>
                <w:sz w:val="22"/>
                <w:szCs w:val="22"/>
                <w:lang w:val="en-GB"/>
              </w:rPr>
              <w:t>93.0 %</w:t>
            </w:r>
          </w:p>
        </w:tc>
      </w:tr>
      <w:tr w:rsidR="00F1451C" w:rsidRPr="00F40F03" w:rsidTr="001E58EB">
        <w:trPr>
          <w:trHeight w:val="8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>MKD/HIDS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NSAIDs may provide symptom relief during inflammatory attacks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100%</w:t>
            </w:r>
          </w:p>
        </w:tc>
      </w:tr>
      <w:tr w:rsidR="00F1451C" w:rsidRPr="00F40F03" w:rsidTr="001E58EB">
        <w:trPr>
          <w:trHeight w:val="8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Short-term glucocorticoids, with or without NSAIDs, may be effective for alleviating inflammatory attacks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>MKD/HIDS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95.4%</w:t>
            </w:r>
          </w:p>
        </w:tc>
      </w:tr>
      <w:tr w:rsidR="00F1451C" w:rsidRPr="00F40F03" w:rsidTr="001E58EB">
        <w:trPr>
          <w:trHeight w:val="8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Colchicine and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thalidomide are not effective 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>MKD/HIDS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; their use is not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recommend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ed.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84.6%</w:t>
            </w:r>
          </w:p>
        </w:tc>
      </w:tr>
      <w:tr w:rsidR="00F1451C" w:rsidRPr="00F40F03" w:rsidTr="001E58EB">
        <w:trPr>
          <w:trHeight w:val="1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Short-term IL-1 inhibition may be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effective in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controlling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inflammatory attacks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and should be considered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minimize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steroid side effects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2B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95.1%</w:t>
            </w:r>
          </w:p>
        </w:tc>
      </w:tr>
      <w:tr w:rsidR="00F1451C" w:rsidRPr="00F40F03" w:rsidTr="001E58EB">
        <w:trPr>
          <w:trHeight w:val="19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With frequent attacks and/or subclinical inflammation between attacks, maintenance therapy with IL-1 inhibition or TNF-α inhibition with etanercept is recommended, and may limit corticosteroid exposure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IL-1 inhibition is recommended for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patients'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age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2 years and older.</w:t>
            </w:r>
            <w:r w:rsidRPr="00EE1309">
              <w:rPr>
                <w:rFonts w:cstheme="minorHAnsi"/>
                <w:color w:val="1F497D" w:themeColor="text2"/>
                <w:vertAlign w:val="superscript"/>
                <w:lang w:val="en-US"/>
              </w:rPr>
              <w:t>#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B95162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5162">
              <w:rPr>
                <w:rFonts w:ascii="Arial" w:hAnsi="Arial" w:cs="Arial"/>
                <w:sz w:val="22"/>
                <w:szCs w:val="22"/>
                <w:lang w:val="en-GB"/>
              </w:rPr>
              <w:t>1B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Pr="00B9516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B95162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A3F66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-B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B95162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95162">
              <w:rPr>
                <w:rFonts w:ascii="Arial" w:hAnsi="Arial" w:cs="Arial"/>
                <w:sz w:val="22"/>
                <w:szCs w:val="22"/>
                <w:lang w:val="en-GB"/>
              </w:rPr>
              <w:t>97.7%</w:t>
            </w:r>
          </w:p>
        </w:tc>
      </w:tr>
      <w:tr w:rsidR="00F1451C" w:rsidRPr="00F40F03" w:rsidTr="001E58EB">
        <w:trPr>
          <w:trHeight w:val="31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Default="00F1451C" w:rsidP="001E58EB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</w:t>
            </w:r>
            <w:r w:rsidRPr="00806AE6">
              <w:rPr>
                <w:rFonts w:ascii="Arial" w:hAnsi="Arial"/>
                <w:sz w:val="22"/>
                <w:szCs w:val="22"/>
                <w:lang w:val="en-GB"/>
              </w:rPr>
              <w:t xml:space="preserve">MKD/HIDS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patients, i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treatment with the first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IL-1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inhibitor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adequate dose is ineffective or intolerable, a switch to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a different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IL-1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inhibitor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 xml:space="preserve"> or another biological agent (including TNF-α or IL-6 inhibition)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should be considered. I</w:t>
            </w: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f TNF-α inhibition is ineffective or intolerable, a switch to another biological agent (including an IL-1 or IL-6 inhibiting agent) should be considered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6E7735">
              <w:rPr>
                <w:rFonts w:ascii="Arial" w:hAnsi="Arial"/>
                <w:lang w:val="en-GB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1C" w:rsidRPr="00F40F03" w:rsidRDefault="00F1451C" w:rsidP="001E58E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40F03">
              <w:rPr>
                <w:rFonts w:ascii="Arial" w:hAnsi="Arial" w:cs="Arial"/>
                <w:sz w:val="22"/>
                <w:szCs w:val="22"/>
                <w:lang w:val="en-GB"/>
              </w:rPr>
              <w:t>97.4%</w:t>
            </w:r>
          </w:p>
        </w:tc>
      </w:tr>
    </w:tbl>
    <w:p w:rsidR="00F1451C" w:rsidRDefault="00F1451C" w:rsidP="00F1451C">
      <w:pPr>
        <w:pStyle w:val="ListParagraph"/>
        <w:spacing w:line="360" w:lineRule="auto"/>
        <w:ind w:left="0"/>
        <w:rPr>
          <w:rFonts w:ascii="Arial" w:hAnsi="Arial"/>
          <w:b/>
          <w:lang w:val="en-GB"/>
        </w:rPr>
      </w:pPr>
    </w:p>
    <w:p w:rsidR="00F1451C" w:rsidRDefault="00F1451C" w:rsidP="00F1451C">
      <w:pPr>
        <w:spacing w:line="360" w:lineRule="auto"/>
        <w:rPr>
          <w:rFonts w:ascii="Arial" w:hAnsi="Arial"/>
          <w:lang w:val="en-GB"/>
        </w:rPr>
      </w:pPr>
      <w:r w:rsidRPr="00806AE6">
        <w:rPr>
          <w:rFonts w:ascii="Arial" w:hAnsi="Arial"/>
          <w:lang w:val="en-GB"/>
        </w:rPr>
        <w:t xml:space="preserve">Legend: </w:t>
      </w:r>
      <w:r w:rsidRPr="00806AE6">
        <w:rPr>
          <w:rFonts w:ascii="Arial" w:hAnsi="Arial"/>
          <w:vertAlign w:val="superscript"/>
          <w:lang w:val="en-GB"/>
        </w:rPr>
        <w:t xml:space="preserve">* </w:t>
      </w:r>
      <w:r w:rsidRPr="00806AE6">
        <w:rPr>
          <w:rFonts w:ascii="Arial" w:hAnsi="Arial"/>
          <w:lang w:val="en-GB"/>
        </w:rPr>
        <w:t>The PRO-KIND statements were adapted from the SHARE recommendations for the management of autoinflammatory diseases (</w:t>
      </w:r>
      <w:r>
        <w:rPr>
          <w:rFonts w:ascii="Arial" w:hAnsi="Arial"/>
          <w:lang w:val="en-GB"/>
        </w:rPr>
        <w:t>19</w:t>
      </w:r>
      <w:r w:rsidRPr="00806AE6">
        <w:rPr>
          <w:rFonts w:ascii="Arial" w:hAnsi="Arial"/>
          <w:lang w:val="en-GB"/>
        </w:rPr>
        <w:t xml:space="preserve">). </w:t>
      </w:r>
      <w:r w:rsidRPr="00C42CAB">
        <w:rPr>
          <w:rFonts w:ascii="Arial" w:hAnsi="Arial"/>
          <w:lang w:val="en-GB"/>
        </w:rPr>
        <w:t>Evidence levels were adapted from the Oxford Centre for Evidence-based Medicine levels of evidence and grades of recommendation (2</w:t>
      </w:r>
      <w:r w:rsidRPr="000854FF">
        <w:rPr>
          <w:rFonts w:ascii="Arial" w:hAnsi="Arial"/>
          <w:lang w:val="en-GB"/>
        </w:rPr>
        <w:t>4</w:t>
      </w:r>
      <w:r w:rsidRPr="00C42CAB">
        <w:rPr>
          <w:rFonts w:ascii="Arial" w:hAnsi="Arial"/>
          <w:lang w:val="en-GB"/>
        </w:rPr>
        <w:t>)</w:t>
      </w:r>
      <w:r>
        <w:rPr>
          <w:rFonts w:ascii="Arial" w:hAnsi="Arial"/>
          <w:lang w:val="en-GB"/>
        </w:rPr>
        <w:t>: 1A,</w:t>
      </w:r>
      <w:r w:rsidRPr="00806AE6">
        <w:rPr>
          <w:rFonts w:ascii="Arial" w:hAnsi="Arial"/>
          <w:lang w:val="en-GB"/>
        </w:rPr>
        <w:t xml:space="preserve"> Systematic reviews of randomized controlled trials</w:t>
      </w:r>
      <w:r>
        <w:rPr>
          <w:rFonts w:ascii="Arial" w:hAnsi="Arial"/>
          <w:lang w:val="en-GB"/>
        </w:rPr>
        <w:t>;</w:t>
      </w:r>
      <w:r w:rsidRPr="00C42CAB">
        <w:rPr>
          <w:rFonts w:ascii="Arial" w:hAnsi="Arial"/>
          <w:lang w:val="en-GB"/>
        </w:rPr>
        <w:t xml:space="preserve"> 1B</w:t>
      </w:r>
      <w:r>
        <w:rPr>
          <w:rFonts w:ascii="Arial" w:hAnsi="Arial"/>
          <w:lang w:val="en-GB"/>
        </w:rPr>
        <w:t>,</w:t>
      </w:r>
      <w:r w:rsidRPr="00C42CAB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 xml:space="preserve">individual </w:t>
      </w:r>
      <w:r w:rsidRPr="00C42CAB">
        <w:rPr>
          <w:rFonts w:ascii="Arial" w:hAnsi="Arial"/>
          <w:lang w:val="en-GB"/>
        </w:rPr>
        <w:t xml:space="preserve">randomised controlled </w:t>
      </w:r>
      <w:r>
        <w:rPr>
          <w:rFonts w:ascii="Arial" w:hAnsi="Arial"/>
          <w:lang w:val="en-GB"/>
        </w:rPr>
        <w:t>trial</w:t>
      </w:r>
      <w:r w:rsidRPr="00C42CAB">
        <w:rPr>
          <w:rFonts w:ascii="Arial" w:hAnsi="Arial"/>
          <w:lang w:val="en-GB"/>
        </w:rPr>
        <w:t>; 2A</w:t>
      </w:r>
      <w:r>
        <w:rPr>
          <w:rFonts w:ascii="Arial" w:hAnsi="Arial"/>
          <w:lang w:val="en-GB"/>
        </w:rPr>
        <w:t>,</w:t>
      </w:r>
      <w:r w:rsidRPr="00725A98">
        <w:rPr>
          <w:lang w:val="en-US"/>
        </w:rPr>
        <w:t xml:space="preserve"> </w:t>
      </w:r>
      <w:r w:rsidRPr="00C42CAB">
        <w:rPr>
          <w:rFonts w:ascii="Arial" w:hAnsi="Arial"/>
          <w:lang w:val="en-GB"/>
        </w:rPr>
        <w:t>systematic review of cohort studies; 2B</w:t>
      </w:r>
      <w:r>
        <w:rPr>
          <w:rFonts w:ascii="Arial" w:hAnsi="Arial"/>
          <w:lang w:val="en-GB"/>
        </w:rPr>
        <w:t>,</w:t>
      </w:r>
      <w:r w:rsidRPr="00725A98">
        <w:rPr>
          <w:lang w:val="en-US"/>
        </w:rPr>
        <w:t xml:space="preserve"> </w:t>
      </w:r>
      <w:r>
        <w:rPr>
          <w:rFonts w:ascii="Arial" w:hAnsi="Arial"/>
          <w:lang w:val="en-GB"/>
        </w:rPr>
        <w:t>i</w:t>
      </w:r>
      <w:r w:rsidRPr="00C42CAB">
        <w:rPr>
          <w:rFonts w:ascii="Arial" w:hAnsi="Arial"/>
          <w:lang w:val="en-GB"/>
        </w:rPr>
        <w:t xml:space="preserve">ndividual cohort study; </w:t>
      </w:r>
      <w:r>
        <w:rPr>
          <w:rFonts w:ascii="Arial" w:hAnsi="Arial"/>
          <w:lang w:val="en-GB"/>
        </w:rPr>
        <w:t>3B, individual case-control study, n</w:t>
      </w:r>
      <w:r w:rsidRPr="00806AE6">
        <w:rPr>
          <w:rFonts w:ascii="Arial" w:hAnsi="Arial"/>
          <w:lang w:val="en-GB"/>
        </w:rPr>
        <w:t>on-consecutive cohort study</w:t>
      </w:r>
      <w:r>
        <w:rPr>
          <w:rFonts w:ascii="Arial" w:hAnsi="Arial"/>
          <w:lang w:val="en-GB"/>
        </w:rPr>
        <w:t xml:space="preserve">; 4, case series; 5, expert opinions. S, strength of recommendation: </w:t>
      </w:r>
      <w:r w:rsidRPr="001008F6">
        <w:rPr>
          <w:rFonts w:ascii="Arial" w:hAnsi="Arial"/>
          <w:lang w:val="en-GB"/>
        </w:rPr>
        <w:t>A</w:t>
      </w:r>
      <w:r>
        <w:rPr>
          <w:rFonts w:ascii="Arial" w:hAnsi="Arial"/>
          <w:lang w:val="en-GB"/>
        </w:rPr>
        <w:t>,</w:t>
      </w:r>
      <w:r w:rsidRPr="001008F6">
        <w:rPr>
          <w:rFonts w:ascii="Arial" w:hAnsi="Arial"/>
          <w:lang w:val="en-GB"/>
        </w:rPr>
        <w:t xml:space="preserve"> consistent level 1 studies</w:t>
      </w:r>
      <w:r>
        <w:rPr>
          <w:rFonts w:ascii="Arial" w:hAnsi="Arial"/>
          <w:lang w:val="en-GB"/>
        </w:rPr>
        <w:t xml:space="preserve">; B, </w:t>
      </w:r>
      <w:r w:rsidRPr="001008F6">
        <w:rPr>
          <w:rFonts w:ascii="Arial" w:hAnsi="Arial"/>
          <w:lang w:val="en-GB"/>
        </w:rPr>
        <w:t>consistent level 2 or 3 studies or extrapolations from level 1 studies</w:t>
      </w:r>
      <w:r>
        <w:rPr>
          <w:rFonts w:ascii="Arial" w:hAnsi="Arial"/>
          <w:lang w:val="en-GB"/>
        </w:rPr>
        <w:t xml:space="preserve">; </w:t>
      </w:r>
      <w:r w:rsidRPr="001008F6">
        <w:rPr>
          <w:rFonts w:ascii="Arial" w:hAnsi="Arial"/>
          <w:lang w:val="en-GB"/>
        </w:rPr>
        <w:t>C</w:t>
      </w:r>
      <w:r>
        <w:rPr>
          <w:rFonts w:ascii="Arial" w:hAnsi="Arial"/>
          <w:lang w:val="en-GB"/>
        </w:rPr>
        <w:t xml:space="preserve">, </w:t>
      </w:r>
      <w:r w:rsidRPr="001008F6">
        <w:rPr>
          <w:rFonts w:ascii="Arial" w:hAnsi="Arial"/>
          <w:lang w:val="en-GB"/>
        </w:rPr>
        <w:t>level 4 studies or extrapolations from level 2 or 3 studies</w:t>
      </w:r>
      <w:r>
        <w:rPr>
          <w:rFonts w:ascii="Arial" w:hAnsi="Arial"/>
          <w:lang w:val="en-GB"/>
        </w:rPr>
        <w:t xml:space="preserve">; </w:t>
      </w:r>
      <w:r w:rsidRPr="001008F6">
        <w:rPr>
          <w:rFonts w:ascii="Arial" w:hAnsi="Arial"/>
          <w:lang w:val="en-GB"/>
        </w:rPr>
        <w:t>D</w:t>
      </w:r>
      <w:r>
        <w:rPr>
          <w:rFonts w:ascii="Arial" w:hAnsi="Arial"/>
          <w:lang w:val="en-GB"/>
        </w:rPr>
        <w:t xml:space="preserve">, </w:t>
      </w:r>
      <w:r w:rsidRPr="001008F6">
        <w:rPr>
          <w:rFonts w:ascii="Arial" w:hAnsi="Arial"/>
          <w:lang w:val="en-GB"/>
        </w:rPr>
        <w:t xml:space="preserve">level 5 evidence or troublingly inconsistent or inconclusive studies of </w:t>
      </w:r>
      <w:r w:rsidRPr="00B55D2C">
        <w:rPr>
          <w:rFonts w:ascii="Arial" w:hAnsi="Arial"/>
          <w:lang w:val="en-GB"/>
        </w:rPr>
        <w:t>any level.</w:t>
      </w:r>
    </w:p>
    <w:p w:rsidR="00F1451C" w:rsidRPr="00B55D2C" w:rsidRDefault="00F1451C" w:rsidP="00F1451C">
      <w:pPr>
        <w:spacing w:line="360" w:lineRule="auto"/>
        <w:rPr>
          <w:rFonts w:ascii="Arial" w:hAnsi="Arial"/>
          <w:lang w:val="en-GB"/>
        </w:rPr>
      </w:pPr>
      <w:r w:rsidRPr="00B55D2C">
        <w:rPr>
          <w:rFonts w:ascii="Arial" w:hAnsi="Arial"/>
          <w:lang w:val="en-GB"/>
        </w:rPr>
        <w:t xml:space="preserve"> * wording modified from SHARE recommendations</w:t>
      </w:r>
      <w:r>
        <w:rPr>
          <w:rFonts w:ascii="Arial" w:hAnsi="Arial"/>
          <w:lang w:val="en-GB"/>
        </w:rPr>
        <w:t>;</w:t>
      </w:r>
      <w:r w:rsidRPr="00B55D2C">
        <w:rPr>
          <w:rFonts w:ascii="Arial" w:hAnsi="Arial"/>
          <w:lang w:val="en-GB"/>
        </w:rPr>
        <w:t xml:space="preserve"> </w:t>
      </w:r>
      <w:r w:rsidRPr="00454C9C">
        <w:rPr>
          <w:rFonts w:cstheme="minorHAnsi"/>
          <w:color w:val="1F497D" w:themeColor="text2"/>
          <w:vertAlign w:val="superscript"/>
          <w:lang w:val="en-US"/>
        </w:rPr>
        <w:t>#</w:t>
      </w:r>
      <w:r w:rsidRPr="00B55D2C">
        <w:rPr>
          <w:rFonts w:ascii="Arial" w:hAnsi="Arial"/>
          <w:lang w:val="en-GB"/>
        </w:rPr>
        <w:t xml:space="preserve"> content modified from SHARE recommendations</w:t>
      </w:r>
    </w:p>
    <w:p w:rsidR="00F264E5" w:rsidRPr="00F1451C" w:rsidRDefault="00F264E5" w:rsidP="00F1451C"/>
    <w:sectPr w:rsidR="00F264E5" w:rsidRPr="00F1451C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EA" w:rsidRDefault="00C63DEA">
      <w:r>
        <w:separator/>
      </w:r>
    </w:p>
  </w:endnote>
  <w:endnote w:type="continuationSeparator" w:id="0">
    <w:p w:rsidR="00C63DEA" w:rsidRDefault="00C6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E6" w:rsidRDefault="00F1451C" w:rsidP="009856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AE6" w:rsidRDefault="00C63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E6" w:rsidRPr="00EB5845" w:rsidRDefault="00F1451C" w:rsidP="009856D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EB5845">
      <w:rPr>
        <w:rStyle w:val="PageNumber"/>
        <w:rFonts w:ascii="Arial" w:hAnsi="Arial" w:cs="Arial"/>
      </w:rPr>
      <w:fldChar w:fldCharType="begin"/>
    </w:r>
    <w:r w:rsidRPr="00EB5845">
      <w:rPr>
        <w:rStyle w:val="PageNumber"/>
        <w:rFonts w:ascii="Arial" w:hAnsi="Arial" w:cs="Arial"/>
      </w:rPr>
      <w:instrText xml:space="preserve">PAGE  </w:instrText>
    </w:r>
    <w:r w:rsidRPr="00EB5845">
      <w:rPr>
        <w:rStyle w:val="PageNumber"/>
        <w:rFonts w:ascii="Arial" w:hAnsi="Arial" w:cs="Arial"/>
      </w:rPr>
      <w:fldChar w:fldCharType="separate"/>
    </w:r>
    <w:r w:rsidR="00646B53">
      <w:rPr>
        <w:rStyle w:val="PageNumber"/>
        <w:rFonts w:ascii="Arial" w:hAnsi="Arial" w:cs="Arial"/>
        <w:noProof/>
      </w:rPr>
      <w:t>1</w:t>
    </w:r>
    <w:r w:rsidRPr="00EB5845">
      <w:rPr>
        <w:rStyle w:val="PageNumber"/>
        <w:rFonts w:ascii="Arial" w:hAnsi="Arial" w:cs="Arial"/>
      </w:rPr>
      <w:fldChar w:fldCharType="end"/>
    </w:r>
  </w:p>
  <w:p w:rsidR="00806AE6" w:rsidRPr="00EB5845" w:rsidRDefault="00C63DE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EA" w:rsidRDefault="00C63DEA">
      <w:r>
        <w:separator/>
      </w:r>
    </w:p>
  </w:footnote>
  <w:footnote w:type="continuationSeparator" w:id="0">
    <w:p w:rsidR="00C63DEA" w:rsidRDefault="00C6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E40"/>
    <w:multiLevelType w:val="hybridMultilevel"/>
    <w:tmpl w:val="6D84C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0D95"/>
    <w:multiLevelType w:val="hybridMultilevel"/>
    <w:tmpl w:val="F3EE9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57C9F"/>
    <w:multiLevelType w:val="hybridMultilevel"/>
    <w:tmpl w:val="4C34B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6663"/>
    <w:multiLevelType w:val="hybridMultilevel"/>
    <w:tmpl w:val="6A582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D5E22"/>
    <w:rsid w:val="002D5E22"/>
    <w:rsid w:val="00646B53"/>
    <w:rsid w:val="00BE5AE4"/>
    <w:rsid w:val="00C63DEA"/>
    <w:rsid w:val="00DE13C1"/>
    <w:rsid w:val="00F1451C"/>
    <w:rsid w:val="00F2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22"/>
    <w:pPr>
      <w:ind w:left="708"/>
    </w:pPr>
  </w:style>
  <w:style w:type="paragraph" w:styleId="Caption">
    <w:name w:val="caption"/>
    <w:basedOn w:val="Normal"/>
    <w:next w:val="Normal"/>
    <w:uiPriority w:val="35"/>
    <w:unhideWhenUsed/>
    <w:qFormat/>
    <w:rsid w:val="002D5E22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2D5E22"/>
  </w:style>
  <w:style w:type="paragraph" w:styleId="Footer">
    <w:name w:val="footer"/>
    <w:basedOn w:val="Normal"/>
    <w:link w:val="FooterChar"/>
    <w:uiPriority w:val="99"/>
    <w:unhideWhenUsed/>
    <w:rsid w:val="00F1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1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F14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22"/>
    <w:pPr>
      <w:ind w:left="708"/>
    </w:pPr>
  </w:style>
  <w:style w:type="paragraph" w:styleId="Caption">
    <w:name w:val="caption"/>
    <w:basedOn w:val="Normal"/>
    <w:next w:val="Normal"/>
    <w:uiPriority w:val="35"/>
    <w:unhideWhenUsed/>
    <w:qFormat/>
    <w:rsid w:val="002D5E22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2D5E22"/>
  </w:style>
  <w:style w:type="paragraph" w:styleId="Footer">
    <w:name w:val="footer"/>
    <w:basedOn w:val="Normal"/>
    <w:link w:val="FooterChar"/>
    <w:uiPriority w:val="99"/>
    <w:unhideWhenUsed/>
    <w:rsid w:val="00F14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1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uiPriority w:val="99"/>
    <w:semiHidden/>
    <w:unhideWhenUsed/>
    <w:rsid w:val="00F14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6110</Characters>
  <Application>Microsoft Office Word</Application>
  <DocSecurity>0</DocSecurity>
  <Lines>265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CCERINO</dc:creator>
  <cp:lastModifiedBy>DCADELINA</cp:lastModifiedBy>
  <cp:revision>3</cp:revision>
  <dcterms:created xsi:type="dcterms:W3CDTF">2020-02-04T16:25:00Z</dcterms:created>
  <dcterms:modified xsi:type="dcterms:W3CDTF">2020-02-04T23:26:00Z</dcterms:modified>
</cp:coreProperties>
</file>