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color w:val="000000"/>
          <w:kern w:val="0"/>
        </w:rPr>
      </w:pPr>
      <w:r>
        <w:rPr>
          <w:rFonts w:hint="eastAsia"/>
        </w:rPr>
        <w:t xml:space="preserve"> Stress and displacement of four models under different physiological loads</w:t>
      </w:r>
      <w:bookmarkStart w:id="0" w:name="OLE_LINK59"/>
    </w:p>
    <w:tbl>
      <w:tblPr>
        <w:tblStyle w:val="2"/>
        <w:tblpPr w:leftFromText="180" w:rightFromText="180" w:vertAnchor="text" w:horzAnchor="page" w:tblpX="564" w:tblpY="441"/>
        <w:tblOverlap w:val="never"/>
        <w:tblW w:w="11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43"/>
        <w:gridCol w:w="1275"/>
        <w:gridCol w:w="995"/>
        <w:gridCol w:w="848"/>
        <w:gridCol w:w="992"/>
        <w:gridCol w:w="1418"/>
        <w:gridCol w:w="1276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The intact lumbar spine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L4/L5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L3/L4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L2/L3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L4/L5</w:t>
            </w:r>
            <w:r>
              <w:rPr>
                <w:rFonts w:hint="eastAsia"/>
                <w:color w:val="000000"/>
                <w:kern w:val="0"/>
                <w:sz w:val="20"/>
              </w:rPr>
              <w:t>annulus fibrosus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L4/L5</w:t>
            </w:r>
            <w:r>
              <w:rPr>
                <w:rFonts w:hint="eastAsia"/>
                <w:color w:val="000000"/>
                <w:kern w:val="0"/>
                <w:sz w:val="20"/>
              </w:rPr>
              <w:t>nucleus pulposus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L4/L5</w:t>
            </w:r>
            <w:r>
              <w:rPr>
                <w:rFonts w:hint="eastAsia"/>
                <w:color w:val="000000"/>
                <w:kern w:val="0"/>
                <w:sz w:val="20"/>
              </w:rPr>
              <w:t>articular process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ROM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ROM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ROM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ROM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stress</w:t>
            </w:r>
            <w:r>
              <w:rPr>
                <w:color w:val="000000"/>
                <w:kern w:val="0"/>
                <w:sz w:val="20"/>
              </w:rPr>
              <w:t>（MPa）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stress</w:t>
            </w:r>
            <w:r>
              <w:rPr>
                <w:color w:val="000000"/>
                <w:kern w:val="0"/>
                <w:sz w:val="20"/>
              </w:rPr>
              <w:t>（MPa）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stress</w:t>
            </w:r>
            <w:r>
              <w:rPr>
                <w:color w:val="000000"/>
                <w:kern w:val="0"/>
                <w:sz w:val="20"/>
              </w:rPr>
              <w:t>（MPa）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bookmarkStart w:id="1" w:name="OLE_LINK57" w:colFirst="1" w:colLast="1"/>
            <w:r>
              <w:rPr>
                <w:rFonts w:hint="eastAsia"/>
                <w:sz w:val="20"/>
              </w:rPr>
              <w:t>Flexion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bookmarkStart w:id="2" w:name="OLE_LINK56"/>
            <w:r>
              <w:rPr>
                <w:rFonts w:hint="eastAsia"/>
                <w:color w:val="000000"/>
                <w:kern w:val="0"/>
                <w:sz w:val="20"/>
              </w:rPr>
              <w:t>Healthy model</w:t>
            </w:r>
            <w:bookmarkEnd w:id="2"/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5.93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1.14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0.95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0.37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0.48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Degenerative model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5.13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0.72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Fusion model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4.61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Topping-off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model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4.45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0.52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2.51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Extension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Healthy model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3.7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0.82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0.66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0.11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0.13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Degenerative model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3.65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Fusion model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Topping-off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model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3.09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Rotation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Healthy model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6.32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0.55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1.54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0.33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Degenerative model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6.03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0.84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Fusion model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0.72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</w:t>
            </w:r>
            <w:r>
              <w:rPr>
                <w:rFonts w:hint="eastAsia"/>
                <w:color w:val="000000"/>
                <w:kern w:val="0"/>
                <w:sz w:val="20"/>
              </w:rPr>
              <w:t>4</w:t>
            </w:r>
            <w:r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Topping-off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model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5.33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0.54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Bending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Healthy model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2.48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0.27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1.48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9.77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Degenerative model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8.63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Fusion model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</w:t>
            </w:r>
            <w:r>
              <w:rPr>
                <w:rFonts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Topping-off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model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2.18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8.77</w:t>
            </w:r>
          </w:p>
        </w:tc>
      </w:tr>
    </w:tbl>
    <w:p>
      <w:pPr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bookmarkStart w:id="3" w:name="OLE_LINK61"/>
    </w:p>
    <w:bookmarkEnd w:id="3"/>
    <w:p/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F1746"/>
    <w:rsid w:val="788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2019-12-13T05:32:00Z</dcterms:created>
  <dc:creator>美的</dc:creator>
  <cp:lastModifiedBy>美的</cp:lastModifiedBy>
  <dcterms:modified xsi:type="dcterms:W3CDTF">2019-12-13T05:36:11Z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