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07B1" w14:textId="77777777" w:rsidR="00FA0795" w:rsidRPr="00A2594B" w:rsidRDefault="00A336B1" w:rsidP="00FA0795">
      <w:pPr>
        <w:pStyle w:val="Float-Caption"/>
      </w:pPr>
      <w:sdt>
        <w:sdtPr>
          <w:alias w:val="tab"/>
          <w:tag w:val="label"/>
          <w:id w:val="-2040964958"/>
          <w:placeholder>
            <w:docPart w:val="40284056AA2E4563A85780D4AE25AD32"/>
          </w:placeholder>
        </w:sdtPr>
        <w:sdtEndPr/>
        <w:sdtContent>
          <w:sdt>
            <w:sdtPr>
              <w:alias w:val="tab"/>
              <w:tag w:val="label"/>
              <w:id w:val="-784263368"/>
              <w:placeholder>
                <w:docPart w:val="2D8AA9CCD51C4FC3824AC1110FD479F6"/>
              </w:placeholder>
            </w:sdtPr>
            <w:sdtEndPr/>
            <w:sdtContent>
              <w:r w:rsidR="005C2769">
                <w:rPr>
                  <w:shd w:val="clear" w:color="auto" w:fill="BEBEBE"/>
                </w:rPr>
                <w:t xml:space="preserve">Additional file </w:t>
              </w:r>
              <w:r w:rsidR="00FE431A">
                <w:rPr>
                  <w:shd w:val="clear" w:color="auto" w:fill="BEBEBE"/>
                </w:rPr>
                <w:t>4</w:t>
              </w:r>
              <w:r w:rsidR="00670EF3">
                <w:rPr>
                  <w:shd w:val="clear" w:color="auto" w:fill="BEBEBE"/>
                </w:rPr>
                <w:t>: Table S4</w:t>
              </w:r>
              <w:r w:rsidR="005C2769">
                <w:rPr>
                  <w:shd w:val="clear" w:color="auto" w:fill="BEBEBE"/>
                </w:rPr>
                <w:t xml:space="preserve"> </w:t>
              </w:r>
            </w:sdtContent>
          </w:sdt>
        </w:sdtContent>
      </w:sdt>
      <w:r w:rsidR="00FA0795" w:rsidRPr="009A1F9E">
        <w:t xml:space="preserve"> Full-spectrum KT </w:t>
      </w:r>
      <w:r w:rsidR="00FA0795" w:rsidRPr="00A2594B">
        <w:t>t</w:t>
      </w:r>
      <w:r w:rsidR="00FA0795" w:rsidRPr="009A1F9E">
        <w:t xml:space="preserve">heories, </w:t>
      </w:r>
      <w:r w:rsidR="00FA0795" w:rsidRPr="00A2594B">
        <w:t>m</w:t>
      </w:r>
      <w:r w:rsidR="00FA0795" w:rsidRPr="009A1F9E">
        <w:t xml:space="preserve">odels, </w:t>
      </w:r>
      <w:r w:rsidR="00FA0795" w:rsidRPr="00A2594B">
        <w:t>and f</w:t>
      </w:r>
      <w:r w:rsidR="00FA0795" w:rsidRPr="009A1F9E">
        <w:t>rameworks that fit the Determinant or Evaluation Frameworks Category (</w:t>
      </w:r>
      <w:r w:rsidR="00FA0795" w:rsidRPr="009A1F9E">
        <w:rPr>
          <w:i/>
        </w:rPr>
        <w:t>n</w:t>
      </w:r>
      <w:r w:rsidR="00FA0795" w:rsidRPr="00A2594B">
        <w:t xml:space="preserve"> </w:t>
      </w:r>
      <w:r w:rsidR="00FA0795" w:rsidRPr="009A1F9E">
        <w:t>=</w:t>
      </w:r>
      <w:r w:rsidR="00FA0795" w:rsidRPr="00A2594B">
        <w:t xml:space="preserve"> </w:t>
      </w:r>
      <w:r w:rsidR="00FA0795" w:rsidRPr="009A1F9E">
        <w:t>6)</w:t>
      </w:r>
    </w:p>
    <w:tbl>
      <w:tblPr>
        <w:tblStyle w:val="TableGrid"/>
        <w:tblW w:w="5000" w:type="pct"/>
        <w:jc w:val="center"/>
        <w:tblLayout w:type="fixed"/>
        <w:tblCellMar>
          <w:left w:w="72" w:type="dxa"/>
          <w:right w:w="72" w:type="dxa"/>
        </w:tblCellMar>
        <w:tblLook w:val="0600" w:firstRow="0" w:lastRow="0" w:firstColumn="0" w:lastColumn="0" w:noHBand="1" w:noVBand="1"/>
      </w:tblPr>
      <w:tblGrid>
        <w:gridCol w:w="3042"/>
        <w:gridCol w:w="4320"/>
        <w:gridCol w:w="2160"/>
        <w:gridCol w:w="1440"/>
        <w:gridCol w:w="2250"/>
        <w:gridCol w:w="1332"/>
      </w:tblGrid>
      <w:tr w:rsidR="007D3C73" w:rsidRPr="00A2594B" w14:paraId="0F6B9A5C" w14:textId="77777777" w:rsidTr="007D3C73">
        <w:trPr>
          <w:jc w:val="center"/>
        </w:trPr>
        <w:tc>
          <w:tcPr>
            <w:tcW w:w="3042" w:type="dxa"/>
            <w:shd w:val="clear" w:color="auto" w:fill="00CCFF"/>
          </w:tcPr>
          <w:p w14:paraId="7437D841"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Name of KT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heory, </w:t>
            </w:r>
            <w:r w:rsidRPr="00A2594B">
              <w:rPr>
                <w:rFonts w:ascii="Times New Roman" w:hAnsi="Times New Roman" w:cs="Times New Roman"/>
                <w:sz w:val="24"/>
                <w:szCs w:val="24"/>
                <w:lang w:val="en-US"/>
              </w:rPr>
              <w:t>m</w:t>
            </w:r>
            <w:r w:rsidRPr="009A1F9E">
              <w:rPr>
                <w:rFonts w:ascii="Times New Roman" w:hAnsi="Times New Roman" w:cs="Times New Roman"/>
                <w:sz w:val="24"/>
                <w:szCs w:val="24"/>
                <w:lang w:val="en-US"/>
              </w:rPr>
              <w:t>odel</w:t>
            </w:r>
            <w:r w:rsidRPr="00A2594B">
              <w:rPr>
                <w:rFonts w:ascii="Times New Roman" w:hAnsi="Times New Roman" w:cs="Times New Roman"/>
                <w:sz w:val="24"/>
                <w:szCs w:val="24"/>
                <w:lang w:val="en-US"/>
              </w:rPr>
              <w:t>,</w:t>
            </w:r>
            <w:r w:rsidRPr="009A1F9E">
              <w:rPr>
                <w:rFonts w:ascii="Times New Roman" w:hAnsi="Times New Roman" w:cs="Times New Roman"/>
                <w:sz w:val="24"/>
                <w:szCs w:val="24"/>
                <w:lang w:val="en-US"/>
              </w:rPr>
              <w:t xml:space="preserve"> or </w:t>
            </w:r>
            <w:r w:rsidRPr="00A2594B">
              <w:rPr>
                <w:rFonts w:ascii="Times New Roman" w:hAnsi="Times New Roman" w:cs="Times New Roman"/>
                <w:sz w:val="24"/>
                <w:szCs w:val="24"/>
                <w:lang w:val="en-US"/>
              </w:rPr>
              <w:t>f</w:t>
            </w:r>
            <w:r w:rsidRPr="009A1F9E">
              <w:rPr>
                <w:rFonts w:ascii="Times New Roman" w:hAnsi="Times New Roman" w:cs="Times New Roman"/>
                <w:sz w:val="24"/>
                <w:szCs w:val="24"/>
                <w:lang w:val="en-US"/>
              </w:rPr>
              <w:t>ramework, author, source, year</w:t>
            </w:r>
          </w:p>
        </w:tc>
        <w:tc>
          <w:tcPr>
            <w:tcW w:w="4320" w:type="dxa"/>
            <w:shd w:val="clear" w:color="auto" w:fill="00CCFF"/>
          </w:tcPr>
          <w:p w14:paraId="1D703658"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Description</w:t>
            </w:r>
          </w:p>
        </w:tc>
        <w:tc>
          <w:tcPr>
            <w:tcW w:w="2160" w:type="dxa"/>
            <w:shd w:val="clear" w:color="auto" w:fill="00CCFF"/>
          </w:tcPr>
          <w:p w14:paraId="74E183D7"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Primary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arget </w:t>
            </w:r>
            <w:r w:rsidRPr="00A2594B">
              <w:rPr>
                <w:rFonts w:ascii="Times New Roman" w:hAnsi="Times New Roman" w:cs="Times New Roman"/>
                <w:sz w:val="24"/>
                <w:szCs w:val="24"/>
                <w:lang w:val="en-US"/>
              </w:rPr>
              <w:t>a</w:t>
            </w:r>
            <w:r w:rsidRPr="009A1F9E">
              <w:rPr>
                <w:rFonts w:ascii="Times New Roman" w:hAnsi="Times New Roman" w:cs="Times New Roman"/>
                <w:sz w:val="24"/>
                <w:szCs w:val="24"/>
                <w:lang w:val="en-US"/>
              </w:rPr>
              <w:t xml:space="preserve">udience or </w:t>
            </w:r>
            <w:r w:rsidRPr="00A2594B">
              <w:rPr>
                <w:rFonts w:ascii="Times New Roman" w:hAnsi="Times New Roman" w:cs="Times New Roman"/>
                <w:sz w:val="24"/>
                <w:szCs w:val="24"/>
                <w:lang w:val="en-US"/>
              </w:rPr>
              <w:t>u</w:t>
            </w:r>
            <w:r w:rsidRPr="009A1F9E">
              <w:rPr>
                <w:rFonts w:ascii="Times New Roman" w:hAnsi="Times New Roman" w:cs="Times New Roman"/>
                <w:sz w:val="24"/>
                <w:szCs w:val="24"/>
                <w:lang w:val="en-US"/>
              </w:rPr>
              <w:t>ser</w:t>
            </w:r>
          </w:p>
        </w:tc>
        <w:tc>
          <w:tcPr>
            <w:tcW w:w="1440" w:type="dxa"/>
            <w:shd w:val="clear" w:color="auto" w:fill="00CCFF"/>
          </w:tcPr>
          <w:p w14:paraId="0A8BBFF3"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Context </w:t>
            </w:r>
          </w:p>
        </w:tc>
        <w:tc>
          <w:tcPr>
            <w:tcW w:w="2250" w:type="dxa"/>
            <w:shd w:val="clear" w:color="auto" w:fill="00CCFF"/>
          </w:tcPr>
          <w:p w14:paraId="2E4F9609"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How has it been used? </w:t>
            </w:r>
          </w:p>
        </w:tc>
        <w:tc>
          <w:tcPr>
            <w:tcW w:w="1332" w:type="dxa"/>
            <w:shd w:val="clear" w:color="auto" w:fill="00CCFF"/>
          </w:tcPr>
          <w:p w14:paraId="3E3B990F" w14:textId="77777777" w:rsidR="00FA0795" w:rsidRPr="009A1F9E" w:rsidRDefault="00FA0795"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Level of use (I, O, P)</w:t>
            </w:r>
          </w:p>
        </w:tc>
      </w:tr>
      <w:tr w:rsidR="007D3C73" w:rsidRPr="00A2594B" w14:paraId="5719000F" w14:textId="77777777" w:rsidTr="007D3C73">
        <w:trPr>
          <w:jc w:val="center"/>
        </w:trPr>
        <w:tc>
          <w:tcPr>
            <w:tcW w:w="14544" w:type="dxa"/>
            <w:gridSpan w:val="6"/>
            <w:shd w:val="clear" w:color="auto" w:fill="auto"/>
          </w:tcPr>
          <w:p w14:paraId="2E0D80F5" w14:textId="77777777" w:rsidR="007D3C73" w:rsidRPr="009A1F9E" w:rsidRDefault="007D3C73" w:rsidP="00D44595">
            <w:pPr>
              <w:spacing w:after="160" w:line="360" w:lineRule="auto"/>
              <w:rPr>
                <w:rFonts w:ascii="Times New Roman" w:hAnsi="Times New Roman" w:cs="Times New Roman"/>
                <w:sz w:val="24"/>
                <w:szCs w:val="24"/>
              </w:rPr>
            </w:pPr>
            <w:r w:rsidRPr="009A1F9E">
              <w:rPr>
                <w:rFonts w:ascii="Times New Roman" w:hAnsi="Times New Roman" w:cs="Times New Roman"/>
                <w:sz w:val="24"/>
                <w:szCs w:val="24"/>
                <w:lang w:val="en-US"/>
              </w:rPr>
              <w:t>Determinant frameworks (</w:t>
            </w:r>
            <w:r w:rsidRPr="009A1F9E">
              <w:rPr>
                <w:rFonts w:ascii="Times New Roman" w:hAnsi="Times New Roman" w:cs="Times New Roman"/>
                <w:i/>
                <w:sz w:val="24"/>
                <w:szCs w:val="24"/>
                <w:lang w:val="en-US"/>
              </w:rPr>
              <w:t>n</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3)</w:t>
            </w:r>
          </w:p>
        </w:tc>
      </w:tr>
      <w:tr w:rsidR="00670EF3" w:rsidRPr="00A2594B" w14:paraId="181ABFB9" w14:textId="77777777" w:rsidTr="007D3C73">
        <w:trPr>
          <w:jc w:val="center"/>
        </w:trPr>
        <w:tc>
          <w:tcPr>
            <w:tcW w:w="3042" w:type="dxa"/>
            <w:shd w:val="clear" w:color="auto" w:fill="auto"/>
          </w:tcPr>
          <w:p w14:paraId="75241D1B" w14:textId="4728A37A" w:rsidR="00FA0795" w:rsidRPr="00A2594B" w:rsidRDefault="00FA0795" w:rsidP="00A336B1">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Social Marketing Framework, Social Marketing National Excellence Collaborative, Turning Point National Program Office at the University of Washington, 2003Social Marketing and Public Health Lessons from the Field – SSWM </w:t>
            </w:r>
            <w:hyperlink r:id="rId4" w:history="1">
              <w:r w:rsidRPr="00A2594B">
                <w:rPr>
                  <w:rStyle w:val="Hyperlink"/>
                  <w:rFonts w:ascii="Times New Roman" w:hAnsi="Times New Roman" w:cs="Times New Roman"/>
                  <w:sz w:val="24"/>
                  <w:szCs w:val="24"/>
                  <w:lang w:val="en-US"/>
                </w:rPr>
                <w:t>https://www.sswm.info/node/1984</w:t>
              </w:r>
            </w:hyperlink>
            <w:r w:rsidRPr="00A2594B">
              <w:rPr>
                <w:rFonts w:ascii="Times New Roman" w:hAnsi="Times New Roman" w:cs="Times New Roman"/>
                <w:sz w:val="24"/>
                <w:szCs w:val="24"/>
                <w:lang w:val="en-US"/>
              </w:rPr>
              <w:t xml:space="preserve"> </w:t>
            </w:r>
            <w:sdt>
              <w:sdtPr>
                <w:rPr>
                  <w:rFonts w:ascii="Times New Roman" w:hAnsi="Times New Roman" w:cs="Times New Roman"/>
                  <w:sz w:val="24"/>
                  <w:szCs w:val="24"/>
                </w:rPr>
                <w:alias w:val="BibliographyNumbered"/>
                <w:tag w:val="link-bib"/>
                <w:id w:val="42421908"/>
                <w:placeholder>
                  <w:docPart w:val="E894A5983BD941FB8274F4D14C49006B"/>
                </w:placeholder>
              </w:sdtPr>
              <w:sdtEndPr/>
              <w:sdtContent>
                <w:r w:rsidRPr="00A2594B">
                  <w:rPr>
                    <w:rFonts w:ascii="Times New Roman" w:hAnsi="Times New Roman" w:cs="Times New Roman"/>
                    <w:sz w:val="24"/>
                    <w:szCs w:val="24"/>
                    <w:lang w:val="en-US"/>
                  </w:rPr>
                  <w:t>[29]</w:t>
                </w:r>
              </w:sdtContent>
            </w:sdt>
          </w:p>
        </w:tc>
        <w:tc>
          <w:tcPr>
            <w:tcW w:w="4320" w:type="dxa"/>
            <w:shd w:val="clear" w:color="auto" w:fill="auto"/>
          </w:tcPr>
          <w:p w14:paraId="057D96F7" w14:textId="18CD1021" w:rsidR="00FA0795" w:rsidRPr="00A2594B" w:rsidRDefault="00FA0795" w:rsidP="00A336B1">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There are three components that are essential to any definition. First is the role of marketing techniques—which necessitate putting the primary audience or target audience (aka “customer”) at the centre of every decision. Second is that the focus of the endeavour is on vol</w:t>
            </w:r>
            <w:r w:rsidR="00A336B1">
              <w:rPr>
                <w:rFonts w:ascii="Times New Roman" w:hAnsi="Times New Roman" w:cs="Times New Roman"/>
                <w:color w:val="000000"/>
                <w:sz w:val="24"/>
                <w:szCs w:val="24"/>
                <w:lang w:val="en-US"/>
              </w:rPr>
              <w:t xml:space="preserve">untary behavior change. Third, </w:t>
            </w:r>
            <w:r w:rsidRPr="00A2594B">
              <w:rPr>
                <w:rFonts w:ascii="Times New Roman" w:hAnsi="Times New Roman" w:cs="Times New Roman"/>
                <w:color w:val="000000"/>
                <w:sz w:val="24"/>
                <w:szCs w:val="24"/>
                <w:lang w:val="en-US"/>
              </w:rPr>
              <w:t xml:space="preserve">is that the behavior change is for the benefit of an individual, group, or population, not for profit or commercial gain. Social marketing integrates the marketing mix of the 5 Ps (Product, Price, Place, Promotion, and Policy factors) as well as the exchange and competition factors with the outcome of behavior change. </w:t>
            </w:r>
          </w:p>
        </w:tc>
        <w:tc>
          <w:tcPr>
            <w:tcW w:w="2160" w:type="dxa"/>
            <w:shd w:val="clear" w:color="auto" w:fill="auto"/>
          </w:tcPr>
          <w:p w14:paraId="3E152279"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1440" w:type="dxa"/>
            <w:shd w:val="clear" w:color="auto" w:fill="auto"/>
          </w:tcPr>
          <w:p w14:paraId="4BD86442"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w:t>
            </w:r>
          </w:p>
        </w:tc>
        <w:tc>
          <w:tcPr>
            <w:tcW w:w="2250" w:type="dxa"/>
            <w:shd w:val="clear" w:color="auto" w:fill="auto"/>
          </w:tcPr>
          <w:p w14:paraId="478B0BD2" w14:textId="0DF0734B"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Twelve case studies described</w:t>
            </w:r>
            <w:r w:rsidR="00A336B1">
              <w:rPr>
                <w:rFonts w:ascii="Times New Roman" w:hAnsi="Times New Roman" w:cs="Times New Roman"/>
                <w:sz w:val="24"/>
                <w:szCs w:val="24"/>
                <w:lang w:val="en-US"/>
              </w:rPr>
              <w:t>.</w:t>
            </w:r>
          </w:p>
        </w:tc>
        <w:tc>
          <w:tcPr>
            <w:tcW w:w="1332" w:type="dxa"/>
            <w:shd w:val="clear" w:color="auto" w:fill="auto"/>
          </w:tcPr>
          <w:p w14:paraId="3C515AF2"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670EF3" w:rsidRPr="00A2594B" w14:paraId="24A539B2" w14:textId="77777777" w:rsidTr="007D3C73">
        <w:trPr>
          <w:jc w:val="center"/>
        </w:trPr>
        <w:tc>
          <w:tcPr>
            <w:tcW w:w="3042" w:type="dxa"/>
            <w:shd w:val="clear" w:color="auto" w:fill="auto"/>
          </w:tcPr>
          <w:p w14:paraId="5539CC76"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Consolidated Framework for Implementation Research (CFIR), Damschroder L, </w:t>
            </w:r>
            <w:r w:rsidRPr="00A2594B">
              <w:rPr>
                <w:rFonts w:ascii="Times New Roman" w:hAnsi="Times New Roman" w:cs="Times New Roman"/>
                <w:sz w:val="24"/>
                <w:szCs w:val="24"/>
                <w:lang w:val="en-US"/>
              </w:rPr>
              <w:lastRenderedPageBreak/>
              <w:t xml:space="preserve">Implementation Science, 2009 </w:t>
            </w:r>
            <w:sdt>
              <w:sdtPr>
                <w:rPr>
                  <w:rFonts w:ascii="Times New Roman" w:hAnsi="Times New Roman" w:cs="Times New Roman"/>
                  <w:sz w:val="24"/>
                  <w:szCs w:val="24"/>
                </w:rPr>
                <w:alias w:val="BibliographyNumbered"/>
                <w:tag w:val="link-bib"/>
                <w:id w:val="62839497"/>
                <w:placeholder>
                  <w:docPart w:val="6EAD116DFBA14620A6A24FADBD03DDFD"/>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40]</w:t>
                </w:r>
              </w:sdtContent>
            </w:sdt>
          </w:p>
        </w:tc>
        <w:tc>
          <w:tcPr>
            <w:tcW w:w="4320" w:type="dxa"/>
            <w:shd w:val="clear" w:color="auto" w:fill="auto"/>
          </w:tcPr>
          <w:p w14:paraId="2565A3CF"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lastRenderedPageBreak/>
              <w:t xml:space="preserve">The CFIR is “meta-theoretical”. It includes constructs from a synthesis of existing theories, without depicting </w:t>
            </w:r>
            <w:r w:rsidRPr="00A2594B">
              <w:rPr>
                <w:rFonts w:ascii="Times New Roman" w:hAnsi="Times New Roman" w:cs="Times New Roman"/>
                <w:color w:val="000000"/>
                <w:sz w:val="24"/>
                <w:szCs w:val="24"/>
                <w:lang w:val="en-US"/>
              </w:rPr>
              <w:lastRenderedPageBreak/>
              <w:t>interrelationships, specific ecological levels, or specific hypotheses.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w:t>
            </w:r>
          </w:p>
        </w:tc>
        <w:tc>
          <w:tcPr>
            <w:tcW w:w="2160" w:type="dxa"/>
            <w:shd w:val="clear" w:color="auto" w:fill="auto"/>
          </w:tcPr>
          <w:p w14:paraId="474A06FA"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1440" w:type="dxa"/>
            <w:shd w:val="clear" w:color="auto" w:fill="auto"/>
          </w:tcPr>
          <w:p w14:paraId="7DFA894C"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No specific context, consolidating </w:t>
            </w:r>
            <w:r w:rsidRPr="00A2594B">
              <w:rPr>
                <w:rFonts w:ascii="Times New Roman" w:hAnsi="Times New Roman" w:cs="Times New Roman"/>
                <w:sz w:val="24"/>
                <w:szCs w:val="24"/>
                <w:lang w:val="en-US"/>
              </w:rPr>
              <w:lastRenderedPageBreak/>
              <w:t>multiple framework constructs</w:t>
            </w:r>
          </w:p>
        </w:tc>
        <w:tc>
          <w:tcPr>
            <w:tcW w:w="2250" w:type="dxa"/>
            <w:shd w:val="clear" w:color="auto" w:fill="auto"/>
          </w:tcPr>
          <w:p w14:paraId="0F7218B5" w14:textId="72A5E453"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Multiple application</w:t>
            </w:r>
          </w:p>
        </w:tc>
        <w:tc>
          <w:tcPr>
            <w:tcW w:w="1332" w:type="dxa"/>
            <w:shd w:val="clear" w:color="auto" w:fill="auto"/>
          </w:tcPr>
          <w:p w14:paraId="272A810B"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670EF3" w:rsidRPr="00A2594B" w14:paraId="106F0807" w14:textId="77777777" w:rsidTr="007D3C73">
        <w:trPr>
          <w:jc w:val="center"/>
        </w:trPr>
        <w:tc>
          <w:tcPr>
            <w:tcW w:w="3042" w:type="dxa"/>
            <w:shd w:val="clear" w:color="auto" w:fill="auto"/>
          </w:tcPr>
          <w:p w14:paraId="71A32C11"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lastRenderedPageBreak/>
              <w:t xml:space="preserve">Knowledge Integration Process, Glasgow RE, Am J of Public Health, 2012 </w:t>
            </w:r>
            <w:sdt>
              <w:sdtPr>
                <w:rPr>
                  <w:rFonts w:ascii="Times New Roman" w:hAnsi="Times New Roman" w:cs="Times New Roman"/>
                  <w:color w:val="000000"/>
                  <w:sz w:val="24"/>
                  <w:szCs w:val="24"/>
                </w:rPr>
                <w:alias w:val="BibliographyNumbered"/>
                <w:tag w:val="link-bib"/>
                <w:id w:val="-1837824953"/>
                <w:placeholder>
                  <w:docPart w:val="873E19A7423B4A4F974A491FB7A29528"/>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54]</w:t>
                </w:r>
              </w:sdtContent>
            </w:sdt>
          </w:p>
        </w:tc>
        <w:tc>
          <w:tcPr>
            <w:tcW w:w="4320" w:type="dxa"/>
            <w:shd w:val="clear" w:color="auto" w:fill="auto"/>
          </w:tcPr>
          <w:p w14:paraId="1BDE702E" w14:textId="71C859ED" w:rsidR="00FA0795" w:rsidRPr="00A2594B" w:rsidRDefault="00FA0795"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There are 5 overlapping, interrelated phases of research in advancing from scientific discoveries to population health. Whatever terms are used for these phases and whether public health or medical issues are under consideration, the diagram illustrates the highly iterative nature of the </w:t>
            </w:r>
            <w:r w:rsidRPr="00A2594B">
              <w:rPr>
                <w:rFonts w:ascii="Times New Roman" w:hAnsi="Times New Roman" w:cs="Times New Roman"/>
                <w:color w:val="000000"/>
                <w:sz w:val="24"/>
                <w:szCs w:val="24"/>
                <w:lang w:val="en-US"/>
              </w:rPr>
              <w:lastRenderedPageBreak/>
              <w:t>cycle from discovery to translation. The process starts with the identification of a problem and the “discovery” of an opportunity or approach to tackle a health issue (T0). These discoveries can result from multiple sources and disciplines such as molecular or biological insights, behavioral research, or epidemiological research. The first translational research phase (T1) involves research allowing for the development of tests or other clinical interventions, but it can also lead to nonmedical interventions such as policy, behavioral, social, or other public health interventions. The second research phase (T2) involves a rigorous analysis and investigation of whether the new interventions improve health outcomes (in randomized trials or other study designs). The end result of T2 is evidence-based guidelines and recommendations by professional organizations and independent panels. (N</w:t>
            </w:r>
            <w:r w:rsidR="00A336B1">
              <w:rPr>
                <w:rFonts w:ascii="Times New Roman" w:hAnsi="Times New Roman" w:cs="Times New Roman"/>
                <w:color w:val="000000"/>
                <w:sz w:val="24"/>
                <w:szCs w:val="24"/>
                <w:lang w:val="en-US"/>
              </w:rPr>
              <w:t xml:space="preserve">ational </w:t>
            </w:r>
            <w:r w:rsidRPr="00A2594B">
              <w:rPr>
                <w:rFonts w:ascii="Times New Roman" w:hAnsi="Times New Roman" w:cs="Times New Roman"/>
                <w:color w:val="000000"/>
                <w:sz w:val="24"/>
                <w:szCs w:val="24"/>
                <w:lang w:val="en-US"/>
              </w:rPr>
              <w:t>I</w:t>
            </w:r>
            <w:r w:rsidR="00A336B1">
              <w:rPr>
                <w:rFonts w:ascii="Times New Roman" w:hAnsi="Times New Roman" w:cs="Times New Roman"/>
                <w:color w:val="000000"/>
                <w:sz w:val="24"/>
                <w:szCs w:val="24"/>
                <w:lang w:val="en-US"/>
              </w:rPr>
              <w:t xml:space="preserve">nstitutes of </w:t>
            </w:r>
            <w:r w:rsidRPr="00A2594B">
              <w:rPr>
                <w:rFonts w:ascii="Times New Roman" w:hAnsi="Times New Roman" w:cs="Times New Roman"/>
                <w:color w:val="000000"/>
                <w:sz w:val="24"/>
                <w:szCs w:val="24"/>
                <w:lang w:val="en-US"/>
              </w:rPr>
              <w:t>H</w:t>
            </w:r>
            <w:r w:rsidR="00A336B1">
              <w:rPr>
                <w:rFonts w:ascii="Times New Roman" w:hAnsi="Times New Roman" w:cs="Times New Roman"/>
                <w:color w:val="000000"/>
                <w:sz w:val="24"/>
                <w:szCs w:val="24"/>
                <w:lang w:val="en-US"/>
              </w:rPr>
              <w:t>ealth</w:t>
            </w:r>
            <w:r w:rsidRPr="00A2594B">
              <w:rPr>
                <w:rFonts w:ascii="Times New Roman" w:hAnsi="Times New Roman" w:cs="Times New Roman"/>
                <w:color w:val="000000"/>
                <w:sz w:val="24"/>
                <w:szCs w:val="24"/>
                <w:lang w:val="en-US"/>
              </w:rPr>
              <w:t xml:space="preserve"> often focuses primarily on T1 and T2 research, usually in the context of drug and other clinical interventions and incorporates all </w:t>
            </w:r>
            <w:r w:rsidRPr="00A2594B">
              <w:rPr>
                <w:rFonts w:ascii="Times New Roman" w:hAnsi="Times New Roman" w:cs="Times New Roman"/>
                <w:color w:val="000000"/>
                <w:sz w:val="24"/>
                <w:szCs w:val="24"/>
                <w:lang w:val="en-US"/>
              </w:rPr>
              <w:lastRenderedPageBreak/>
              <w:t>T2–T4 activities under T2).</w:t>
            </w:r>
          </w:p>
        </w:tc>
        <w:tc>
          <w:tcPr>
            <w:tcW w:w="2160" w:type="dxa"/>
            <w:shd w:val="clear" w:color="auto" w:fill="auto"/>
          </w:tcPr>
          <w:p w14:paraId="3F824CAF"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1440" w:type="dxa"/>
            <w:shd w:val="clear" w:color="auto" w:fill="auto"/>
          </w:tcPr>
          <w:p w14:paraId="04C4A35B"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Dissemination research, NIH, Public health</w:t>
            </w:r>
          </w:p>
        </w:tc>
        <w:tc>
          <w:tcPr>
            <w:tcW w:w="2250" w:type="dxa"/>
            <w:shd w:val="clear" w:color="auto" w:fill="auto"/>
          </w:tcPr>
          <w:p w14:paraId="06BB7C01" w14:textId="6135488D"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Lorig et al. program implementation and other examples in paper</w:t>
            </w:r>
            <w:r w:rsidR="00A336B1">
              <w:rPr>
                <w:rFonts w:ascii="Times New Roman" w:hAnsi="Times New Roman" w:cs="Times New Roman"/>
                <w:sz w:val="24"/>
                <w:szCs w:val="24"/>
                <w:lang w:val="en-US"/>
              </w:rPr>
              <w:t>.</w:t>
            </w:r>
          </w:p>
        </w:tc>
        <w:tc>
          <w:tcPr>
            <w:tcW w:w="1332" w:type="dxa"/>
            <w:shd w:val="clear" w:color="auto" w:fill="auto"/>
          </w:tcPr>
          <w:p w14:paraId="6190F0B4"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7D3C73" w:rsidRPr="00A2594B" w14:paraId="54001E33" w14:textId="77777777" w:rsidTr="00B678FA">
        <w:trPr>
          <w:jc w:val="center"/>
        </w:trPr>
        <w:tc>
          <w:tcPr>
            <w:tcW w:w="14544" w:type="dxa"/>
            <w:gridSpan w:val="6"/>
            <w:shd w:val="clear" w:color="auto" w:fill="auto"/>
          </w:tcPr>
          <w:p w14:paraId="0E93B7D5" w14:textId="77777777" w:rsidR="007D3C73" w:rsidRPr="00A2594B" w:rsidRDefault="007D3C73" w:rsidP="00D44595">
            <w:pPr>
              <w:spacing w:after="160" w:line="360" w:lineRule="auto"/>
              <w:rPr>
                <w:rFonts w:ascii="Times New Roman" w:hAnsi="Times New Roman" w:cs="Times New Roman"/>
                <w:sz w:val="24"/>
                <w:szCs w:val="24"/>
              </w:rPr>
            </w:pPr>
            <w:r w:rsidRPr="00A2594B">
              <w:rPr>
                <w:rFonts w:ascii="Times New Roman" w:hAnsi="Times New Roman" w:cs="Times New Roman"/>
                <w:sz w:val="24"/>
                <w:szCs w:val="24"/>
                <w:lang w:val="en-US"/>
              </w:rPr>
              <w:lastRenderedPageBreak/>
              <w:t>Evaluation frameworks (</w:t>
            </w:r>
            <w:r w:rsidRPr="009A1F9E">
              <w:rPr>
                <w:rFonts w:ascii="Times New Roman" w:hAnsi="Times New Roman" w:cs="Times New Roman"/>
                <w:i/>
                <w:sz w:val="24"/>
                <w:szCs w:val="24"/>
                <w:lang w:val="en-US"/>
              </w:rPr>
              <w:t>n</w:t>
            </w:r>
            <w:r w:rsidRPr="00A2594B">
              <w:rPr>
                <w:rFonts w:ascii="Times New Roman" w:hAnsi="Times New Roman" w:cs="Times New Roman"/>
                <w:sz w:val="24"/>
                <w:szCs w:val="24"/>
                <w:lang w:val="en-US"/>
              </w:rPr>
              <w:t xml:space="preserve"> = 3)</w:t>
            </w:r>
          </w:p>
        </w:tc>
      </w:tr>
      <w:tr w:rsidR="00670EF3" w:rsidRPr="00A2594B" w14:paraId="47FA0EE9" w14:textId="77777777" w:rsidTr="007D3C73">
        <w:trPr>
          <w:jc w:val="center"/>
        </w:trPr>
        <w:tc>
          <w:tcPr>
            <w:tcW w:w="3042" w:type="dxa"/>
            <w:shd w:val="clear" w:color="auto" w:fill="auto"/>
          </w:tcPr>
          <w:p w14:paraId="239370BB"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A Conceptual Framework for Planning and Improving Evidence-Based Practices, Spencer, Prev Chron Disease, 2013 </w:t>
            </w:r>
            <w:sdt>
              <w:sdtPr>
                <w:rPr>
                  <w:rFonts w:ascii="Times New Roman" w:hAnsi="Times New Roman" w:cs="Times New Roman"/>
                  <w:sz w:val="24"/>
                  <w:szCs w:val="24"/>
                </w:rPr>
                <w:alias w:val="BibliographyNumbered"/>
                <w:tag w:val="link-bib"/>
                <w:id w:val="1930077101"/>
                <w:placeholder>
                  <w:docPart w:val="EB1F434F1BE24BC0AE6D03A8ECF62E68"/>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53]</w:t>
                </w:r>
              </w:sdtContent>
            </w:sdt>
          </w:p>
        </w:tc>
        <w:tc>
          <w:tcPr>
            <w:tcW w:w="4320" w:type="dxa"/>
            <w:shd w:val="clear" w:color="auto" w:fill="auto"/>
          </w:tcPr>
          <w:p w14:paraId="6A58867B"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The workgroup produced a conceptual framework consisting of two interrelated components: public health impact and quality of evidence. The public health impact component of the framework consists of the following 5 elements: effectiveness, reach, feasibility, sustainability, and transferability. These elements are derived in part from the reach, effectiveness, adoption, implementation, maintenance (RE-AIM) model for translational research </w:t>
            </w:r>
            <w:sdt>
              <w:sdtPr>
                <w:rPr>
                  <w:rFonts w:ascii="Times New Roman" w:hAnsi="Times New Roman" w:cs="Times New Roman"/>
                  <w:color w:val="000000"/>
                  <w:sz w:val="24"/>
                  <w:szCs w:val="24"/>
                </w:rPr>
                <w:alias w:val="BibliographyNumbered"/>
                <w:tag w:val="link-bib"/>
                <w:id w:val="705991215"/>
                <w:placeholder>
                  <w:docPart w:val="BB4D06D765164DB2BD047ACF1888DC85"/>
                </w:placeholder>
              </w:sdtPr>
              <w:sdtEndPr/>
              <w:sdtContent>
                <w:r w:rsidRPr="00A2594B">
                  <w:rPr>
                    <w:rFonts w:ascii="Times New Roman" w:hAnsi="Times New Roman" w:cs="Times New Roman"/>
                    <w:color w:val="000000"/>
                    <w:sz w:val="24"/>
                    <w:szCs w:val="24"/>
                    <w:lang w:val="en-US"/>
                  </w:rPr>
                  <w:t>[41]</w:t>
                </w:r>
              </w:sdtContent>
            </w:sdt>
            <w:r w:rsidRPr="00A2594B">
              <w:rPr>
                <w:rFonts w:ascii="Times New Roman" w:hAnsi="Times New Roman" w:cs="Times New Roman"/>
                <w:color w:val="000000"/>
                <w:sz w:val="24"/>
                <w:szCs w:val="24"/>
                <w:lang w:val="en-US"/>
              </w:rPr>
              <w:t xml:space="preserve">; the integrative validity model; and the systematic screening and assessment method. The quality-of-evidence component refers to where a practice lies on an evidence-based practice continuum. These elements represent four levels of evidentiary quality—weak, moderate, strong, and rigorous. At the intersection of impact and quality of evidence, a continuum of evidence-based practice emerges. This continuum represents the </w:t>
            </w:r>
            <w:r w:rsidRPr="00A2594B">
              <w:rPr>
                <w:rFonts w:ascii="Times New Roman" w:hAnsi="Times New Roman" w:cs="Times New Roman"/>
                <w:color w:val="000000"/>
                <w:sz w:val="24"/>
                <w:szCs w:val="24"/>
                <w:lang w:val="en-US"/>
              </w:rPr>
              <w:lastRenderedPageBreak/>
              <w:t xml:space="preserve">ongoing application of knowledge about what is working to strengthen impact in a given context. A continuum was created consisting of 4 stages—emerging, promising, leading, and best. </w:t>
            </w:r>
          </w:p>
        </w:tc>
        <w:tc>
          <w:tcPr>
            <w:tcW w:w="2160" w:type="dxa"/>
            <w:shd w:val="clear" w:color="auto" w:fill="auto"/>
          </w:tcPr>
          <w:p w14:paraId="612C00A3"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1440" w:type="dxa"/>
            <w:shd w:val="clear" w:color="auto" w:fill="auto"/>
          </w:tcPr>
          <w:p w14:paraId="702152E4"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 Translational Research</w:t>
            </w:r>
          </w:p>
        </w:tc>
        <w:tc>
          <w:tcPr>
            <w:tcW w:w="2250" w:type="dxa"/>
            <w:shd w:val="clear" w:color="auto" w:fill="auto"/>
          </w:tcPr>
          <w:p w14:paraId="4975E153"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Center for Disease Control programs</w:t>
            </w:r>
          </w:p>
        </w:tc>
        <w:tc>
          <w:tcPr>
            <w:tcW w:w="1332" w:type="dxa"/>
            <w:shd w:val="clear" w:color="auto" w:fill="auto"/>
          </w:tcPr>
          <w:p w14:paraId="4A520797"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670EF3" w:rsidRPr="00A2594B" w14:paraId="54BCA88C" w14:textId="77777777" w:rsidTr="007D3C73">
        <w:trPr>
          <w:jc w:val="center"/>
        </w:trPr>
        <w:tc>
          <w:tcPr>
            <w:tcW w:w="3042" w:type="dxa"/>
            <w:shd w:val="clear" w:color="auto" w:fill="auto"/>
          </w:tcPr>
          <w:p w14:paraId="5F1ADF6D"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PRECEDE-PROCEED, Green, book chapter, Green L, Kreuter M. Health Program Planning: An Educational and Ecological Approach. 4th edition ed. McGraw-Hill Higher Education; New York, NY: 2005 </w:t>
            </w:r>
            <w:sdt>
              <w:sdtPr>
                <w:rPr>
                  <w:rFonts w:ascii="Times New Roman" w:hAnsi="Times New Roman" w:cs="Times New Roman"/>
                  <w:sz w:val="24"/>
                  <w:szCs w:val="24"/>
                </w:rPr>
                <w:alias w:val="BibliographyNumbered"/>
                <w:tag w:val="link-bib"/>
                <w:id w:val="-114302743"/>
                <w:placeholder>
                  <w:docPart w:val="079E408B892042649F88EC02BFBC2004"/>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42]</w:t>
                </w:r>
              </w:sdtContent>
            </w:sdt>
          </w:p>
        </w:tc>
        <w:tc>
          <w:tcPr>
            <w:tcW w:w="4320" w:type="dxa"/>
            <w:shd w:val="clear" w:color="auto" w:fill="auto"/>
          </w:tcPr>
          <w:p w14:paraId="24FA502F" w14:textId="2E2EC658" w:rsidR="00FA0795" w:rsidRPr="00A2594B" w:rsidRDefault="00FA0795" w:rsidP="00A336B1">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The framework has two components: the first set of phases consists of a series of planned assessments that generate information that will be used to guide subsequent decisions. This series of phases involves considerable sifting and sorting and is referred to as PRECEDE for predisposing, reinforcing, and enabling constructs in educational/ecological diagnosis and evaluation. The second component is marked by the strategic implementation of multiple actions based on what was learned from the assessments in the initial phase. The second component is named PROCEED for policy, regulatory, and organizational constructs in educational and environmental development. Evaluation is an integral part of both phases and serves as the primary vehicle to ensure the quality of the </w:t>
            </w:r>
            <w:r w:rsidRPr="00A2594B">
              <w:rPr>
                <w:rFonts w:ascii="Times New Roman" w:hAnsi="Times New Roman" w:cs="Times New Roman"/>
                <w:color w:val="000000"/>
                <w:sz w:val="24"/>
                <w:szCs w:val="24"/>
                <w:lang w:val="en-US"/>
              </w:rPr>
              <w:lastRenderedPageBreak/>
              <w:t>planning process.</w:t>
            </w:r>
          </w:p>
        </w:tc>
        <w:tc>
          <w:tcPr>
            <w:tcW w:w="2160" w:type="dxa"/>
            <w:shd w:val="clear" w:color="auto" w:fill="auto"/>
          </w:tcPr>
          <w:p w14:paraId="31E2F105"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 (practitioner, epidemiologists, social, behavioural, economic, and political scientists)</w:t>
            </w:r>
          </w:p>
        </w:tc>
        <w:tc>
          <w:tcPr>
            <w:tcW w:w="1440" w:type="dxa"/>
            <w:shd w:val="clear" w:color="auto" w:fill="auto"/>
          </w:tcPr>
          <w:p w14:paraId="6A450D67"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Health research</w:t>
            </w:r>
          </w:p>
        </w:tc>
        <w:tc>
          <w:tcPr>
            <w:tcW w:w="2250" w:type="dxa"/>
            <w:shd w:val="clear" w:color="auto" w:fill="auto"/>
          </w:tcPr>
          <w:p w14:paraId="76201848" w14:textId="537BF183"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Used to guide planning efforts addressing health issues in communities, schools, health care settings and workplaces</w:t>
            </w:r>
            <w:r w:rsidR="00A336B1">
              <w:rPr>
                <w:rFonts w:ascii="Times New Roman" w:hAnsi="Times New Roman" w:cs="Times New Roman"/>
                <w:sz w:val="24"/>
                <w:szCs w:val="24"/>
                <w:lang w:val="en-US"/>
              </w:rPr>
              <w:t>.</w:t>
            </w:r>
            <w:bookmarkStart w:id="0" w:name="_GoBack"/>
            <w:bookmarkEnd w:id="0"/>
          </w:p>
        </w:tc>
        <w:tc>
          <w:tcPr>
            <w:tcW w:w="1332" w:type="dxa"/>
            <w:shd w:val="clear" w:color="auto" w:fill="auto"/>
          </w:tcPr>
          <w:p w14:paraId="485089A0"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670EF3" w:rsidRPr="00A2594B" w14:paraId="3C1115B7" w14:textId="77777777" w:rsidTr="007D3C73">
        <w:trPr>
          <w:jc w:val="center"/>
        </w:trPr>
        <w:tc>
          <w:tcPr>
            <w:tcW w:w="3042" w:type="dxa"/>
            <w:shd w:val="clear" w:color="auto" w:fill="auto"/>
          </w:tcPr>
          <w:p w14:paraId="649AF280"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RE-AIM, Glasgow, America Journal of Public Health,1999 </w:t>
            </w:r>
            <w:sdt>
              <w:sdtPr>
                <w:rPr>
                  <w:rFonts w:ascii="Times New Roman" w:hAnsi="Times New Roman" w:cs="Times New Roman"/>
                  <w:sz w:val="24"/>
                  <w:szCs w:val="24"/>
                </w:rPr>
                <w:alias w:val="BibliographyNumbered"/>
                <w:tag w:val="link-bib"/>
                <w:id w:val="284009928"/>
                <w:placeholder>
                  <w:docPart w:val="AB4875C63E22405BAE4A2472BDE78054"/>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41]</w:t>
                </w:r>
              </w:sdtContent>
            </w:sdt>
          </w:p>
        </w:tc>
        <w:tc>
          <w:tcPr>
            <w:tcW w:w="4320" w:type="dxa"/>
            <w:shd w:val="clear" w:color="auto" w:fill="auto"/>
          </w:tcPr>
          <w:p w14:paraId="27560B11" w14:textId="77777777" w:rsidR="00FA0795" w:rsidRPr="00A2594B" w:rsidRDefault="00FA0795"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It is an evaluation framework for public health. The public health impact of an intervention as a function of 5 factors: reach, efficacy, adoption, implementation, and maintenance. Each of the 5 RE-AIM dimensions is represented on a 0 to 1 (or 0 to 100%) scale.</w:t>
            </w:r>
          </w:p>
        </w:tc>
        <w:tc>
          <w:tcPr>
            <w:tcW w:w="2160" w:type="dxa"/>
            <w:shd w:val="clear" w:color="auto" w:fill="auto"/>
          </w:tcPr>
          <w:p w14:paraId="2AF35A9A"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Individual or organizational</w:t>
            </w:r>
          </w:p>
        </w:tc>
        <w:tc>
          <w:tcPr>
            <w:tcW w:w="1440" w:type="dxa"/>
            <w:shd w:val="clear" w:color="auto" w:fill="auto"/>
          </w:tcPr>
          <w:p w14:paraId="54E78E1A" w14:textId="77777777" w:rsidR="00FA0795" w:rsidRPr="00A2594B" w:rsidRDefault="00FA0795"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Healthcare</w:t>
            </w:r>
          </w:p>
          <w:p w14:paraId="52435236"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w:t>
            </w:r>
          </w:p>
        </w:tc>
        <w:tc>
          <w:tcPr>
            <w:tcW w:w="2250" w:type="dxa"/>
            <w:shd w:val="clear" w:color="auto" w:fill="auto"/>
          </w:tcPr>
          <w:p w14:paraId="7BB5C87E"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1332" w:type="dxa"/>
            <w:shd w:val="clear" w:color="auto" w:fill="auto"/>
          </w:tcPr>
          <w:p w14:paraId="07D972AD" w14:textId="77777777" w:rsidR="00FA0795" w:rsidRPr="00A2594B" w:rsidRDefault="00FA0795"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w:t>
            </w:r>
          </w:p>
        </w:tc>
      </w:tr>
    </w:tbl>
    <w:sdt>
      <w:sdtPr>
        <w:rPr>
          <w:rFonts w:ascii="Times New Roman" w:hAnsi="Times New Roman" w:cs="Times New Roman"/>
          <w:i/>
          <w:sz w:val="24"/>
          <w:szCs w:val="24"/>
        </w:rPr>
        <w:alias w:val="legend"/>
        <w:tag w:val="legend"/>
        <w:id w:val="427631728"/>
        <w:placeholder>
          <w:docPart w:val="E707C4BB455948DF9A7BB63DCCC446D7"/>
        </w:placeholder>
      </w:sdtPr>
      <w:sdtEndPr>
        <w:rPr>
          <w:i w:val="0"/>
        </w:rPr>
      </w:sdtEndPr>
      <w:sdtContent>
        <w:p w14:paraId="767AD02A" w14:textId="77777777" w:rsidR="00FA0795" w:rsidRPr="00A2594B" w:rsidRDefault="00FA0795" w:rsidP="00FA0795">
          <w:pPr>
            <w:spacing w:line="360" w:lineRule="auto"/>
            <w:rPr>
              <w:rFonts w:ascii="Times New Roman" w:hAnsi="Times New Roman" w:cs="Times New Roman"/>
              <w:sz w:val="24"/>
              <w:szCs w:val="24"/>
            </w:rPr>
          </w:pPr>
          <w:r w:rsidRPr="009A1F9E">
            <w:rPr>
              <w:rFonts w:ascii="Times New Roman" w:hAnsi="Times New Roman" w:cs="Times New Roman"/>
              <w:i/>
              <w:sz w:val="24"/>
              <w:szCs w:val="24"/>
            </w:rPr>
            <w:t>I</w:t>
          </w:r>
          <w:r w:rsidRPr="00A2594B">
            <w:rPr>
              <w:rFonts w:ascii="Times New Roman" w:hAnsi="Times New Roman" w:cs="Times New Roman"/>
              <w:sz w:val="24"/>
              <w:szCs w:val="24"/>
            </w:rPr>
            <w:t xml:space="preserve"> individual, </w:t>
          </w:r>
          <w:r w:rsidRPr="009A1F9E">
            <w:rPr>
              <w:rFonts w:ascii="Times New Roman" w:hAnsi="Times New Roman" w:cs="Times New Roman"/>
              <w:i/>
              <w:sz w:val="24"/>
              <w:szCs w:val="24"/>
            </w:rPr>
            <w:t>O</w:t>
          </w:r>
          <w:r w:rsidRPr="00A2594B">
            <w:rPr>
              <w:rFonts w:ascii="Times New Roman" w:hAnsi="Times New Roman" w:cs="Times New Roman"/>
              <w:sz w:val="24"/>
              <w:szCs w:val="24"/>
            </w:rPr>
            <w:t xml:space="preserve"> organization, </w:t>
          </w:r>
          <w:r w:rsidRPr="009A1F9E">
            <w:rPr>
              <w:rFonts w:ascii="Times New Roman" w:hAnsi="Times New Roman" w:cs="Times New Roman"/>
              <w:i/>
              <w:sz w:val="24"/>
              <w:szCs w:val="24"/>
            </w:rPr>
            <w:t>P</w:t>
          </w:r>
          <w:r w:rsidRPr="00A2594B">
            <w:rPr>
              <w:rFonts w:ascii="Times New Roman" w:hAnsi="Times New Roman" w:cs="Times New Roman"/>
              <w:sz w:val="24"/>
              <w:szCs w:val="24"/>
            </w:rPr>
            <w:t xml:space="preserve"> policy</w:t>
          </w:r>
        </w:p>
      </w:sdtContent>
    </w:sdt>
    <w:p w14:paraId="6090CE6C" w14:textId="77777777" w:rsidR="00C44B9E" w:rsidRDefault="00C44B9E"/>
    <w:sectPr w:rsidR="00C44B9E" w:rsidSect="00670E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FA0795"/>
    <w:rsid w:val="0007472A"/>
    <w:rsid w:val="00457264"/>
    <w:rsid w:val="005C2769"/>
    <w:rsid w:val="00670EF3"/>
    <w:rsid w:val="007D3C73"/>
    <w:rsid w:val="00A336B1"/>
    <w:rsid w:val="00C44B9E"/>
    <w:rsid w:val="00E73408"/>
    <w:rsid w:val="00FA0795"/>
    <w:rsid w:val="00FE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E5CB"/>
  <w15:docId w15:val="{1502BA69-2B83-411D-8FA0-9484193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0795"/>
    <w:rPr>
      <w:color w:val="0563C1"/>
      <w:u w:val="none"/>
    </w:rPr>
  </w:style>
  <w:style w:type="character" w:styleId="CommentReference">
    <w:name w:val="annotation reference"/>
    <w:basedOn w:val="DefaultParagraphFont"/>
    <w:uiPriority w:val="99"/>
    <w:unhideWhenUsed/>
    <w:rsid w:val="00FA0795"/>
    <w:rPr>
      <w:sz w:val="16"/>
      <w:szCs w:val="16"/>
    </w:rPr>
  </w:style>
  <w:style w:type="paragraph" w:styleId="CommentText">
    <w:name w:val="annotation text"/>
    <w:basedOn w:val="Normal"/>
    <w:link w:val="CommentTextChar"/>
    <w:uiPriority w:val="99"/>
    <w:unhideWhenUsed/>
    <w:rsid w:val="00FA0795"/>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FA0795"/>
    <w:rPr>
      <w:sz w:val="20"/>
      <w:szCs w:val="20"/>
      <w:lang w:val="en-CA"/>
    </w:rPr>
  </w:style>
  <w:style w:type="table" w:styleId="TableGrid">
    <w:name w:val="Table Grid"/>
    <w:basedOn w:val="TableNormal"/>
    <w:uiPriority w:val="39"/>
    <w:rsid w:val="00FA079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Caption">
    <w:name w:val="Float-Caption"/>
    <w:link w:val="Float-CaptionChar"/>
    <w:uiPriority w:val="20"/>
    <w:locked/>
    <w:rsid w:val="00FA0795"/>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FA079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A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sswm.info/node/19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4056AA2E4563A85780D4AE25AD32"/>
        <w:category>
          <w:name w:val="General"/>
          <w:gallery w:val="placeholder"/>
        </w:category>
        <w:types>
          <w:type w:val="bbPlcHdr"/>
        </w:types>
        <w:behaviors>
          <w:behavior w:val="content"/>
        </w:behaviors>
        <w:guid w:val="{6159E555-8B65-4187-8814-913C56A8492D}"/>
      </w:docPartPr>
      <w:docPartBody>
        <w:p w:rsidR="003C709C" w:rsidRDefault="003C709C"/>
      </w:docPartBody>
    </w:docPart>
    <w:docPart>
      <w:docPartPr>
        <w:name w:val="E894A5983BD941FB8274F4D14C49006B"/>
        <w:category>
          <w:name w:val="General"/>
          <w:gallery w:val="placeholder"/>
        </w:category>
        <w:types>
          <w:type w:val="bbPlcHdr"/>
        </w:types>
        <w:behaviors>
          <w:behavior w:val="content"/>
        </w:behaviors>
        <w:guid w:val="{2CCA5E23-6FA3-4F20-9107-55AC0642EC76}"/>
      </w:docPartPr>
      <w:docPartBody>
        <w:p w:rsidR="003C709C" w:rsidRDefault="003C709C"/>
      </w:docPartBody>
    </w:docPart>
    <w:docPart>
      <w:docPartPr>
        <w:name w:val="6EAD116DFBA14620A6A24FADBD03DDFD"/>
        <w:category>
          <w:name w:val="General"/>
          <w:gallery w:val="placeholder"/>
        </w:category>
        <w:types>
          <w:type w:val="bbPlcHdr"/>
        </w:types>
        <w:behaviors>
          <w:behavior w:val="content"/>
        </w:behaviors>
        <w:guid w:val="{0ACE88A5-000C-4FD2-B327-9187BF3C48E6}"/>
      </w:docPartPr>
      <w:docPartBody>
        <w:p w:rsidR="003C709C" w:rsidRDefault="003C709C"/>
      </w:docPartBody>
    </w:docPart>
    <w:docPart>
      <w:docPartPr>
        <w:name w:val="873E19A7423B4A4F974A491FB7A29528"/>
        <w:category>
          <w:name w:val="General"/>
          <w:gallery w:val="placeholder"/>
        </w:category>
        <w:types>
          <w:type w:val="bbPlcHdr"/>
        </w:types>
        <w:behaviors>
          <w:behavior w:val="content"/>
        </w:behaviors>
        <w:guid w:val="{DC525A18-685F-4533-BE0A-5B7193CC3F24}"/>
      </w:docPartPr>
      <w:docPartBody>
        <w:p w:rsidR="003C709C" w:rsidRDefault="003C709C"/>
      </w:docPartBody>
    </w:docPart>
    <w:docPart>
      <w:docPartPr>
        <w:name w:val="EB1F434F1BE24BC0AE6D03A8ECF62E68"/>
        <w:category>
          <w:name w:val="General"/>
          <w:gallery w:val="placeholder"/>
        </w:category>
        <w:types>
          <w:type w:val="bbPlcHdr"/>
        </w:types>
        <w:behaviors>
          <w:behavior w:val="content"/>
        </w:behaviors>
        <w:guid w:val="{04AC9D09-1231-4753-9948-F89C2440F6B0}"/>
      </w:docPartPr>
      <w:docPartBody>
        <w:p w:rsidR="003C709C" w:rsidRDefault="003C709C"/>
      </w:docPartBody>
    </w:docPart>
    <w:docPart>
      <w:docPartPr>
        <w:name w:val="BB4D06D765164DB2BD047ACF1888DC85"/>
        <w:category>
          <w:name w:val="General"/>
          <w:gallery w:val="placeholder"/>
        </w:category>
        <w:types>
          <w:type w:val="bbPlcHdr"/>
        </w:types>
        <w:behaviors>
          <w:behavior w:val="content"/>
        </w:behaviors>
        <w:guid w:val="{1AEE771E-4E72-4ABA-96F6-2E7AED53214C}"/>
      </w:docPartPr>
      <w:docPartBody>
        <w:p w:rsidR="003C709C" w:rsidRDefault="003C709C"/>
      </w:docPartBody>
    </w:docPart>
    <w:docPart>
      <w:docPartPr>
        <w:name w:val="079E408B892042649F88EC02BFBC2004"/>
        <w:category>
          <w:name w:val="General"/>
          <w:gallery w:val="placeholder"/>
        </w:category>
        <w:types>
          <w:type w:val="bbPlcHdr"/>
        </w:types>
        <w:behaviors>
          <w:behavior w:val="content"/>
        </w:behaviors>
        <w:guid w:val="{9F7670D1-3FB3-4915-BC45-D555BFCE83C0}"/>
      </w:docPartPr>
      <w:docPartBody>
        <w:p w:rsidR="003C709C" w:rsidRDefault="003C709C"/>
      </w:docPartBody>
    </w:docPart>
    <w:docPart>
      <w:docPartPr>
        <w:name w:val="AB4875C63E22405BAE4A2472BDE78054"/>
        <w:category>
          <w:name w:val="General"/>
          <w:gallery w:val="placeholder"/>
        </w:category>
        <w:types>
          <w:type w:val="bbPlcHdr"/>
        </w:types>
        <w:behaviors>
          <w:behavior w:val="content"/>
        </w:behaviors>
        <w:guid w:val="{B8590891-D352-4C39-A85E-96E421B1A5C6}"/>
      </w:docPartPr>
      <w:docPartBody>
        <w:p w:rsidR="003C709C" w:rsidRDefault="003C709C"/>
      </w:docPartBody>
    </w:docPart>
    <w:docPart>
      <w:docPartPr>
        <w:name w:val="E707C4BB455948DF9A7BB63DCCC446D7"/>
        <w:category>
          <w:name w:val="General"/>
          <w:gallery w:val="placeholder"/>
        </w:category>
        <w:types>
          <w:type w:val="bbPlcHdr"/>
        </w:types>
        <w:behaviors>
          <w:behavior w:val="content"/>
        </w:behaviors>
        <w:guid w:val="{D97BE42D-CA55-447A-A204-1761398EBC5E}"/>
      </w:docPartPr>
      <w:docPartBody>
        <w:p w:rsidR="003C709C" w:rsidRDefault="003C709C"/>
      </w:docPartBody>
    </w:docPart>
    <w:docPart>
      <w:docPartPr>
        <w:name w:val="2D8AA9CCD51C4FC3824AC1110FD479F6"/>
        <w:category>
          <w:name w:val="General"/>
          <w:gallery w:val="placeholder"/>
        </w:category>
        <w:types>
          <w:type w:val="bbPlcHdr"/>
        </w:types>
        <w:behaviors>
          <w:behavior w:val="content"/>
        </w:behaviors>
        <w:guid w:val="{63DD9285-E2C7-4720-8102-92201D66F23C}"/>
      </w:docPartPr>
      <w:docPartBody>
        <w:p w:rsidR="00B66714" w:rsidRDefault="00B667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C9"/>
    <w:rsid w:val="00140910"/>
    <w:rsid w:val="001856C9"/>
    <w:rsid w:val="001C02F2"/>
    <w:rsid w:val="003C709C"/>
    <w:rsid w:val="008B289E"/>
    <w:rsid w:val="00B66714"/>
    <w:rsid w:val="00F5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JERAMIREZ</dc:creator>
  <cp:lastModifiedBy>Aurea, Martin</cp:lastModifiedBy>
  <cp:revision>2</cp:revision>
  <dcterms:created xsi:type="dcterms:W3CDTF">2020-02-13T00:15:00Z</dcterms:created>
  <dcterms:modified xsi:type="dcterms:W3CDTF">2020-02-13T00:15:00Z</dcterms:modified>
</cp:coreProperties>
</file>