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D7" w:rsidRPr="00DF5904" w:rsidRDefault="002266D7" w:rsidP="004C7D8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cs="Verdana"/>
          <w:b/>
          <w:sz w:val="28"/>
          <w:szCs w:val="28"/>
        </w:rPr>
      </w:pPr>
      <w:r w:rsidRPr="00DF5904">
        <w:rPr>
          <w:rFonts w:cs="Verdana"/>
          <w:b/>
          <w:sz w:val="28"/>
          <w:szCs w:val="28"/>
        </w:rPr>
        <w:t>Delphi questionnaire (round 2)</w:t>
      </w:r>
    </w:p>
    <w:p w:rsidR="000D52D1" w:rsidRPr="00DF5904" w:rsidRDefault="00DF5904" w:rsidP="004C7D81">
      <w:pPr>
        <w:autoSpaceDE w:val="0"/>
        <w:autoSpaceDN w:val="0"/>
        <w:adjustRightInd w:val="0"/>
        <w:spacing w:before="120" w:after="100" w:afterAutospacing="1"/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1. </w:t>
      </w:r>
      <w:r w:rsidR="000D52D1" w:rsidRPr="00DF5904">
        <w:rPr>
          <w:rFonts w:cs="Verdana"/>
          <w:sz w:val="24"/>
          <w:szCs w:val="24"/>
        </w:rPr>
        <w:t xml:space="preserve">From the following list of items, </w:t>
      </w:r>
      <w:r w:rsidR="00844032" w:rsidRPr="00DF5904">
        <w:rPr>
          <w:rFonts w:cs="Verdana"/>
          <w:sz w:val="24"/>
          <w:szCs w:val="24"/>
        </w:rPr>
        <w:t>please</w:t>
      </w:r>
      <w:r w:rsidR="000D52D1" w:rsidRPr="00DF5904">
        <w:rPr>
          <w:rFonts w:cs="Verdana"/>
          <w:sz w:val="24"/>
          <w:szCs w:val="24"/>
        </w:rPr>
        <w:t xml:space="preserve"> rank</w:t>
      </w:r>
      <w:r w:rsidR="009E4E59" w:rsidRPr="00DF5904">
        <w:rPr>
          <w:rFonts w:cs="Verdana"/>
          <w:sz w:val="24"/>
          <w:szCs w:val="24"/>
        </w:rPr>
        <w:t>,</w:t>
      </w:r>
      <w:r w:rsidR="000D52D1" w:rsidRPr="00DF5904">
        <w:rPr>
          <w:rFonts w:cs="Verdana"/>
          <w:sz w:val="24"/>
          <w:szCs w:val="24"/>
        </w:rPr>
        <w:t xml:space="preserve"> in order of relevance</w:t>
      </w:r>
      <w:r w:rsidR="009E4E59" w:rsidRPr="00DF5904">
        <w:rPr>
          <w:rFonts w:cs="Verdana"/>
          <w:sz w:val="24"/>
          <w:szCs w:val="24"/>
        </w:rPr>
        <w:t>,</w:t>
      </w:r>
      <w:r w:rsidR="000D52D1" w:rsidRPr="00DF5904">
        <w:rPr>
          <w:rFonts w:cs="Verdana"/>
          <w:sz w:val="24"/>
          <w:szCs w:val="24"/>
        </w:rPr>
        <w:t xml:space="preserve"> up to </w:t>
      </w:r>
      <w:proofErr w:type="gramStart"/>
      <w:r w:rsidR="000D52D1" w:rsidRPr="00DF5904">
        <w:rPr>
          <w:rFonts w:cs="Verdana"/>
          <w:sz w:val="24"/>
          <w:szCs w:val="24"/>
        </w:rPr>
        <w:t>3</w:t>
      </w:r>
      <w:proofErr w:type="gramEnd"/>
      <w:r w:rsidR="000D52D1" w:rsidRPr="00DF5904">
        <w:rPr>
          <w:rFonts w:cs="Verdana"/>
          <w:sz w:val="24"/>
          <w:szCs w:val="24"/>
        </w:rPr>
        <w:t xml:space="preserve"> items that, from your point of view, would best support non specialised healthcare professionals to identify patients in need of "general" palliative care and that are not in</w:t>
      </w:r>
      <w:r w:rsidR="009E4E59" w:rsidRPr="00DF5904">
        <w:rPr>
          <w:rFonts w:cs="Verdana"/>
          <w:sz w:val="24"/>
          <w:szCs w:val="24"/>
        </w:rPr>
        <w:t>cluded in</w:t>
      </w:r>
      <w:r w:rsidR="000D52D1" w:rsidRPr="00DF5904">
        <w:rPr>
          <w:rFonts w:cs="Verdana"/>
          <w:sz w:val="24"/>
          <w:szCs w:val="24"/>
        </w:rPr>
        <w:t xml:space="preserve"> the 3 items already selected. Thank you to list them in the table below.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987"/>
        <w:gridCol w:w="7937"/>
      </w:tblGrid>
      <w:tr w:rsidR="00DF5904" w:rsidRPr="00DF5904" w:rsidTr="00BE7892">
        <w:tc>
          <w:tcPr>
            <w:tcW w:w="8924" w:type="dxa"/>
            <w:gridSpan w:val="2"/>
            <w:vAlign w:val="center"/>
          </w:tcPr>
          <w:p w:rsidR="000D52D1" w:rsidRPr="00DF5904" w:rsidRDefault="000D52D1" w:rsidP="004C7D8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904">
              <w:rPr>
                <w:rFonts w:cs="Verdana"/>
                <w:sz w:val="24"/>
                <w:szCs w:val="24"/>
              </w:rPr>
              <w:t>The 3 items that best identify patients in need of « general » palliative care, in addition to those that have already been selected and in order of relevance, are :</w:t>
            </w:r>
          </w:p>
        </w:tc>
      </w:tr>
      <w:tr w:rsidR="00DF5904" w:rsidRPr="00DF5904" w:rsidTr="00BE7892">
        <w:tc>
          <w:tcPr>
            <w:tcW w:w="987" w:type="dxa"/>
            <w:vAlign w:val="center"/>
          </w:tcPr>
          <w:p w:rsidR="004158E3" w:rsidRPr="00DF5904" w:rsidRDefault="004158E3" w:rsidP="004C7D8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5904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7937" w:type="dxa"/>
          </w:tcPr>
          <w:p w:rsidR="004158E3" w:rsidRPr="00DF5904" w:rsidRDefault="004158E3" w:rsidP="004C7D8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F5904" w:rsidRPr="00DF5904" w:rsidTr="00BE7892">
        <w:tc>
          <w:tcPr>
            <w:tcW w:w="987" w:type="dxa"/>
            <w:vAlign w:val="center"/>
          </w:tcPr>
          <w:p w:rsidR="004158E3" w:rsidRPr="00DF5904" w:rsidRDefault="004158E3" w:rsidP="004C7D8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5904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7937" w:type="dxa"/>
          </w:tcPr>
          <w:p w:rsidR="004158E3" w:rsidRPr="00DF5904" w:rsidRDefault="004158E3" w:rsidP="004C7D8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158E3" w:rsidRPr="00DF5904" w:rsidTr="00BE7892">
        <w:tc>
          <w:tcPr>
            <w:tcW w:w="987" w:type="dxa"/>
            <w:vAlign w:val="center"/>
          </w:tcPr>
          <w:p w:rsidR="004158E3" w:rsidRPr="00DF5904" w:rsidRDefault="004158E3" w:rsidP="004C7D8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5904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7937" w:type="dxa"/>
          </w:tcPr>
          <w:p w:rsidR="004158E3" w:rsidRPr="00DF5904" w:rsidRDefault="004158E3" w:rsidP="004C7D8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32037C" w:rsidRPr="00DF5904" w:rsidRDefault="0032037C" w:rsidP="004C7D81">
      <w:pPr>
        <w:spacing w:after="0"/>
        <w:jc w:val="both"/>
        <w:rPr>
          <w:rFonts w:cs="Arial"/>
          <w:sz w:val="24"/>
          <w:szCs w:val="24"/>
          <w:lang w:val="fr-CH"/>
        </w:rPr>
      </w:pPr>
    </w:p>
    <w:p w:rsidR="000D52D1" w:rsidRPr="00DF5904" w:rsidRDefault="000D52D1" w:rsidP="004C7D81">
      <w:pPr>
        <w:autoSpaceDE w:val="0"/>
        <w:autoSpaceDN w:val="0"/>
        <w:adjustRightInd w:val="0"/>
        <w:spacing w:before="120" w:after="100" w:afterAutospacing="1"/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When an item </w:t>
      </w:r>
      <w:r w:rsidR="009E4E59" w:rsidRPr="00DF5904">
        <w:rPr>
          <w:rFonts w:cs="Verdana"/>
          <w:sz w:val="24"/>
          <w:szCs w:val="24"/>
        </w:rPr>
        <w:t xml:space="preserve">has </w:t>
      </w:r>
      <w:proofErr w:type="gramStart"/>
      <w:r w:rsidR="009E4E59" w:rsidRPr="00DF5904">
        <w:rPr>
          <w:rFonts w:cs="Verdana"/>
          <w:sz w:val="24"/>
          <w:szCs w:val="24"/>
        </w:rPr>
        <w:t>been</w:t>
      </w:r>
      <w:r w:rsidRPr="00DF5904">
        <w:rPr>
          <w:rFonts w:cs="Verdana"/>
          <w:sz w:val="24"/>
          <w:szCs w:val="24"/>
        </w:rPr>
        <w:t xml:space="preserve"> </w:t>
      </w:r>
      <w:r w:rsidR="009E4E59" w:rsidRPr="00DF5904">
        <w:rPr>
          <w:rFonts w:cs="Verdana"/>
          <w:sz w:val="24"/>
          <w:szCs w:val="24"/>
        </w:rPr>
        <w:t xml:space="preserve"> </w:t>
      </w:r>
      <w:r w:rsidRPr="00DF5904">
        <w:rPr>
          <w:rFonts w:cs="Verdana"/>
          <w:sz w:val="24"/>
          <w:szCs w:val="24"/>
        </w:rPr>
        <w:t>declined</w:t>
      </w:r>
      <w:proofErr w:type="gramEnd"/>
      <w:r w:rsidRPr="00DF5904">
        <w:rPr>
          <w:rFonts w:cs="Verdana"/>
          <w:sz w:val="24"/>
          <w:szCs w:val="24"/>
        </w:rPr>
        <w:t xml:space="preserve"> in several formulations (a, b, c), please choose </w:t>
      </w:r>
      <w:r w:rsidRPr="00DF5904">
        <w:rPr>
          <w:rFonts w:cs="Verdana"/>
          <w:b/>
          <w:sz w:val="24"/>
          <w:szCs w:val="24"/>
        </w:rPr>
        <w:t>the</w:t>
      </w:r>
      <w:r w:rsidRPr="00DF5904">
        <w:rPr>
          <w:rFonts w:cs="Verdana"/>
          <w:sz w:val="24"/>
          <w:szCs w:val="24"/>
        </w:rPr>
        <w:t xml:space="preserve"> formulation that seems </w:t>
      </w:r>
      <w:r w:rsidR="00793FBD" w:rsidRPr="00DF5904">
        <w:rPr>
          <w:rFonts w:cs="Verdana"/>
          <w:sz w:val="24"/>
          <w:szCs w:val="24"/>
        </w:rPr>
        <w:t xml:space="preserve">the </w:t>
      </w:r>
      <w:r w:rsidRPr="00DF5904">
        <w:rPr>
          <w:rFonts w:cs="Verdana"/>
          <w:sz w:val="24"/>
          <w:szCs w:val="24"/>
        </w:rPr>
        <w:t>most relevant to you.</w:t>
      </w:r>
    </w:p>
    <w:p w:rsidR="0032037C" w:rsidRPr="00DF5904" w:rsidRDefault="00720CAE" w:rsidP="004C7D81">
      <w:pPr>
        <w:spacing w:after="0"/>
        <w:ind w:left="66"/>
        <w:jc w:val="both"/>
        <w:rPr>
          <w:rFonts w:cs="Arial"/>
          <w:sz w:val="24"/>
          <w:szCs w:val="24"/>
        </w:rPr>
      </w:pPr>
      <w:r w:rsidRPr="00DF5904">
        <w:rPr>
          <w:rFonts w:cs="Arial"/>
          <w:sz w:val="24"/>
          <w:szCs w:val="24"/>
        </w:rPr>
        <w:t>1</w:t>
      </w:r>
      <w:r w:rsidR="00BE7892" w:rsidRPr="00DF5904">
        <w:rPr>
          <w:rFonts w:cs="Arial"/>
          <w:sz w:val="24"/>
          <w:szCs w:val="24"/>
        </w:rPr>
        <w:t xml:space="preserve">. </w:t>
      </w:r>
      <w:r w:rsidR="000D52D1" w:rsidRPr="00DF5904">
        <w:rPr>
          <w:rFonts w:cs="Arial"/>
          <w:sz w:val="24"/>
          <w:szCs w:val="24"/>
        </w:rPr>
        <w:t>As health</w:t>
      </w:r>
      <w:r w:rsidR="004C7D81">
        <w:rPr>
          <w:rFonts w:cs="Arial"/>
          <w:sz w:val="24"/>
          <w:szCs w:val="24"/>
        </w:rPr>
        <w:t>care</w:t>
      </w:r>
      <w:r w:rsidR="000D52D1" w:rsidRPr="00DF5904">
        <w:rPr>
          <w:rFonts w:cs="Arial"/>
          <w:sz w:val="24"/>
          <w:szCs w:val="24"/>
        </w:rPr>
        <w:t xml:space="preserve"> professional, would you consider that this patient requires palliative care or treatment </w:t>
      </w:r>
      <w:proofErr w:type="gramStart"/>
      <w:r w:rsidR="000D52D1" w:rsidRPr="00DF5904">
        <w:rPr>
          <w:rFonts w:cs="Arial"/>
          <w:sz w:val="24"/>
          <w:szCs w:val="24"/>
        </w:rPr>
        <w:t>at the moment</w:t>
      </w:r>
      <w:proofErr w:type="gramEnd"/>
      <w:r w:rsidR="000D52D1" w:rsidRPr="00DF5904">
        <w:rPr>
          <w:rFonts w:cs="Arial"/>
          <w:sz w:val="24"/>
          <w:szCs w:val="24"/>
        </w:rPr>
        <w:t>?</w:t>
      </w:r>
    </w:p>
    <w:p w:rsidR="00720CAE" w:rsidRPr="00DF5904" w:rsidRDefault="00720CAE" w:rsidP="004C7D81">
      <w:pPr>
        <w:spacing w:after="0"/>
        <w:ind w:left="66"/>
        <w:jc w:val="both"/>
        <w:rPr>
          <w:rFonts w:cs="Arial"/>
          <w:sz w:val="24"/>
          <w:szCs w:val="24"/>
        </w:rPr>
      </w:pPr>
      <w:r w:rsidRPr="00DF5904">
        <w:rPr>
          <w:rFonts w:cs="Arial"/>
          <w:sz w:val="24"/>
          <w:szCs w:val="24"/>
        </w:rPr>
        <w:t>2</w:t>
      </w:r>
      <w:r w:rsidR="00BE7892" w:rsidRPr="00DF5904">
        <w:rPr>
          <w:rFonts w:cs="Arial"/>
          <w:sz w:val="24"/>
          <w:szCs w:val="24"/>
        </w:rPr>
        <w:t xml:space="preserve">. </w:t>
      </w:r>
      <w:r w:rsidR="000D52D1" w:rsidRPr="00DF5904">
        <w:rPr>
          <w:rFonts w:cs="Arial"/>
          <w:sz w:val="24"/>
          <w:szCs w:val="24"/>
        </w:rPr>
        <w:t xml:space="preserve">Presence of at least one </w:t>
      </w:r>
      <w:r w:rsidR="009E4E59" w:rsidRPr="00DF5904">
        <w:rPr>
          <w:rFonts w:cs="Arial"/>
          <w:sz w:val="24"/>
          <w:szCs w:val="24"/>
        </w:rPr>
        <w:t xml:space="preserve">distressing </w:t>
      </w:r>
      <w:r w:rsidR="000D52D1" w:rsidRPr="00DF5904">
        <w:rPr>
          <w:rFonts w:cs="Arial"/>
          <w:sz w:val="24"/>
          <w:szCs w:val="24"/>
        </w:rPr>
        <w:t>symptom without an immediate response to treatment</w:t>
      </w:r>
    </w:p>
    <w:p w:rsidR="004A2AF5" w:rsidRPr="00DF5904" w:rsidRDefault="00720CAE" w:rsidP="004C7D81">
      <w:pPr>
        <w:spacing w:after="0"/>
        <w:jc w:val="both"/>
        <w:rPr>
          <w:rFonts w:cs="Arial"/>
          <w:sz w:val="24"/>
          <w:szCs w:val="24"/>
        </w:rPr>
      </w:pPr>
      <w:r w:rsidRPr="00DF5904">
        <w:rPr>
          <w:rFonts w:cs="Arial"/>
          <w:sz w:val="24"/>
          <w:szCs w:val="24"/>
        </w:rPr>
        <w:lastRenderedPageBreak/>
        <w:t>3</w:t>
      </w:r>
      <w:r w:rsidR="00BE7892" w:rsidRPr="00DF5904">
        <w:rPr>
          <w:rFonts w:cs="Arial"/>
          <w:sz w:val="24"/>
          <w:szCs w:val="24"/>
        </w:rPr>
        <w:t xml:space="preserve">a. </w:t>
      </w:r>
      <w:r w:rsidR="000D52D1" w:rsidRPr="00DF5904">
        <w:rPr>
          <w:rFonts w:cs="Arial"/>
          <w:sz w:val="24"/>
          <w:szCs w:val="24"/>
        </w:rPr>
        <w:t>Decrease in general condition (</w:t>
      </w:r>
      <w:proofErr w:type="spellStart"/>
      <w:r w:rsidR="000D52D1" w:rsidRPr="00DF5904">
        <w:rPr>
          <w:rFonts w:cs="Arial"/>
          <w:sz w:val="24"/>
          <w:szCs w:val="24"/>
        </w:rPr>
        <w:t>Barthel</w:t>
      </w:r>
      <w:proofErr w:type="spellEnd"/>
      <w:r w:rsidR="000D52D1" w:rsidRPr="00DF5904">
        <w:rPr>
          <w:rFonts w:cs="Arial"/>
          <w:sz w:val="24"/>
          <w:szCs w:val="24"/>
        </w:rPr>
        <w:t xml:space="preserve"> ≤ 25 or PPS ≤ 60%) and/or loss of two or more activities of daily living (Katz index) despite adequate management</w:t>
      </w:r>
    </w:p>
    <w:p w:rsidR="004A2AF5" w:rsidRPr="00DF5904" w:rsidRDefault="00720CAE" w:rsidP="004C7D81">
      <w:pPr>
        <w:spacing w:after="0"/>
        <w:ind w:left="66"/>
        <w:jc w:val="both"/>
        <w:rPr>
          <w:rFonts w:cs="Arial"/>
          <w:sz w:val="24"/>
          <w:szCs w:val="24"/>
        </w:rPr>
      </w:pPr>
      <w:r w:rsidRPr="00DF5904">
        <w:rPr>
          <w:rFonts w:cs="Arial"/>
          <w:sz w:val="24"/>
          <w:szCs w:val="24"/>
        </w:rPr>
        <w:t>3</w:t>
      </w:r>
      <w:r w:rsidR="00BE7892" w:rsidRPr="00DF5904">
        <w:rPr>
          <w:rFonts w:cs="Arial"/>
          <w:sz w:val="24"/>
          <w:szCs w:val="24"/>
        </w:rPr>
        <w:t xml:space="preserve">b. </w:t>
      </w:r>
      <w:r w:rsidR="000D52D1" w:rsidRPr="00DF5904">
        <w:rPr>
          <w:rFonts w:cs="Arial"/>
          <w:sz w:val="24"/>
          <w:szCs w:val="24"/>
        </w:rPr>
        <w:t>Poor or deteriorating performance status (the person remains in bed or in a chair more than 50% of their waking time), with limited reversibility</w:t>
      </w:r>
    </w:p>
    <w:p w:rsidR="004A2AF5" w:rsidRPr="00DF5904" w:rsidRDefault="00720CAE" w:rsidP="004C7D81">
      <w:pPr>
        <w:spacing w:after="0"/>
        <w:ind w:left="66"/>
        <w:jc w:val="both"/>
        <w:rPr>
          <w:rFonts w:cs="Arial"/>
          <w:sz w:val="24"/>
          <w:szCs w:val="24"/>
        </w:rPr>
      </w:pPr>
      <w:r w:rsidRPr="00DF5904">
        <w:rPr>
          <w:rFonts w:cs="Arial"/>
          <w:sz w:val="24"/>
          <w:szCs w:val="24"/>
        </w:rPr>
        <w:t>3</w:t>
      </w:r>
      <w:r w:rsidR="00BE7892" w:rsidRPr="00DF5904">
        <w:rPr>
          <w:rFonts w:cs="Arial"/>
          <w:sz w:val="24"/>
          <w:szCs w:val="24"/>
        </w:rPr>
        <w:t xml:space="preserve">c. </w:t>
      </w:r>
      <w:r w:rsidR="000D52D1" w:rsidRPr="00DF5904">
        <w:rPr>
          <w:rFonts w:cs="Arial"/>
          <w:sz w:val="24"/>
          <w:szCs w:val="24"/>
        </w:rPr>
        <w:t>General functional decline and increased need for support</w:t>
      </w:r>
    </w:p>
    <w:p w:rsidR="0032037C" w:rsidRPr="00DF5904" w:rsidRDefault="00720CAE" w:rsidP="004C7D81">
      <w:pPr>
        <w:spacing w:after="0"/>
        <w:jc w:val="both"/>
        <w:rPr>
          <w:rFonts w:cs="Arial"/>
          <w:sz w:val="24"/>
          <w:szCs w:val="24"/>
        </w:rPr>
      </w:pPr>
      <w:r w:rsidRPr="00DF5904">
        <w:rPr>
          <w:rFonts w:cs="Arial"/>
          <w:sz w:val="24"/>
          <w:szCs w:val="24"/>
        </w:rPr>
        <w:t>4</w:t>
      </w:r>
      <w:r w:rsidR="009E4E59" w:rsidRPr="00DF5904">
        <w:rPr>
          <w:rFonts w:cs="Arial"/>
          <w:sz w:val="24"/>
          <w:szCs w:val="24"/>
        </w:rPr>
        <w:t>.</w:t>
      </w:r>
      <w:r w:rsidR="000D52D1" w:rsidRPr="00DF5904">
        <w:t xml:space="preserve"> </w:t>
      </w:r>
      <w:r w:rsidR="000D52D1" w:rsidRPr="00DF5904">
        <w:rPr>
          <w:rFonts w:cs="Arial"/>
          <w:sz w:val="24"/>
          <w:szCs w:val="24"/>
        </w:rPr>
        <w:t xml:space="preserve">Nutritional markers of decline, at least one of the following, in the last 6 months: Albumin &lt; 25 </w:t>
      </w:r>
      <w:bookmarkStart w:id="0" w:name="_GoBack"/>
      <w:bookmarkEnd w:id="0"/>
      <w:r w:rsidR="000D52D1" w:rsidRPr="00DF5904">
        <w:rPr>
          <w:rFonts w:cs="Arial"/>
          <w:sz w:val="24"/>
          <w:szCs w:val="24"/>
        </w:rPr>
        <w:t>g/l weight loss of over 10%</w:t>
      </w:r>
      <w:r w:rsidR="009E4E59" w:rsidRPr="00DF5904">
        <w:rPr>
          <w:rFonts w:cs="Arial"/>
          <w:sz w:val="24"/>
          <w:szCs w:val="24"/>
        </w:rPr>
        <w:t xml:space="preserve"> that is not related to an acute decompensation episode</w:t>
      </w:r>
      <w:r w:rsidR="000D52D1" w:rsidRPr="00DF5904">
        <w:rPr>
          <w:rFonts w:cs="Arial"/>
          <w:sz w:val="24"/>
          <w:szCs w:val="24"/>
        </w:rPr>
        <w:t xml:space="preserve">, Clinical perception of nutritional decline (sustained, intense/severe, progressive, </w:t>
      </w:r>
      <w:proofErr w:type="gramStart"/>
      <w:r w:rsidR="000D52D1" w:rsidRPr="00DF5904">
        <w:rPr>
          <w:rFonts w:cs="Arial"/>
          <w:sz w:val="24"/>
          <w:szCs w:val="24"/>
        </w:rPr>
        <w:t>irreversible</w:t>
      </w:r>
      <w:proofErr w:type="gramEnd"/>
      <w:r w:rsidR="000D52D1" w:rsidRPr="00DF5904">
        <w:rPr>
          <w:rFonts w:cs="Arial"/>
          <w:sz w:val="24"/>
          <w:szCs w:val="24"/>
        </w:rPr>
        <w:t>) not related to concomitant conditions</w:t>
      </w:r>
    </w:p>
    <w:p w:rsidR="004A2AF5" w:rsidRPr="00DF5904" w:rsidRDefault="00720CAE" w:rsidP="004C7D81">
      <w:pPr>
        <w:spacing w:after="0"/>
        <w:ind w:left="66"/>
        <w:jc w:val="both"/>
        <w:rPr>
          <w:rFonts w:cs="Arial"/>
          <w:sz w:val="24"/>
          <w:szCs w:val="24"/>
        </w:rPr>
      </w:pPr>
      <w:r w:rsidRPr="00DF5904">
        <w:rPr>
          <w:rFonts w:cs="Arial"/>
          <w:sz w:val="24"/>
          <w:szCs w:val="24"/>
        </w:rPr>
        <w:t>5</w:t>
      </w:r>
      <w:r w:rsidR="00BE7892" w:rsidRPr="00DF5904">
        <w:rPr>
          <w:rFonts w:cs="Arial"/>
          <w:sz w:val="24"/>
          <w:szCs w:val="24"/>
        </w:rPr>
        <w:t xml:space="preserve">. </w:t>
      </w:r>
      <w:r w:rsidR="000D52D1" w:rsidRPr="00DF5904">
        <w:rPr>
          <w:rFonts w:cs="Arial"/>
          <w:sz w:val="24"/>
          <w:szCs w:val="24"/>
        </w:rPr>
        <w:t xml:space="preserve">Any vital support measures (e. g. gastrostomy, tracheostomy, invasive ventilation, transplantation, catecholamine) are not initiated or are interrupted </w:t>
      </w:r>
      <w:r w:rsidR="009E4E59" w:rsidRPr="00DF5904">
        <w:rPr>
          <w:rFonts w:cs="Arial"/>
          <w:sz w:val="24"/>
          <w:szCs w:val="24"/>
        </w:rPr>
        <w:t>due to</w:t>
      </w:r>
      <w:r w:rsidR="000D52D1" w:rsidRPr="00DF5904">
        <w:rPr>
          <w:rFonts w:cs="Arial"/>
          <w:sz w:val="24"/>
          <w:szCs w:val="24"/>
        </w:rPr>
        <w:t xml:space="preserve"> lack of medical indication</w:t>
      </w:r>
    </w:p>
    <w:p w:rsidR="000D52D1" w:rsidRPr="004C7D81" w:rsidRDefault="00720CAE" w:rsidP="004C7D81">
      <w:pPr>
        <w:spacing w:after="0"/>
        <w:ind w:left="66"/>
        <w:jc w:val="both"/>
        <w:rPr>
          <w:rFonts w:cs="Arial"/>
          <w:sz w:val="24"/>
          <w:szCs w:val="24"/>
        </w:rPr>
      </w:pPr>
      <w:r w:rsidRPr="00DF5904">
        <w:rPr>
          <w:rFonts w:cs="Arial"/>
          <w:sz w:val="24"/>
          <w:szCs w:val="24"/>
        </w:rPr>
        <w:t>6</w:t>
      </w:r>
      <w:r w:rsidR="00492B2F" w:rsidRPr="00DF5904">
        <w:rPr>
          <w:rFonts w:cs="Arial"/>
          <w:sz w:val="24"/>
          <w:szCs w:val="24"/>
        </w:rPr>
        <w:t xml:space="preserve">. </w:t>
      </w:r>
      <w:r w:rsidR="000D52D1" w:rsidRPr="00DF5904">
        <w:rPr>
          <w:rFonts w:cs="Arial"/>
          <w:sz w:val="24"/>
          <w:szCs w:val="24"/>
        </w:rPr>
        <w:t>Other markers of severity and extreme fragility, at least two of the following, in the last 6 months:</w:t>
      </w:r>
      <w:r w:rsidR="004C7D81">
        <w:rPr>
          <w:rFonts w:cs="Arial"/>
          <w:sz w:val="24"/>
          <w:szCs w:val="24"/>
        </w:rPr>
        <w:t xml:space="preserve"> p</w:t>
      </w:r>
      <w:r w:rsidR="000D52D1" w:rsidRPr="004C7D81">
        <w:rPr>
          <w:rFonts w:cs="Arial"/>
          <w:sz w:val="24"/>
          <w:szCs w:val="24"/>
        </w:rPr>
        <w:t xml:space="preserve">ersistent </w:t>
      </w:r>
      <w:r w:rsidR="004C7D81">
        <w:rPr>
          <w:rFonts w:cs="Arial"/>
          <w:sz w:val="24"/>
          <w:szCs w:val="24"/>
        </w:rPr>
        <w:t>decubitus ulcers (stage III-IV), r</w:t>
      </w:r>
      <w:r w:rsidR="000D52D1" w:rsidRPr="004C7D81">
        <w:rPr>
          <w:rFonts w:cs="Arial"/>
          <w:sz w:val="24"/>
          <w:szCs w:val="24"/>
        </w:rPr>
        <w:t>ecurrent infections (&gt;1)</w:t>
      </w:r>
      <w:r w:rsidR="004C7D81">
        <w:rPr>
          <w:rFonts w:cs="Arial"/>
          <w:sz w:val="24"/>
          <w:szCs w:val="24"/>
        </w:rPr>
        <w:t>, d</w:t>
      </w:r>
      <w:r w:rsidR="000D52D1" w:rsidRPr="004C7D81">
        <w:rPr>
          <w:rFonts w:cs="Arial"/>
          <w:sz w:val="24"/>
          <w:szCs w:val="24"/>
        </w:rPr>
        <w:t>elirium</w:t>
      </w:r>
      <w:r w:rsidR="004C7D81">
        <w:rPr>
          <w:rFonts w:cs="Arial"/>
          <w:sz w:val="24"/>
          <w:szCs w:val="24"/>
        </w:rPr>
        <w:t>, p</w:t>
      </w:r>
      <w:r w:rsidR="000D52D1" w:rsidRPr="004C7D81">
        <w:rPr>
          <w:rFonts w:cs="Arial"/>
          <w:sz w:val="24"/>
          <w:szCs w:val="24"/>
        </w:rPr>
        <w:t>ersistent dysphagia</w:t>
      </w:r>
      <w:r w:rsidR="004C7D81">
        <w:rPr>
          <w:rFonts w:cs="Arial"/>
          <w:sz w:val="24"/>
          <w:szCs w:val="24"/>
        </w:rPr>
        <w:t>, f</w:t>
      </w:r>
      <w:r w:rsidR="000D52D1" w:rsidRPr="004C7D81">
        <w:rPr>
          <w:rFonts w:cs="Arial"/>
          <w:sz w:val="24"/>
          <w:szCs w:val="24"/>
        </w:rPr>
        <w:t>alls (&gt;2)</w:t>
      </w:r>
    </w:p>
    <w:p w:rsidR="004A2AF5" w:rsidRPr="00DF5904" w:rsidRDefault="00720CAE" w:rsidP="004C7D81">
      <w:pPr>
        <w:spacing w:after="0"/>
        <w:ind w:left="66"/>
        <w:jc w:val="both"/>
        <w:rPr>
          <w:rFonts w:cs="Arial"/>
          <w:sz w:val="24"/>
          <w:szCs w:val="24"/>
        </w:rPr>
      </w:pPr>
      <w:r w:rsidRPr="00DF5904">
        <w:rPr>
          <w:rFonts w:cs="Arial"/>
          <w:sz w:val="24"/>
          <w:szCs w:val="24"/>
        </w:rPr>
        <w:t>7</w:t>
      </w:r>
      <w:r w:rsidR="00492B2F" w:rsidRPr="00DF5904">
        <w:rPr>
          <w:rFonts w:cs="Arial"/>
          <w:sz w:val="24"/>
          <w:szCs w:val="24"/>
        </w:rPr>
        <w:t xml:space="preserve">. </w:t>
      </w:r>
      <w:r w:rsidR="000D52D1" w:rsidRPr="00DF5904">
        <w:rPr>
          <w:rFonts w:cs="Arial"/>
          <w:sz w:val="24"/>
          <w:szCs w:val="24"/>
        </w:rPr>
        <w:t xml:space="preserve">At least two unplanned </w:t>
      </w:r>
      <w:proofErr w:type="spellStart"/>
      <w:r w:rsidR="000D52D1" w:rsidRPr="00DF5904">
        <w:rPr>
          <w:rFonts w:cs="Arial"/>
          <w:sz w:val="24"/>
          <w:szCs w:val="24"/>
        </w:rPr>
        <w:t>hospitalisations</w:t>
      </w:r>
      <w:proofErr w:type="spellEnd"/>
      <w:r w:rsidR="000D52D1" w:rsidRPr="00DF5904">
        <w:rPr>
          <w:rFonts w:cs="Arial"/>
          <w:sz w:val="24"/>
          <w:szCs w:val="24"/>
        </w:rPr>
        <w:t xml:space="preserve"> in the last 6 months</w:t>
      </w:r>
    </w:p>
    <w:p w:rsidR="0032037C" w:rsidRPr="00DF5904" w:rsidRDefault="00720CAE" w:rsidP="004C7D81">
      <w:pPr>
        <w:spacing w:after="0"/>
        <w:ind w:left="66"/>
        <w:jc w:val="both"/>
        <w:rPr>
          <w:rFonts w:cs="Arial"/>
          <w:sz w:val="24"/>
          <w:szCs w:val="24"/>
          <w:lang w:val="fr-CH"/>
        </w:rPr>
      </w:pPr>
      <w:r w:rsidRPr="00DF5904">
        <w:rPr>
          <w:rFonts w:cs="Arial"/>
          <w:sz w:val="24"/>
          <w:szCs w:val="24"/>
          <w:lang w:val="fr-CH"/>
        </w:rPr>
        <w:t>8</w:t>
      </w:r>
      <w:r w:rsidR="00492B2F" w:rsidRPr="00DF5904">
        <w:rPr>
          <w:rFonts w:cs="Arial"/>
          <w:sz w:val="24"/>
          <w:szCs w:val="24"/>
          <w:lang w:val="fr-CH"/>
        </w:rPr>
        <w:t xml:space="preserve">. </w:t>
      </w:r>
      <w:r w:rsidR="004A2AF5" w:rsidRPr="00DF5904">
        <w:rPr>
          <w:rFonts w:cs="Arial"/>
          <w:sz w:val="24"/>
          <w:szCs w:val="24"/>
          <w:lang w:val="fr-CH"/>
        </w:rPr>
        <w:t>Co-morbidité importante, responsable et prédictive de la mortalité et/ou de la morbidité (</w:t>
      </w:r>
      <w:proofErr w:type="spellStart"/>
      <w:r w:rsidR="004A2AF5" w:rsidRPr="00DF5904">
        <w:rPr>
          <w:rFonts w:cs="Arial"/>
          <w:sz w:val="24"/>
          <w:szCs w:val="24"/>
          <w:lang w:val="fr-CH"/>
        </w:rPr>
        <w:t>Charlson</w:t>
      </w:r>
      <w:proofErr w:type="spellEnd"/>
      <w:r w:rsidR="004A2AF5" w:rsidRPr="00DF5904">
        <w:rPr>
          <w:rFonts w:cs="Arial"/>
          <w:sz w:val="24"/>
          <w:szCs w:val="24"/>
          <w:lang w:val="fr-CH"/>
        </w:rPr>
        <w:t xml:space="preserve"> </w:t>
      </w:r>
      <w:proofErr w:type="spellStart"/>
      <w:r w:rsidR="004A2AF5" w:rsidRPr="00DF5904">
        <w:rPr>
          <w:rFonts w:cs="Arial"/>
          <w:sz w:val="24"/>
          <w:szCs w:val="24"/>
          <w:lang w:val="fr-CH"/>
        </w:rPr>
        <w:t>Comorbidity</w:t>
      </w:r>
      <w:proofErr w:type="spellEnd"/>
      <w:r w:rsidR="004A2AF5" w:rsidRPr="00DF5904">
        <w:rPr>
          <w:rFonts w:cs="Arial"/>
          <w:sz w:val="24"/>
          <w:szCs w:val="24"/>
          <w:lang w:val="fr-CH"/>
        </w:rPr>
        <w:t xml:space="preserve"> Index)</w:t>
      </w:r>
      <w:r w:rsidR="009E4E59" w:rsidRPr="00DF5904">
        <w:rPr>
          <w:rFonts w:cs="Arial"/>
          <w:sz w:val="24"/>
          <w:szCs w:val="24"/>
          <w:lang w:val="fr-CH"/>
        </w:rPr>
        <w:t xml:space="preserve"> (</w:t>
      </w:r>
      <w:proofErr w:type="spellStart"/>
      <w:r w:rsidR="009E4E59" w:rsidRPr="00DF5904">
        <w:rPr>
          <w:rFonts w:cs="Arial"/>
          <w:sz w:val="24"/>
          <w:szCs w:val="24"/>
          <w:lang w:val="fr-CH"/>
        </w:rPr>
        <w:t>significant</w:t>
      </w:r>
      <w:proofErr w:type="spellEnd"/>
      <w:r w:rsidR="009E4E59" w:rsidRPr="00DF5904">
        <w:rPr>
          <w:rFonts w:cs="Arial"/>
          <w:sz w:val="24"/>
          <w:szCs w:val="24"/>
          <w:lang w:val="fr-CH"/>
        </w:rPr>
        <w:t xml:space="preserve"> </w:t>
      </w:r>
      <w:proofErr w:type="spellStart"/>
      <w:r w:rsidR="009E4E59" w:rsidRPr="00DF5904">
        <w:rPr>
          <w:rFonts w:cs="Arial"/>
          <w:sz w:val="24"/>
          <w:szCs w:val="24"/>
          <w:lang w:val="fr-CH"/>
        </w:rPr>
        <w:t>comorbidity</w:t>
      </w:r>
      <w:proofErr w:type="spellEnd"/>
      <w:r w:rsidR="009E4E59" w:rsidRPr="00DF5904">
        <w:rPr>
          <w:rFonts w:cs="Arial"/>
          <w:sz w:val="24"/>
          <w:szCs w:val="24"/>
          <w:lang w:val="fr-CH"/>
        </w:rPr>
        <w:t xml:space="preserve">, responsable for </w:t>
      </w:r>
      <w:proofErr w:type="spellStart"/>
      <w:r w:rsidR="009E4E59" w:rsidRPr="00DF5904">
        <w:rPr>
          <w:rFonts w:cs="Arial"/>
          <w:sz w:val="24"/>
          <w:szCs w:val="24"/>
          <w:lang w:val="fr-CH"/>
        </w:rPr>
        <w:t>mortality</w:t>
      </w:r>
      <w:proofErr w:type="spellEnd"/>
      <w:r w:rsidR="009E4E59" w:rsidRPr="00DF5904">
        <w:rPr>
          <w:rFonts w:cs="Arial"/>
          <w:sz w:val="24"/>
          <w:szCs w:val="24"/>
          <w:lang w:val="fr-CH"/>
        </w:rPr>
        <w:t xml:space="preserve"> and or </w:t>
      </w:r>
      <w:proofErr w:type="spellStart"/>
      <w:r w:rsidR="009E4E59" w:rsidRPr="00DF5904">
        <w:rPr>
          <w:rFonts w:cs="Arial"/>
          <w:sz w:val="24"/>
          <w:szCs w:val="24"/>
          <w:lang w:val="fr-CH"/>
        </w:rPr>
        <w:t>modridity</w:t>
      </w:r>
      <w:proofErr w:type="spellEnd"/>
      <w:r w:rsidR="009E4E59" w:rsidRPr="00DF5904">
        <w:rPr>
          <w:rFonts w:cs="Arial"/>
          <w:sz w:val="24"/>
          <w:szCs w:val="24"/>
          <w:lang w:val="fr-CH"/>
        </w:rPr>
        <w:t>)</w:t>
      </w:r>
    </w:p>
    <w:p w:rsidR="00E83472" w:rsidRPr="00DF5904" w:rsidRDefault="00720CAE" w:rsidP="004C7D81">
      <w:pPr>
        <w:spacing w:after="0"/>
        <w:ind w:left="66"/>
        <w:jc w:val="both"/>
        <w:rPr>
          <w:rFonts w:ascii="Arial" w:hAnsi="Arial" w:cs="Arial"/>
          <w:sz w:val="20"/>
          <w:szCs w:val="20"/>
        </w:rPr>
      </w:pPr>
      <w:r w:rsidRPr="00DF5904">
        <w:rPr>
          <w:rFonts w:cs="Arial"/>
          <w:sz w:val="24"/>
          <w:szCs w:val="24"/>
        </w:rPr>
        <w:t>9</w:t>
      </w:r>
      <w:r w:rsidR="00492B2F" w:rsidRPr="00DF5904">
        <w:rPr>
          <w:rFonts w:cs="Arial"/>
          <w:sz w:val="24"/>
          <w:szCs w:val="24"/>
        </w:rPr>
        <w:t xml:space="preserve">. </w:t>
      </w:r>
      <w:r w:rsidR="000D52D1" w:rsidRPr="00DF5904">
        <w:rPr>
          <w:rFonts w:cs="Arial"/>
          <w:sz w:val="24"/>
          <w:szCs w:val="24"/>
        </w:rPr>
        <w:t>Presence of emotional distress with psychological symptoms</w:t>
      </w:r>
      <w:r w:rsidR="00E83472" w:rsidRPr="00DF5904">
        <w:rPr>
          <w:rFonts w:ascii="Arial" w:hAnsi="Arial" w:cs="Arial"/>
          <w:sz w:val="20"/>
          <w:szCs w:val="20"/>
        </w:rPr>
        <w:br w:type="page"/>
      </w:r>
    </w:p>
    <w:p w:rsidR="004A2AF5" w:rsidRPr="00DF5904" w:rsidRDefault="004A2AF5" w:rsidP="004C7D81">
      <w:pPr>
        <w:pStyle w:val="Paragraphedeliste"/>
        <w:ind w:left="426"/>
        <w:jc w:val="both"/>
        <w:rPr>
          <w:rFonts w:ascii="Arial" w:hAnsi="Arial" w:cs="Arial"/>
          <w:sz w:val="20"/>
          <w:szCs w:val="20"/>
        </w:rPr>
        <w:sectPr w:rsidR="004A2AF5" w:rsidRPr="00DF5904" w:rsidSect="00D80866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D52D1" w:rsidRPr="00DF5904" w:rsidRDefault="00DF5904" w:rsidP="004C7D81">
      <w:pPr>
        <w:autoSpaceDE w:val="0"/>
        <w:autoSpaceDN w:val="0"/>
        <w:adjustRightInd w:val="0"/>
        <w:spacing w:before="120" w:after="100" w:afterAutospacing="1"/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2. </w:t>
      </w:r>
      <w:r w:rsidR="000D52D1" w:rsidRPr="00DF5904">
        <w:rPr>
          <w:rFonts w:cs="Verdana"/>
          <w:sz w:val="24"/>
          <w:szCs w:val="24"/>
        </w:rPr>
        <w:t xml:space="preserve">From the following list of items, could you rank in order of relevance up to </w:t>
      </w:r>
      <w:proofErr w:type="gramStart"/>
      <w:r w:rsidR="000D52D1" w:rsidRPr="00DF5904">
        <w:rPr>
          <w:rFonts w:cs="Verdana"/>
          <w:sz w:val="24"/>
          <w:szCs w:val="24"/>
        </w:rPr>
        <w:t>5</w:t>
      </w:r>
      <w:proofErr w:type="gramEnd"/>
      <w:r w:rsidR="000D52D1" w:rsidRPr="00DF5904">
        <w:rPr>
          <w:rFonts w:cs="Verdana"/>
          <w:sz w:val="24"/>
          <w:szCs w:val="24"/>
        </w:rPr>
        <w:t xml:space="preserve"> items that, from your point of view, would best support non</w:t>
      </w:r>
      <w:r w:rsidR="009E4E59" w:rsidRPr="00DF5904">
        <w:rPr>
          <w:rFonts w:cs="Verdana"/>
          <w:sz w:val="24"/>
          <w:szCs w:val="24"/>
        </w:rPr>
        <w:t>-</w:t>
      </w:r>
      <w:proofErr w:type="spellStart"/>
      <w:r w:rsidR="000D52D1" w:rsidRPr="00DF5904">
        <w:rPr>
          <w:rFonts w:cs="Verdana"/>
          <w:sz w:val="24"/>
          <w:szCs w:val="24"/>
        </w:rPr>
        <w:t>pecialised</w:t>
      </w:r>
      <w:proofErr w:type="spellEnd"/>
      <w:r w:rsidR="000D52D1" w:rsidRPr="00DF5904">
        <w:rPr>
          <w:rFonts w:cs="Verdana"/>
          <w:sz w:val="24"/>
          <w:szCs w:val="24"/>
        </w:rPr>
        <w:t xml:space="preserve"> healthcare professionals to identify patients in need of “specialised” PC, once they were already identify in need of “general” PC, in </w:t>
      </w:r>
      <w:r w:rsidR="009E4E59" w:rsidRPr="00DF5904">
        <w:rPr>
          <w:rFonts w:cs="Verdana"/>
          <w:sz w:val="24"/>
          <w:szCs w:val="24"/>
        </w:rPr>
        <w:t xml:space="preserve">addition </w:t>
      </w:r>
      <w:r w:rsidR="000D52D1" w:rsidRPr="00DF5904">
        <w:rPr>
          <w:rFonts w:cs="Verdana"/>
          <w:sz w:val="24"/>
          <w:szCs w:val="24"/>
        </w:rPr>
        <w:t xml:space="preserve">to the 2 items that have already been selected. </w:t>
      </w:r>
      <w:r w:rsidR="009E4E59" w:rsidRPr="00DF5904">
        <w:rPr>
          <w:rFonts w:cs="Verdana"/>
          <w:sz w:val="24"/>
          <w:szCs w:val="24"/>
        </w:rPr>
        <w:t>Please</w:t>
      </w:r>
      <w:r w:rsidR="000D52D1" w:rsidRPr="00DF5904">
        <w:rPr>
          <w:rFonts w:cs="Verdana"/>
          <w:sz w:val="24"/>
          <w:szCs w:val="24"/>
        </w:rPr>
        <w:t xml:space="preserve"> list them in the table below.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987"/>
        <w:gridCol w:w="7937"/>
      </w:tblGrid>
      <w:tr w:rsidR="00DF5904" w:rsidRPr="00DF5904" w:rsidTr="00BE7892">
        <w:tc>
          <w:tcPr>
            <w:tcW w:w="8924" w:type="dxa"/>
            <w:gridSpan w:val="2"/>
            <w:vAlign w:val="center"/>
          </w:tcPr>
          <w:p w:rsidR="000D52D1" w:rsidRPr="00DF5904" w:rsidRDefault="000D52D1" w:rsidP="004C7D8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5904">
              <w:rPr>
                <w:rFonts w:cs="Verdana"/>
                <w:sz w:val="24"/>
                <w:szCs w:val="24"/>
              </w:rPr>
              <w:t>The 5 items that best identify patients in need of « specialised » palliative care, in order of relevance, are </w:t>
            </w:r>
          </w:p>
        </w:tc>
      </w:tr>
      <w:tr w:rsidR="00DF5904" w:rsidRPr="00DF5904" w:rsidTr="00BE7892">
        <w:tc>
          <w:tcPr>
            <w:tcW w:w="987" w:type="dxa"/>
            <w:vAlign w:val="center"/>
          </w:tcPr>
          <w:p w:rsidR="004158E3" w:rsidRPr="00DF5904" w:rsidRDefault="004158E3" w:rsidP="004C7D8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5904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7937" w:type="dxa"/>
          </w:tcPr>
          <w:p w:rsidR="004158E3" w:rsidRPr="00DF5904" w:rsidRDefault="004158E3" w:rsidP="004C7D8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F5904" w:rsidRPr="00DF5904" w:rsidTr="00BE7892">
        <w:tc>
          <w:tcPr>
            <w:tcW w:w="987" w:type="dxa"/>
            <w:vAlign w:val="center"/>
          </w:tcPr>
          <w:p w:rsidR="004158E3" w:rsidRPr="00DF5904" w:rsidRDefault="004158E3" w:rsidP="004C7D8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5904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7937" w:type="dxa"/>
          </w:tcPr>
          <w:p w:rsidR="004158E3" w:rsidRPr="00DF5904" w:rsidRDefault="004158E3" w:rsidP="004C7D8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F5904" w:rsidRPr="00DF5904" w:rsidTr="00BE7892">
        <w:tc>
          <w:tcPr>
            <w:tcW w:w="987" w:type="dxa"/>
            <w:vAlign w:val="center"/>
          </w:tcPr>
          <w:p w:rsidR="004158E3" w:rsidRPr="00DF5904" w:rsidRDefault="004158E3" w:rsidP="004C7D8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5904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7937" w:type="dxa"/>
          </w:tcPr>
          <w:p w:rsidR="004158E3" w:rsidRPr="00DF5904" w:rsidRDefault="004158E3" w:rsidP="004C7D8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F5904" w:rsidRPr="00DF5904" w:rsidTr="00BE7892">
        <w:tc>
          <w:tcPr>
            <w:tcW w:w="987" w:type="dxa"/>
            <w:vAlign w:val="center"/>
          </w:tcPr>
          <w:p w:rsidR="004158E3" w:rsidRPr="00DF5904" w:rsidRDefault="004158E3" w:rsidP="004C7D8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5904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  <w:tc>
          <w:tcPr>
            <w:tcW w:w="7937" w:type="dxa"/>
          </w:tcPr>
          <w:p w:rsidR="004158E3" w:rsidRPr="00DF5904" w:rsidRDefault="004158E3" w:rsidP="004C7D8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158E3" w:rsidRPr="00DF5904" w:rsidTr="00BE7892">
        <w:tc>
          <w:tcPr>
            <w:tcW w:w="987" w:type="dxa"/>
            <w:vAlign w:val="center"/>
          </w:tcPr>
          <w:p w:rsidR="004158E3" w:rsidRPr="00DF5904" w:rsidRDefault="004158E3" w:rsidP="004C7D8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5904">
              <w:rPr>
                <w:rFonts w:ascii="Arial" w:hAnsi="Arial" w:cs="Arial"/>
                <w:sz w:val="20"/>
                <w:szCs w:val="20"/>
                <w:lang w:val="fr-CH"/>
              </w:rPr>
              <w:t>5</w:t>
            </w:r>
          </w:p>
        </w:tc>
        <w:tc>
          <w:tcPr>
            <w:tcW w:w="7937" w:type="dxa"/>
          </w:tcPr>
          <w:p w:rsidR="004158E3" w:rsidRPr="00DF5904" w:rsidRDefault="004158E3" w:rsidP="004C7D81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92B2F" w:rsidRPr="00DF5904" w:rsidRDefault="00492B2F" w:rsidP="004C7D81">
      <w:pPr>
        <w:pStyle w:val="Paragraphedeliste"/>
        <w:spacing w:after="0"/>
        <w:ind w:left="426"/>
        <w:jc w:val="both"/>
        <w:rPr>
          <w:rFonts w:cs="Verdana"/>
          <w:sz w:val="24"/>
          <w:szCs w:val="24"/>
          <w:lang w:val="fr-CH"/>
        </w:rPr>
      </w:pPr>
    </w:p>
    <w:p w:rsidR="00DF07A5" w:rsidRPr="00DF5904" w:rsidRDefault="00227F9A" w:rsidP="004C7D81">
      <w:pPr>
        <w:spacing w:after="0"/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1. </w:t>
      </w:r>
      <w:r w:rsidR="000D52D1" w:rsidRPr="00DF5904">
        <w:rPr>
          <w:rFonts w:cs="Verdana"/>
          <w:sz w:val="24"/>
          <w:szCs w:val="24"/>
        </w:rPr>
        <w:t>Specific population: patient at high risk of symptomatic, psychological and/or existential crisis (</w:t>
      </w:r>
      <w:proofErr w:type="gramStart"/>
      <w:r w:rsidR="000D52D1" w:rsidRPr="00DF5904">
        <w:rPr>
          <w:rFonts w:cs="Verdana"/>
          <w:sz w:val="24"/>
          <w:szCs w:val="24"/>
        </w:rPr>
        <w:t>e. g</w:t>
      </w:r>
      <w:proofErr w:type="gramEnd"/>
      <w:r w:rsidR="000D52D1" w:rsidRPr="00DF5904">
        <w:rPr>
          <w:rFonts w:cs="Verdana"/>
          <w:sz w:val="24"/>
          <w:szCs w:val="24"/>
        </w:rPr>
        <w:t xml:space="preserve">. risk of bleeding, acute dyspnea, incidental pain, etc.) or active psychiatric illness (e. g. depression, anxiety disorders, schizophrenia, dependence, etc.) or presence of a significant physical/cognitive disability or </w:t>
      </w:r>
      <w:proofErr w:type="spellStart"/>
      <w:r w:rsidR="000D52D1" w:rsidRPr="00DF5904">
        <w:rPr>
          <w:rFonts w:cs="Verdana"/>
          <w:sz w:val="24"/>
          <w:szCs w:val="24"/>
        </w:rPr>
        <w:t>polymedication</w:t>
      </w:r>
      <w:proofErr w:type="spellEnd"/>
      <w:r w:rsidR="000D52D1" w:rsidRPr="00DF5904">
        <w:rPr>
          <w:rFonts w:cs="Verdana"/>
          <w:sz w:val="24"/>
          <w:szCs w:val="24"/>
        </w:rPr>
        <w:t xml:space="preserve"> and/or intolerance/drug allergy</w:t>
      </w:r>
    </w:p>
    <w:p w:rsidR="00E93FC2" w:rsidRPr="00DF5904" w:rsidRDefault="00227F9A" w:rsidP="004C7D81">
      <w:pPr>
        <w:spacing w:after="0"/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2. </w:t>
      </w:r>
      <w:r w:rsidR="000D52D1" w:rsidRPr="00DF5904">
        <w:rPr>
          <w:rFonts w:cs="Verdana"/>
          <w:sz w:val="24"/>
          <w:szCs w:val="24"/>
        </w:rPr>
        <w:t>Rapidly evolving disease</w:t>
      </w:r>
    </w:p>
    <w:p w:rsidR="00DF07A5" w:rsidRPr="00DF5904" w:rsidRDefault="00227F9A" w:rsidP="004C7D81">
      <w:pPr>
        <w:spacing w:after="0"/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3. </w:t>
      </w:r>
      <w:r w:rsidR="000D52D1" w:rsidRPr="00DF5904">
        <w:rPr>
          <w:rFonts w:cs="Verdana"/>
          <w:sz w:val="24"/>
          <w:szCs w:val="24"/>
        </w:rPr>
        <w:t>Need for complex and intense continuing care in institution or at home</w:t>
      </w:r>
    </w:p>
    <w:p w:rsidR="00DF07A5" w:rsidRPr="00DF5904" w:rsidRDefault="00227F9A" w:rsidP="004C7D81">
      <w:pPr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4. </w:t>
      </w:r>
      <w:r w:rsidR="000D52D1" w:rsidRPr="00DF5904">
        <w:rPr>
          <w:rFonts w:cs="Verdana"/>
          <w:sz w:val="24"/>
          <w:szCs w:val="24"/>
        </w:rPr>
        <w:t xml:space="preserve">Presence of </w:t>
      </w:r>
      <w:proofErr w:type="gramStart"/>
      <w:r w:rsidR="000D52D1" w:rsidRPr="00DF5904">
        <w:rPr>
          <w:rFonts w:cs="Verdana"/>
          <w:sz w:val="24"/>
          <w:szCs w:val="24"/>
        </w:rPr>
        <w:t>3</w:t>
      </w:r>
      <w:proofErr w:type="gramEnd"/>
      <w:r w:rsidR="000D52D1" w:rsidRPr="00DF5904">
        <w:rPr>
          <w:rFonts w:cs="Verdana"/>
          <w:sz w:val="24"/>
          <w:szCs w:val="24"/>
        </w:rPr>
        <w:t xml:space="preserve"> or more symptoms greater than 5 on the ESAS</w:t>
      </w:r>
    </w:p>
    <w:p w:rsidR="00DF07A5" w:rsidRPr="00DF5904" w:rsidRDefault="00227F9A" w:rsidP="004C7D81">
      <w:pPr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5. </w:t>
      </w:r>
      <w:r w:rsidR="000D52D1" w:rsidRPr="00DF5904">
        <w:rPr>
          <w:rFonts w:cs="Verdana"/>
          <w:sz w:val="24"/>
          <w:szCs w:val="24"/>
        </w:rPr>
        <w:t>Uncontrolled pain with first-line analgesics such as opioids and/or adjuvants</w:t>
      </w:r>
    </w:p>
    <w:p w:rsidR="00DF07A5" w:rsidRPr="00DF5904" w:rsidRDefault="00227F9A" w:rsidP="004C7D81">
      <w:pPr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6. </w:t>
      </w:r>
      <w:r w:rsidR="000D52D1" w:rsidRPr="00DF5904">
        <w:rPr>
          <w:rFonts w:cs="Verdana"/>
          <w:sz w:val="24"/>
          <w:szCs w:val="24"/>
        </w:rPr>
        <w:t>Difficulties in assessing physical, psychological, social or spiritual symptoms</w:t>
      </w:r>
    </w:p>
    <w:p w:rsidR="00DF07A5" w:rsidRPr="00DF5904" w:rsidRDefault="00227F9A" w:rsidP="004C7D81">
      <w:pPr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7. </w:t>
      </w:r>
      <w:r w:rsidR="000D52D1" w:rsidRPr="00DF5904">
        <w:rPr>
          <w:rFonts w:cs="Verdana"/>
          <w:sz w:val="24"/>
          <w:szCs w:val="24"/>
        </w:rPr>
        <w:t xml:space="preserve">Presence of severe psychological and/or existential distress, for example: </w:t>
      </w:r>
      <w:r w:rsidR="00A91A80" w:rsidRPr="00DF5904">
        <w:rPr>
          <w:rFonts w:cs="Verdana"/>
          <w:sz w:val="24"/>
          <w:szCs w:val="24"/>
        </w:rPr>
        <w:t>wish</w:t>
      </w:r>
      <w:r w:rsidR="000D52D1" w:rsidRPr="00DF5904">
        <w:rPr>
          <w:rFonts w:cs="Verdana"/>
          <w:sz w:val="24"/>
          <w:szCs w:val="24"/>
        </w:rPr>
        <w:t xml:space="preserve"> </w:t>
      </w:r>
      <w:r w:rsidR="000D52D1" w:rsidRPr="00DF5904">
        <w:rPr>
          <w:rFonts w:cs="Verdana"/>
          <w:sz w:val="24"/>
          <w:szCs w:val="24"/>
        </w:rPr>
        <w:t>to die, loss of sense/hope, feeling isolated, feeling of being a burden</w:t>
      </w:r>
    </w:p>
    <w:p w:rsidR="00DF07A5" w:rsidRPr="00DF5904" w:rsidRDefault="00227F9A" w:rsidP="004C7D81">
      <w:pPr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8. </w:t>
      </w:r>
      <w:r w:rsidR="000D52D1" w:rsidRPr="00DF5904">
        <w:rPr>
          <w:rFonts w:cs="Verdana"/>
          <w:sz w:val="24"/>
          <w:szCs w:val="24"/>
        </w:rPr>
        <w:t>Request for assisted suicide or euthanasia</w:t>
      </w:r>
    </w:p>
    <w:p w:rsidR="000D52D1" w:rsidRPr="00DF5904" w:rsidRDefault="00227F9A" w:rsidP="004C7D81">
      <w:pPr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9. </w:t>
      </w:r>
      <w:r w:rsidR="000D52D1" w:rsidRPr="00DF5904">
        <w:rPr>
          <w:rFonts w:cs="Verdana"/>
          <w:sz w:val="24"/>
          <w:szCs w:val="24"/>
        </w:rPr>
        <w:t xml:space="preserve">Psychosocial distress of the patient and/or family with respect to disease progression, death or other related factors </w:t>
      </w:r>
    </w:p>
    <w:p w:rsidR="00DF07A5" w:rsidRPr="00DF5904" w:rsidRDefault="00227F9A" w:rsidP="004C7D81">
      <w:pPr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10. </w:t>
      </w:r>
      <w:r w:rsidR="000D52D1" w:rsidRPr="00DF5904">
        <w:rPr>
          <w:rFonts w:cs="Verdana"/>
          <w:sz w:val="24"/>
          <w:szCs w:val="24"/>
        </w:rPr>
        <w:t>Difficulties in communicating about therapeutic/care objectives in life-limiting illness</w:t>
      </w:r>
    </w:p>
    <w:p w:rsidR="00DF07A5" w:rsidRPr="00DF5904" w:rsidRDefault="00227F9A" w:rsidP="004C7D81">
      <w:pPr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 xml:space="preserve">11. </w:t>
      </w:r>
      <w:r w:rsidR="000D52D1" w:rsidRPr="00DF5904">
        <w:rPr>
          <w:rFonts w:cs="Verdana"/>
          <w:sz w:val="24"/>
          <w:szCs w:val="24"/>
        </w:rPr>
        <w:t>Significant disagreement, uncertainty or conflict among the patient, team and/or family regarding, for example, important decisions about medical treatment, choice of resuscitation code, ethical concerns or complex decision-making</w:t>
      </w:r>
    </w:p>
    <w:p w:rsidR="00227F9A" w:rsidRPr="00DF5904" w:rsidRDefault="00227F9A" w:rsidP="004C7D81">
      <w:pPr>
        <w:jc w:val="both"/>
        <w:rPr>
          <w:rFonts w:cs="Arial"/>
          <w:sz w:val="24"/>
          <w:szCs w:val="24"/>
        </w:rPr>
      </w:pPr>
      <w:proofErr w:type="gramStart"/>
      <w:r w:rsidRPr="00DF5904">
        <w:rPr>
          <w:rFonts w:cs="Verdana"/>
          <w:sz w:val="24"/>
          <w:szCs w:val="24"/>
        </w:rPr>
        <w:t xml:space="preserve">12. </w:t>
      </w:r>
      <w:r w:rsidR="000D52D1" w:rsidRPr="00DF5904">
        <w:rPr>
          <w:rFonts w:cs="Arial"/>
          <w:sz w:val="24"/>
          <w:szCs w:val="24"/>
        </w:rPr>
        <w:t xml:space="preserve">As </w:t>
      </w:r>
      <w:r w:rsidR="00A91A80" w:rsidRPr="00DF5904">
        <w:rPr>
          <w:rFonts w:cs="Arial"/>
          <w:sz w:val="24"/>
          <w:szCs w:val="24"/>
        </w:rPr>
        <w:t xml:space="preserve">a </w:t>
      </w:r>
      <w:r w:rsidR="000D52D1" w:rsidRPr="00DF5904">
        <w:rPr>
          <w:rFonts w:cs="Arial"/>
          <w:sz w:val="24"/>
          <w:szCs w:val="24"/>
        </w:rPr>
        <w:t>health</w:t>
      </w:r>
      <w:r w:rsidR="00696C99" w:rsidRPr="00DF5904">
        <w:rPr>
          <w:rFonts w:cs="Arial"/>
          <w:sz w:val="24"/>
          <w:szCs w:val="24"/>
        </w:rPr>
        <w:t>care</w:t>
      </w:r>
      <w:r w:rsidR="000D52D1" w:rsidRPr="00DF5904">
        <w:rPr>
          <w:rFonts w:cs="Arial"/>
          <w:sz w:val="24"/>
          <w:szCs w:val="24"/>
        </w:rPr>
        <w:t xml:space="preserve"> professional</w:t>
      </w:r>
      <w:proofErr w:type="gramEnd"/>
      <w:r w:rsidR="000D52D1" w:rsidRPr="00DF5904">
        <w:rPr>
          <w:rFonts w:cs="Arial"/>
          <w:sz w:val="24"/>
          <w:szCs w:val="24"/>
        </w:rPr>
        <w:t xml:space="preserve"> do you consider that this patient requires a specialized palliative care team (mobile team or palliative care unit)?</w:t>
      </w:r>
    </w:p>
    <w:p w:rsidR="00227F9A" w:rsidRPr="00DF5904" w:rsidRDefault="00227F9A" w:rsidP="004C7D81">
      <w:pPr>
        <w:jc w:val="both"/>
        <w:rPr>
          <w:rFonts w:cs="Arial"/>
          <w:sz w:val="24"/>
          <w:szCs w:val="24"/>
        </w:rPr>
      </w:pPr>
      <w:r w:rsidRPr="00DF5904">
        <w:rPr>
          <w:rFonts w:cs="Arial"/>
          <w:sz w:val="24"/>
          <w:szCs w:val="24"/>
        </w:rPr>
        <w:t xml:space="preserve">13. </w:t>
      </w:r>
      <w:r w:rsidR="00696C99" w:rsidRPr="00DF5904">
        <w:rPr>
          <w:rFonts w:cs="Arial"/>
          <w:sz w:val="24"/>
          <w:szCs w:val="24"/>
        </w:rPr>
        <w:t>Palliative sedation envisaged</w:t>
      </w:r>
    </w:p>
    <w:p w:rsidR="00DA097B" w:rsidRPr="00DF5904" w:rsidRDefault="00DA097B" w:rsidP="004C7D81">
      <w:pPr>
        <w:jc w:val="both"/>
        <w:rPr>
          <w:rFonts w:cs="Verdana"/>
          <w:sz w:val="24"/>
          <w:szCs w:val="24"/>
        </w:rPr>
      </w:pPr>
      <w:r w:rsidRPr="00DF5904">
        <w:rPr>
          <w:rFonts w:cs="Arial"/>
          <w:sz w:val="24"/>
          <w:szCs w:val="24"/>
        </w:rPr>
        <w:t xml:space="preserve">14. </w:t>
      </w:r>
      <w:r w:rsidR="00696C99" w:rsidRPr="00DF5904">
        <w:rPr>
          <w:rFonts w:cs="Arial"/>
          <w:sz w:val="24"/>
          <w:szCs w:val="24"/>
        </w:rPr>
        <w:t>Need for respite for the relatives who have reached their limits</w:t>
      </w:r>
    </w:p>
    <w:p w:rsidR="00696C99" w:rsidRPr="00DF5904" w:rsidRDefault="00696C99" w:rsidP="004C7D81">
      <w:pPr>
        <w:jc w:val="center"/>
        <w:rPr>
          <w:rFonts w:cs="Verdana"/>
          <w:sz w:val="24"/>
          <w:szCs w:val="24"/>
        </w:rPr>
      </w:pPr>
      <w:r w:rsidRPr="00DF5904">
        <w:rPr>
          <w:rFonts w:cs="Verdana"/>
          <w:b/>
          <w:sz w:val="24"/>
          <w:szCs w:val="24"/>
        </w:rPr>
        <w:t>Complementary questions</w:t>
      </w:r>
    </w:p>
    <w:p w:rsidR="00DA097B" w:rsidRPr="00DF5904" w:rsidRDefault="00486590" w:rsidP="004C7D8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Verdana"/>
          <w:sz w:val="28"/>
          <w:szCs w:val="28"/>
        </w:rPr>
      </w:pPr>
      <w:r w:rsidRPr="00DF5904">
        <w:rPr>
          <w:rFonts w:cs="Verdana"/>
          <w:b/>
          <w:sz w:val="24"/>
          <w:szCs w:val="24"/>
        </w:rPr>
        <w:t>3</w:t>
      </w:r>
      <w:r w:rsidR="00EA3558" w:rsidRPr="00DF5904">
        <w:rPr>
          <w:rFonts w:cs="Verdana"/>
          <w:b/>
          <w:sz w:val="24"/>
          <w:szCs w:val="24"/>
        </w:rPr>
        <w:t xml:space="preserve">. </w:t>
      </w:r>
      <w:r w:rsidR="00696C99" w:rsidRPr="00DF5904">
        <w:rPr>
          <w:rFonts w:cs="Verdana"/>
          <w:sz w:val="24"/>
          <w:szCs w:val="24"/>
        </w:rPr>
        <w:t>Is the wording of the following item acceptable to you, and in particular the formal inclusion of "implicit or explicit" in the statement?</w:t>
      </w:r>
    </w:p>
    <w:p w:rsidR="00DA097B" w:rsidRPr="00DF5904" w:rsidRDefault="00696C99" w:rsidP="004C7D81">
      <w:pPr>
        <w:spacing w:after="0"/>
        <w:ind w:left="284"/>
        <w:jc w:val="both"/>
        <w:rPr>
          <w:rFonts w:cs="Arial"/>
          <w:sz w:val="24"/>
          <w:szCs w:val="24"/>
        </w:rPr>
      </w:pPr>
      <w:r w:rsidRPr="00DF5904">
        <w:rPr>
          <w:rFonts w:cs="Arial"/>
          <w:sz w:val="24"/>
          <w:szCs w:val="24"/>
        </w:rPr>
        <w:t xml:space="preserve">The patient or their family asks </w:t>
      </w:r>
      <w:proofErr w:type="gramStart"/>
      <w:r w:rsidRPr="00DF5904">
        <w:rPr>
          <w:rFonts w:cs="Arial"/>
          <w:sz w:val="24"/>
          <w:szCs w:val="24"/>
        </w:rPr>
        <w:t>either explicitly or implicitly</w:t>
      </w:r>
      <w:proofErr w:type="gramEnd"/>
      <w:r w:rsidRPr="00DF5904">
        <w:rPr>
          <w:rFonts w:cs="Arial"/>
          <w:sz w:val="24"/>
          <w:szCs w:val="24"/>
        </w:rPr>
        <w:t xml:space="preserve"> for palliative care or uniquely </w:t>
      </w:r>
      <w:r w:rsidR="00A91A80" w:rsidRPr="00DF5904">
        <w:rPr>
          <w:rFonts w:cs="Arial"/>
          <w:sz w:val="24"/>
          <w:szCs w:val="24"/>
        </w:rPr>
        <w:t xml:space="preserve">for </w:t>
      </w:r>
      <w:r w:rsidRPr="00DF5904">
        <w:rPr>
          <w:rFonts w:cs="Arial"/>
          <w:sz w:val="24"/>
          <w:szCs w:val="24"/>
        </w:rPr>
        <w:t xml:space="preserve">comfort care. They hint at limiting curative therapies or refuse specific treatments that </w:t>
      </w:r>
      <w:proofErr w:type="gramStart"/>
      <w:r w:rsidRPr="00DF5904">
        <w:rPr>
          <w:rFonts w:cs="Arial"/>
          <w:sz w:val="24"/>
          <w:szCs w:val="24"/>
        </w:rPr>
        <w:t>are seen</w:t>
      </w:r>
      <w:proofErr w:type="gramEnd"/>
      <w:r w:rsidRPr="00DF5904">
        <w:rPr>
          <w:rFonts w:cs="Arial"/>
          <w:sz w:val="24"/>
          <w:szCs w:val="24"/>
        </w:rPr>
        <w:t xml:space="preserve"> as curative.</w:t>
      </w:r>
    </w:p>
    <w:p w:rsidR="00DA097B" w:rsidRPr="00DF5904" w:rsidRDefault="00DA097B" w:rsidP="004C7D8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Verdana"/>
          <w:sz w:val="28"/>
          <w:szCs w:val="28"/>
        </w:rPr>
      </w:pPr>
      <w:r w:rsidRPr="00DF5904">
        <w:rPr>
          <w:rFonts w:cs="Verdana"/>
          <w:sz w:val="28"/>
          <w:szCs w:val="28"/>
        </w:rPr>
        <w:t xml:space="preserve">□ </w:t>
      </w:r>
      <w:r w:rsidR="00696C99" w:rsidRPr="00DF5904">
        <w:rPr>
          <w:rFonts w:cs="Verdana"/>
          <w:sz w:val="24"/>
          <w:szCs w:val="24"/>
        </w:rPr>
        <w:t>Yes</w:t>
      </w:r>
      <w:r w:rsidRPr="00DF5904">
        <w:rPr>
          <w:rFonts w:cs="Verdana"/>
          <w:sz w:val="28"/>
          <w:szCs w:val="28"/>
        </w:rPr>
        <w:tab/>
      </w:r>
      <w:r w:rsidRPr="00DF5904">
        <w:rPr>
          <w:rFonts w:cs="Verdana"/>
          <w:sz w:val="28"/>
          <w:szCs w:val="28"/>
        </w:rPr>
        <w:tab/>
        <w:t xml:space="preserve">□ </w:t>
      </w:r>
      <w:r w:rsidR="00696C99" w:rsidRPr="00DF5904">
        <w:rPr>
          <w:rFonts w:cs="Verdana"/>
          <w:sz w:val="24"/>
          <w:szCs w:val="24"/>
        </w:rPr>
        <w:t>No</w:t>
      </w:r>
      <w:r w:rsidRPr="00DF5904">
        <w:rPr>
          <w:rFonts w:cs="Verdana"/>
          <w:sz w:val="24"/>
          <w:szCs w:val="24"/>
        </w:rPr>
        <w:t xml:space="preserve"> </w:t>
      </w:r>
    </w:p>
    <w:p w:rsidR="00DA097B" w:rsidRPr="00DF5904" w:rsidRDefault="00696C99" w:rsidP="004C7D8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Verdana"/>
          <w:sz w:val="24"/>
          <w:szCs w:val="24"/>
        </w:rPr>
      </w:pPr>
      <w:r w:rsidRPr="00DF5904">
        <w:rPr>
          <w:rFonts w:cs="Verdana"/>
          <w:sz w:val="24"/>
          <w:szCs w:val="24"/>
        </w:rPr>
        <w:t>If no</w:t>
      </w:r>
      <w:r w:rsidR="006B3B8D" w:rsidRPr="00DF5904">
        <w:rPr>
          <w:rFonts w:cs="Verdana"/>
          <w:sz w:val="24"/>
          <w:szCs w:val="24"/>
        </w:rPr>
        <w:t>t</w:t>
      </w:r>
      <w:r w:rsidRPr="00DF5904">
        <w:rPr>
          <w:rFonts w:cs="Verdana"/>
          <w:sz w:val="24"/>
          <w:szCs w:val="24"/>
        </w:rPr>
        <w:t>, what do you propose</w:t>
      </w:r>
      <w:r w:rsidR="00DA097B" w:rsidRPr="00DF5904">
        <w:rPr>
          <w:rFonts w:cs="Verdana"/>
          <w:sz w:val="24"/>
          <w:szCs w:val="24"/>
        </w:rPr>
        <w:t> ?</w:t>
      </w:r>
    </w:p>
    <w:p w:rsidR="00DA097B" w:rsidRPr="00DF5904" w:rsidRDefault="00DA097B" w:rsidP="004C7D8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Verdana"/>
          <w:sz w:val="24"/>
          <w:szCs w:val="24"/>
        </w:rPr>
      </w:pPr>
    </w:p>
    <w:p w:rsidR="00443267" w:rsidRPr="00DF5904" w:rsidRDefault="00443267" w:rsidP="004C7D8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Verdana"/>
          <w:sz w:val="24"/>
          <w:szCs w:val="24"/>
        </w:rPr>
      </w:pPr>
    </w:p>
    <w:p w:rsidR="00443267" w:rsidRPr="00DF5904" w:rsidRDefault="00443267" w:rsidP="004C7D81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Verdana"/>
          <w:sz w:val="24"/>
          <w:szCs w:val="24"/>
        </w:rPr>
      </w:pPr>
    </w:p>
    <w:p w:rsidR="00572B76" w:rsidRPr="00DF5904" w:rsidRDefault="00696C99" w:rsidP="004C7D81">
      <w:pPr>
        <w:jc w:val="center"/>
        <w:rPr>
          <w:b/>
          <w:sz w:val="24"/>
          <w:szCs w:val="24"/>
          <w:lang w:val="fr-CH"/>
        </w:rPr>
      </w:pPr>
      <w:proofErr w:type="spellStart"/>
      <w:r w:rsidRPr="00DF5904">
        <w:rPr>
          <w:b/>
          <w:sz w:val="24"/>
          <w:szCs w:val="24"/>
          <w:lang w:val="fr-CH"/>
        </w:rPr>
        <w:t>Thank</w:t>
      </w:r>
      <w:proofErr w:type="spellEnd"/>
      <w:r w:rsidRPr="00DF5904">
        <w:rPr>
          <w:b/>
          <w:sz w:val="24"/>
          <w:szCs w:val="24"/>
          <w:lang w:val="fr-CH"/>
        </w:rPr>
        <w:t xml:space="preserve"> </w:t>
      </w:r>
      <w:proofErr w:type="spellStart"/>
      <w:r w:rsidRPr="00DF5904">
        <w:rPr>
          <w:b/>
          <w:sz w:val="24"/>
          <w:szCs w:val="24"/>
          <w:lang w:val="fr-CH"/>
        </w:rPr>
        <w:t>you</w:t>
      </w:r>
      <w:proofErr w:type="spellEnd"/>
      <w:r w:rsidRPr="00DF5904">
        <w:rPr>
          <w:b/>
          <w:sz w:val="24"/>
          <w:szCs w:val="24"/>
          <w:lang w:val="fr-CH"/>
        </w:rPr>
        <w:t xml:space="preserve"> for </w:t>
      </w:r>
      <w:proofErr w:type="spellStart"/>
      <w:r w:rsidRPr="00DF5904">
        <w:rPr>
          <w:b/>
          <w:sz w:val="24"/>
          <w:szCs w:val="24"/>
          <w:lang w:val="fr-CH"/>
        </w:rPr>
        <w:t>your</w:t>
      </w:r>
      <w:proofErr w:type="spellEnd"/>
      <w:r w:rsidRPr="00DF5904">
        <w:rPr>
          <w:b/>
          <w:sz w:val="24"/>
          <w:szCs w:val="24"/>
          <w:lang w:val="fr-CH"/>
        </w:rPr>
        <w:t xml:space="preserve"> participation</w:t>
      </w:r>
    </w:p>
    <w:sectPr w:rsidR="00572B76" w:rsidRPr="00DF5904" w:rsidSect="00D8086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A4" w:rsidRDefault="00E61AA4" w:rsidP="00752246">
      <w:pPr>
        <w:spacing w:after="0" w:line="240" w:lineRule="auto"/>
      </w:pPr>
      <w:r>
        <w:separator/>
      </w:r>
    </w:p>
  </w:endnote>
  <w:endnote w:type="continuationSeparator" w:id="0">
    <w:p w:rsidR="00E61AA4" w:rsidRDefault="00E61AA4" w:rsidP="0075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A4" w:rsidRDefault="00E61AA4" w:rsidP="00752246">
      <w:pPr>
        <w:spacing w:after="0" w:line="240" w:lineRule="auto"/>
      </w:pPr>
      <w:r>
        <w:separator/>
      </w:r>
    </w:p>
  </w:footnote>
  <w:footnote w:type="continuationSeparator" w:id="0">
    <w:p w:rsidR="00E61AA4" w:rsidRDefault="00E61AA4" w:rsidP="0075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474693"/>
      <w:docPartObj>
        <w:docPartGallery w:val="Page Numbers (Top of Page)"/>
        <w:docPartUnique/>
      </w:docPartObj>
    </w:sdtPr>
    <w:sdtEndPr/>
    <w:sdtContent>
      <w:p w:rsidR="00227F9A" w:rsidRDefault="00227F9A">
        <w:pPr>
          <w:pStyle w:val="En-tte"/>
          <w:jc w:val="right"/>
        </w:pPr>
        <w:r w:rsidRPr="008F1E70">
          <w:rPr>
            <w:noProof/>
            <w:lang w:val="fr-CH" w:eastAsia="fr-CH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209550</wp:posOffset>
              </wp:positionV>
              <wp:extent cx="2647950" cy="666750"/>
              <wp:effectExtent l="19050" t="0" r="0" b="0"/>
              <wp:wrapThrough wrapText="bothSides">
                <wp:wrapPolygon edited="0">
                  <wp:start x="155" y="0"/>
                  <wp:lineTo x="-155" y="8640"/>
                  <wp:lineTo x="155" y="11726"/>
                  <wp:lineTo x="4817" y="16663"/>
                  <wp:lineTo x="6216" y="16663"/>
                  <wp:lineTo x="13053" y="16663"/>
                  <wp:lineTo x="13209" y="10491"/>
                  <wp:lineTo x="13209" y="9874"/>
                  <wp:lineTo x="16627" y="9874"/>
                  <wp:lineTo x="16317" y="2469"/>
                  <wp:lineTo x="3885" y="0"/>
                  <wp:lineTo x="155" y="0"/>
                </wp:wrapPolygon>
              </wp:wrapThrough>
              <wp:docPr id="2" name="Picture 1" descr="F:\idCHUV_lettre-2\word\media\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:\idCHUV_lettre-2\word\media\image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4795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6B3B8D">
          <w:fldChar w:fldCharType="begin"/>
        </w:r>
        <w:r w:rsidR="006B3B8D">
          <w:instrText>PAGE   \* MERGEFORMAT</w:instrText>
        </w:r>
        <w:r w:rsidR="006B3B8D">
          <w:fldChar w:fldCharType="separate"/>
        </w:r>
        <w:r w:rsidR="004C7D81" w:rsidRPr="004C7D81">
          <w:rPr>
            <w:noProof/>
            <w:lang w:val="fr-FR"/>
          </w:rPr>
          <w:t>4</w:t>
        </w:r>
        <w:r w:rsidR="006B3B8D">
          <w:rPr>
            <w:noProof/>
            <w:lang w:val="fr-FR"/>
          </w:rPr>
          <w:fldChar w:fldCharType="end"/>
        </w:r>
      </w:p>
    </w:sdtContent>
  </w:sdt>
  <w:p w:rsidR="00227F9A" w:rsidRDefault="00227F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ECE"/>
    <w:multiLevelType w:val="hybridMultilevel"/>
    <w:tmpl w:val="DB5CDF8E"/>
    <w:lvl w:ilvl="0" w:tplc="10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E15"/>
    <w:multiLevelType w:val="hybridMultilevel"/>
    <w:tmpl w:val="8FB240E8"/>
    <w:lvl w:ilvl="0" w:tplc="B71ACE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3206"/>
    <w:multiLevelType w:val="hybridMultilevel"/>
    <w:tmpl w:val="16CCD12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CC0"/>
    <w:multiLevelType w:val="hybridMultilevel"/>
    <w:tmpl w:val="CDF24118"/>
    <w:lvl w:ilvl="0" w:tplc="10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C359C"/>
    <w:multiLevelType w:val="hybridMultilevel"/>
    <w:tmpl w:val="0AF6009E"/>
    <w:lvl w:ilvl="0" w:tplc="03566D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Verdana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762D"/>
    <w:multiLevelType w:val="hybridMultilevel"/>
    <w:tmpl w:val="CBF62C1A"/>
    <w:lvl w:ilvl="0" w:tplc="10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FD01F4"/>
    <w:multiLevelType w:val="hybridMultilevel"/>
    <w:tmpl w:val="5F3297CE"/>
    <w:lvl w:ilvl="0" w:tplc="10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B751A6B"/>
    <w:multiLevelType w:val="hybridMultilevel"/>
    <w:tmpl w:val="6AA01B0E"/>
    <w:lvl w:ilvl="0" w:tplc="10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AB676C"/>
    <w:multiLevelType w:val="hybridMultilevel"/>
    <w:tmpl w:val="F824311C"/>
    <w:lvl w:ilvl="0" w:tplc="5BA42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2435B"/>
    <w:multiLevelType w:val="hybridMultilevel"/>
    <w:tmpl w:val="84DA3A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C35E6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46"/>
    <w:rsid w:val="000C2CB5"/>
    <w:rsid w:val="000D52D1"/>
    <w:rsid w:val="000F1007"/>
    <w:rsid w:val="000F276D"/>
    <w:rsid w:val="000F7A68"/>
    <w:rsid w:val="00110606"/>
    <w:rsid w:val="00180791"/>
    <w:rsid w:val="00194AF7"/>
    <w:rsid w:val="001C7E4D"/>
    <w:rsid w:val="001F0F53"/>
    <w:rsid w:val="002111E1"/>
    <w:rsid w:val="002266D7"/>
    <w:rsid w:val="00227F9A"/>
    <w:rsid w:val="00232837"/>
    <w:rsid w:val="00287DA2"/>
    <w:rsid w:val="00312764"/>
    <w:rsid w:val="0032037C"/>
    <w:rsid w:val="00332BFA"/>
    <w:rsid w:val="00384D8F"/>
    <w:rsid w:val="003C7763"/>
    <w:rsid w:val="0041094E"/>
    <w:rsid w:val="004158E3"/>
    <w:rsid w:val="0043136F"/>
    <w:rsid w:val="00443267"/>
    <w:rsid w:val="00460D66"/>
    <w:rsid w:val="00461AA0"/>
    <w:rsid w:val="0048498B"/>
    <w:rsid w:val="00486590"/>
    <w:rsid w:val="00492B2F"/>
    <w:rsid w:val="004A2AF5"/>
    <w:rsid w:val="004C7D81"/>
    <w:rsid w:val="00535ADE"/>
    <w:rsid w:val="00572B76"/>
    <w:rsid w:val="005C57BC"/>
    <w:rsid w:val="005F26C2"/>
    <w:rsid w:val="006041DA"/>
    <w:rsid w:val="00604692"/>
    <w:rsid w:val="00672FC3"/>
    <w:rsid w:val="00696C99"/>
    <w:rsid w:val="006B2B67"/>
    <w:rsid w:val="006B3B8D"/>
    <w:rsid w:val="006C22BA"/>
    <w:rsid w:val="006D607D"/>
    <w:rsid w:val="00720CAE"/>
    <w:rsid w:val="00724DAD"/>
    <w:rsid w:val="00752246"/>
    <w:rsid w:val="00772E14"/>
    <w:rsid w:val="00793FBD"/>
    <w:rsid w:val="007C6753"/>
    <w:rsid w:val="007D302A"/>
    <w:rsid w:val="00844032"/>
    <w:rsid w:val="00877AA4"/>
    <w:rsid w:val="00886BB9"/>
    <w:rsid w:val="008A0187"/>
    <w:rsid w:val="008F1E70"/>
    <w:rsid w:val="009D70A3"/>
    <w:rsid w:val="009E4E59"/>
    <w:rsid w:val="00A25244"/>
    <w:rsid w:val="00A47740"/>
    <w:rsid w:val="00A60EF2"/>
    <w:rsid w:val="00A91A80"/>
    <w:rsid w:val="00AE4021"/>
    <w:rsid w:val="00B55CBD"/>
    <w:rsid w:val="00BE7892"/>
    <w:rsid w:val="00C249B6"/>
    <w:rsid w:val="00C85997"/>
    <w:rsid w:val="00C85C53"/>
    <w:rsid w:val="00C93BAB"/>
    <w:rsid w:val="00CA6093"/>
    <w:rsid w:val="00CE6E2F"/>
    <w:rsid w:val="00D16CF1"/>
    <w:rsid w:val="00D5527A"/>
    <w:rsid w:val="00D80866"/>
    <w:rsid w:val="00D94CDF"/>
    <w:rsid w:val="00DA097B"/>
    <w:rsid w:val="00DF07A5"/>
    <w:rsid w:val="00DF5904"/>
    <w:rsid w:val="00E232F6"/>
    <w:rsid w:val="00E61AA4"/>
    <w:rsid w:val="00E767B8"/>
    <w:rsid w:val="00E83472"/>
    <w:rsid w:val="00E93FC2"/>
    <w:rsid w:val="00EA3558"/>
    <w:rsid w:val="00EF0659"/>
    <w:rsid w:val="00F37DE8"/>
    <w:rsid w:val="00F911F1"/>
    <w:rsid w:val="00FC3F97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70AE7F1"/>
  <w15:docId w15:val="{68A68614-1F16-4089-9D7B-15BF5383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46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Paragraphedeliste">
    <w:name w:val="List Paragraph"/>
    <w:basedOn w:val="Normal"/>
    <w:uiPriority w:val="34"/>
    <w:qFormat/>
    <w:rsid w:val="0075224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22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2246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75224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A2AF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8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86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8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86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753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C6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6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6753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6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675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DD96-AF18-4C01-8181-2E823640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Lüthi</dc:creator>
  <cp:lastModifiedBy>Teike Luethi Fabienne</cp:lastModifiedBy>
  <cp:revision>6</cp:revision>
  <cp:lastPrinted>2020-01-30T10:18:00Z</cp:lastPrinted>
  <dcterms:created xsi:type="dcterms:W3CDTF">2020-01-31T08:54:00Z</dcterms:created>
  <dcterms:modified xsi:type="dcterms:W3CDTF">2020-02-02T19:11:00Z</dcterms:modified>
</cp:coreProperties>
</file>