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843" w:rsidRPr="002762B9" w:rsidRDefault="00962843" w:rsidP="00962843">
      <w:pPr>
        <w:spacing w:line="480" w:lineRule="auto"/>
        <w:rPr>
          <w:rStyle w:val="Strong"/>
          <w:lang w:val="en-US"/>
        </w:rPr>
      </w:pPr>
      <w:r>
        <w:rPr>
          <w:rStyle w:val="Strong"/>
          <w:lang w:val="en-US"/>
        </w:rPr>
        <w:t>Additional file</w:t>
      </w:r>
      <w:r w:rsidR="00F32381">
        <w:rPr>
          <w:rStyle w:val="Strong"/>
          <w:lang w:val="en-US"/>
        </w:rPr>
        <w:t xml:space="preserve"> 4</w:t>
      </w:r>
      <w:bookmarkStart w:id="0" w:name="_GoBack"/>
      <w:bookmarkEnd w:id="0"/>
      <w:r w:rsidRPr="002762B9">
        <w:rPr>
          <w:rStyle w:val="Strong"/>
          <w:lang w:val="en-US"/>
        </w:rPr>
        <w:t xml:space="preserve"> – Referred patients analyzed by EPs per specialty</w:t>
      </w:r>
    </w:p>
    <w:p w:rsidR="00962843" w:rsidRPr="00962843" w:rsidRDefault="00962843" w:rsidP="00962843">
      <w:pPr>
        <w:spacing w:line="480" w:lineRule="auto"/>
        <w:jc w:val="both"/>
        <w:rPr>
          <w:rStyle w:val="Strong"/>
          <w:b w:val="0"/>
          <w:lang w:val="en-US"/>
        </w:rPr>
      </w:pPr>
      <w:r w:rsidRPr="00962843">
        <w:rPr>
          <w:rStyle w:val="Strong"/>
          <w:b w:val="0"/>
          <w:lang w:val="en-US"/>
        </w:rPr>
        <w:t>Missing data was 24.6% (n=16) of EDs, and 4.6% (n=3) gave unclear answers. These respondents are excluded from both the table and figure. The total number of EDs included is 65.</w:t>
      </w:r>
    </w:p>
    <w:tbl>
      <w:tblPr>
        <w:tblW w:w="56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070"/>
        <w:gridCol w:w="1276"/>
        <w:gridCol w:w="1559"/>
      </w:tblGrid>
      <w:tr w:rsidR="00962843" w:rsidRPr="00F32381" w:rsidTr="009525B8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43" w:rsidRPr="004F26D7" w:rsidRDefault="00962843" w:rsidP="009525B8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</w:p>
        </w:tc>
        <w:tc>
          <w:tcPr>
            <w:tcW w:w="3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43" w:rsidRPr="00B14A7B" w:rsidRDefault="00962843" w:rsidP="009525B8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B14A7B">
              <w:rPr>
                <w:rFonts w:ascii="Calibri" w:eastAsia="Times New Roman" w:hAnsi="Calibri" w:cs="Calibri"/>
                <w:color w:val="000000"/>
                <w:lang w:val="en-US" w:eastAsia="nl-NL"/>
              </w:rPr>
              <w:t>Referred patients can be analyzed by EPs</w:t>
            </w:r>
          </w:p>
        </w:tc>
      </w:tr>
      <w:tr w:rsidR="00962843" w:rsidRPr="00B14A7B" w:rsidTr="009525B8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43" w:rsidRPr="00B14A7B" w:rsidRDefault="00962843" w:rsidP="009525B8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14A7B">
              <w:rPr>
                <w:rFonts w:ascii="Calibri" w:eastAsia="Times New Roman" w:hAnsi="Calibri" w:cs="Calibri"/>
                <w:color w:val="000000"/>
                <w:lang w:eastAsia="nl-NL"/>
              </w:rPr>
              <w:t>Specialty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43" w:rsidRPr="00B14A7B" w:rsidRDefault="00962843" w:rsidP="009525B8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14A7B">
              <w:rPr>
                <w:rFonts w:ascii="Calibri" w:eastAsia="Times New Roman" w:hAnsi="Calibri" w:cs="Calibri"/>
                <w:color w:val="000000"/>
                <w:lang w:eastAsia="nl-NL"/>
              </w:rPr>
              <w:t>Never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43" w:rsidRPr="00B14A7B" w:rsidRDefault="00962843" w:rsidP="009525B8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14A7B">
              <w:rPr>
                <w:rFonts w:ascii="Calibri" w:eastAsia="Times New Roman" w:hAnsi="Calibri" w:cs="Calibri"/>
                <w:color w:val="000000"/>
                <w:lang w:eastAsia="nl-NL"/>
              </w:rPr>
              <w:t>Always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43" w:rsidRPr="00B14A7B" w:rsidRDefault="00962843" w:rsidP="009525B8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14A7B">
              <w:rPr>
                <w:rFonts w:ascii="Calibri" w:eastAsia="Times New Roman" w:hAnsi="Calibri" w:cs="Calibri"/>
                <w:color w:val="000000"/>
                <w:lang w:eastAsia="nl-NL"/>
              </w:rPr>
              <w:t>Sometimes</w:t>
            </w:r>
          </w:p>
        </w:tc>
      </w:tr>
      <w:tr w:rsidR="00962843" w:rsidRPr="00B14A7B" w:rsidTr="009525B8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43" w:rsidRPr="00B14A7B" w:rsidRDefault="00962843" w:rsidP="009525B8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14A7B">
              <w:rPr>
                <w:rFonts w:ascii="Calibri" w:eastAsia="Times New Roman" w:hAnsi="Calibri" w:cs="Calibri"/>
                <w:color w:val="000000"/>
                <w:lang w:eastAsia="nl-NL"/>
              </w:rPr>
              <w:t>Cardiology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43" w:rsidRPr="00B14A7B" w:rsidRDefault="00962843" w:rsidP="009525B8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14A7B">
              <w:rPr>
                <w:rFonts w:ascii="Calibri" w:eastAsia="Times New Roman" w:hAnsi="Calibri" w:cs="Calibri"/>
                <w:color w:val="000000"/>
                <w:lang w:eastAsia="nl-N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43" w:rsidRPr="00B14A7B" w:rsidRDefault="00962843" w:rsidP="009525B8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14A7B">
              <w:rPr>
                <w:rFonts w:ascii="Calibri" w:eastAsia="Times New Roman" w:hAnsi="Calibri" w:cs="Calibri"/>
                <w:color w:val="000000"/>
                <w:lang w:eastAsia="nl-NL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43" w:rsidRPr="00B14A7B" w:rsidRDefault="00962843" w:rsidP="009525B8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14A7B">
              <w:rPr>
                <w:rFonts w:ascii="Calibri" w:eastAsia="Times New Roman" w:hAnsi="Calibri" w:cs="Calibri"/>
                <w:color w:val="000000"/>
                <w:lang w:eastAsia="nl-NL"/>
              </w:rPr>
              <w:t>4</w:t>
            </w:r>
          </w:p>
        </w:tc>
      </w:tr>
      <w:tr w:rsidR="00962843" w:rsidRPr="00B14A7B" w:rsidTr="009525B8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43" w:rsidRPr="00B14A7B" w:rsidRDefault="00962843" w:rsidP="009525B8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14A7B">
              <w:rPr>
                <w:rFonts w:ascii="Calibri" w:eastAsia="Times New Roman" w:hAnsi="Calibri" w:cs="Calibri"/>
                <w:color w:val="000000"/>
                <w:lang w:eastAsia="nl-NL"/>
              </w:rPr>
              <w:t>Gastroenterology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43" w:rsidRPr="00B14A7B" w:rsidRDefault="00962843" w:rsidP="009525B8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14A7B">
              <w:rPr>
                <w:rFonts w:ascii="Calibri" w:eastAsia="Times New Roman" w:hAnsi="Calibri" w:cs="Calibri"/>
                <w:color w:val="000000"/>
                <w:lang w:eastAsia="nl-N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43" w:rsidRPr="00B14A7B" w:rsidRDefault="00962843" w:rsidP="009525B8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14A7B">
              <w:rPr>
                <w:rFonts w:ascii="Calibri" w:eastAsia="Times New Roman" w:hAnsi="Calibri" w:cs="Calibri"/>
                <w:color w:val="000000"/>
                <w:lang w:eastAsia="nl-NL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43" w:rsidRPr="00B14A7B" w:rsidRDefault="00962843" w:rsidP="009525B8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14A7B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</w:tr>
      <w:tr w:rsidR="00962843" w:rsidRPr="00B14A7B" w:rsidTr="009525B8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43" w:rsidRPr="00B14A7B" w:rsidRDefault="00962843" w:rsidP="009525B8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14A7B">
              <w:rPr>
                <w:rFonts w:ascii="Calibri" w:eastAsia="Times New Roman" w:hAnsi="Calibri" w:cs="Calibri"/>
                <w:color w:val="000000"/>
                <w:lang w:eastAsia="nl-NL"/>
              </w:rPr>
              <w:t>Geriatrics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43" w:rsidRPr="00B14A7B" w:rsidRDefault="00962843" w:rsidP="009525B8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14A7B"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43" w:rsidRPr="00B14A7B" w:rsidRDefault="00962843" w:rsidP="009525B8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14A7B">
              <w:rPr>
                <w:rFonts w:ascii="Calibri" w:eastAsia="Times New Roman" w:hAnsi="Calibri" w:cs="Calibri"/>
                <w:color w:val="000000"/>
                <w:lang w:eastAsia="nl-NL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43" w:rsidRPr="00B14A7B" w:rsidRDefault="00962843" w:rsidP="009525B8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14A7B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</w:tr>
      <w:tr w:rsidR="00962843" w:rsidRPr="00B14A7B" w:rsidTr="009525B8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43" w:rsidRPr="00B14A7B" w:rsidRDefault="00962843" w:rsidP="009525B8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14A7B">
              <w:rPr>
                <w:rFonts w:ascii="Calibri" w:eastAsia="Times New Roman" w:hAnsi="Calibri" w:cs="Calibri"/>
                <w:color w:val="000000"/>
                <w:lang w:eastAsia="nl-NL"/>
              </w:rPr>
              <w:t>Internal medicine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43" w:rsidRPr="00B14A7B" w:rsidRDefault="00962843" w:rsidP="009525B8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14A7B"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43" w:rsidRPr="00B14A7B" w:rsidRDefault="00962843" w:rsidP="009525B8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14A7B">
              <w:rPr>
                <w:rFonts w:ascii="Calibri" w:eastAsia="Times New Roman" w:hAnsi="Calibri" w:cs="Calibri"/>
                <w:color w:val="000000"/>
                <w:lang w:eastAsia="nl-NL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43" w:rsidRPr="00B14A7B" w:rsidRDefault="00962843" w:rsidP="009525B8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14A7B">
              <w:rPr>
                <w:rFonts w:ascii="Calibri" w:eastAsia="Times New Roman" w:hAnsi="Calibri" w:cs="Calibri"/>
                <w:color w:val="000000"/>
                <w:lang w:eastAsia="nl-NL"/>
              </w:rPr>
              <w:t>6</w:t>
            </w:r>
          </w:p>
        </w:tc>
      </w:tr>
      <w:tr w:rsidR="00962843" w:rsidRPr="00B14A7B" w:rsidTr="009525B8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43" w:rsidRPr="00B14A7B" w:rsidRDefault="00962843" w:rsidP="009525B8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14A7B">
              <w:rPr>
                <w:rFonts w:ascii="Calibri" w:eastAsia="Times New Roman" w:hAnsi="Calibri" w:cs="Calibri"/>
                <w:color w:val="000000"/>
                <w:lang w:eastAsia="nl-NL"/>
              </w:rPr>
              <w:t>Neurology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43" w:rsidRPr="00B14A7B" w:rsidRDefault="00962843" w:rsidP="009525B8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14A7B">
              <w:rPr>
                <w:rFonts w:ascii="Calibri" w:eastAsia="Times New Roman" w:hAnsi="Calibri" w:cs="Calibri"/>
                <w:color w:val="000000"/>
                <w:lang w:eastAsia="nl-NL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43" w:rsidRPr="00B14A7B" w:rsidRDefault="00962843" w:rsidP="009525B8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14A7B">
              <w:rPr>
                <w:rFonts w:ascii="Calibri" w:eastAsia="Times New Roman" w:hAnsi="Calibri" w:cs="Calibri"/>
                <w:color w:val="000000"/>
                <w:lang w:eastAsia="nl-NL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43" w:rsidRPr="00B14A7B" w:rsidRDefault="00962843" w:rsidP="009525B8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14A7B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</w:tr>
      <w:tr w:rsidR="00962843" w:rsidRPr="00B14A7B" w:rsidTr="009525B8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43" w:rsidRPr="00B14A7B" w:rsidRDefault="00962843" w:rsidP="009525B8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14A7B">
              <w:rPr>
                <w:rFonts w:ascii="Calibri" w:eastAsia="Times New Roman" w:hAnsi="Calibri" w:cs="Calibri"/>
                <w:color w:val="000000"/>
                <w:lang w:eastAsia="nl-NL"/>
              </w:rPr>
              <w:t>O&amp;G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43" w:rsidRPr="00B14A7B" w:rsidRDefault="00962843" w:rsidP="009525B8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14A7B">
              <w:rPr>
                <w:rFonts w:ascii="Calibri" w:eastAsia="Times New Roman" w:hAnsi="Calibri" w:cs="Calibri"/>
                <w:color w:val="000000"/>
                <w:lang w:eastAsia="nl-NL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43" w:rsidRPr="00B14A7B" w:rsidRDefault="00962843" w:rsidP="009525B8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14A7B">
              <w:rPr>
                <w:rFonts w:ascii="Calibri" w:eastAsia="Times New Roman" w:hAnsi="Calibri" w:cs="Calibri"/>
                <w:color w:val="000000"/>
                <w:lang w:eastAsia="nl-NL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43" w:rsidRPr="00B14A7B" w:rsidRDefault="00962843" w:rsidP="009525B8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14A7B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</w:tr>
      <w:tr w:rsidR="00962843" w:rsidRPr="00B14A7B" w:rsidTr="009525B8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43" w:rsidRPr="00B14A7B" w:rsidRDefault="00962843" w:rsidP="009525B8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14A7B">
              <w:rPr>
                <w:rFonts w:ascii="Calibri" w:eastAsia="Times New Roman" w:hAnsi="Calibri" w:cs="Calibri"/>
                <w:color w:val="000000"/>
                <w:lang w:eastAsia="nl-NL"/>
              </w:rPr>
              <w:t>OMS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43" w:rsidRPr="00B14A7B" w:rsidRDefault="00962843" w:rsidP="009525B8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14A7B">
              <w:rPr>
                <w:rFonts w:ascii="Calibri" w:eastAsia="Times New Roman" w:hAnsi="Calibri" w:cs="Calibri"/>
                <w:color w:val="000000"/>
                <w:lang w:eastAsia="nl-N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43" w:rsidRPr="00B14A7B" w:rsidRDefault="00962843" w:rsidP="009525B8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14A7B">
              <w:rPr>
                <w:rFonts w:ascii="Calibri" w:eastAsia="Times New Roman" w:hAnsi="Calibri" w:cs="Calibri"/>
                <w:color w:val="000000"/>
                <w:lang w:eastAsia="nl-NL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43" w:rsidRPr="00B14A7B" w:rsidRDefault="00962843" w:rsidP="009525B8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14A7B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</w:tr>
      <w:tr w:rsidR="00962843" w:rsidRPr="00B14A7B" w:rsidTr="009525B8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43" w:rsidRPr="00B14A7B" w:rsidRDefault="00962843" w:rsidP="009525B8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14A7B">
              <w:rPr>
                <w:rFonts w:ascii="Calibri" w:eastAsia="Times New Roman" w:hAnsi="Calibri" w:cs="Calibri"/>
                <w:color w:val="000000"/>
                <w:lang w:eastAsia="nl-NL"/>
              </w:rPr>
              <w:t>Opthalmology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43" w:rsidRPr="00B14A7B" w:rsidRDefault="00962843" w:rsidP="009525B8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14A7B">
              <w:rPr>
                <w:rFonts w:ascii="Calibri" w:eastAsia="Times New Roman" w:hAnsi="Calibri" w:cs="Calibri"/>
                <w:color w:val="000000"/>
                <w:lang w:eastAsia="nl-NL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43" w:rsidRPr="00B14A7B" w:rsidRDefault="00962843" w:rsidP="009525B8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14A7B">
              <w:rPr>
                <w:rFonts w:ascii="Calibri" w:eastAsia="Times New Roman" w:hAnsi="Calibri" w:cs="Calibri"/>
                <w:color w:val="000000"/>
                <w:lang w:eastAsia="nl-NL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43" w:rsidRPr="00B14A7B" w:rsidRDefault="00962843" w:rsidP="009525B8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14A7B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</w:tr>
      <w:tr w:rsidR="00962843" w:rsidRPr="00B14A7B" w:rsidTr="009525B8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43" w:rsidRPr="00B14A7B" w:rsidRDefault="00962843" w:rsidP="009525B8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14A7B">
              <w:rPr>
                <w:rFonts w:ascii="Calibri" w:eastAsia="Times New Roman" w:hAnsi="Calibri" w:cs="Calibri"/>
                <w:color w:val="000000"/>
                <w:lang w:eastAsia="nl-NL"/>
              </w:rPr>
              <w:t>Orthopedics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43" w:rsidRPr="00B14A7B" w:rsidRDefault="00962843" w:rsidP="009525B8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14A7B"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43" w:rsidRPr="00B14A7B" w:rsidRDefault="00962843" w:rsidP="009525B8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14A7B">
              <w:rPr>
                <w:rFonts w:ascii="Calibri" w:eastAsia="Times New Roman" w:hAnsi="Calibri" w:cs="Calibri"/>
                <w:color w:val="000000"/>
                <w:lang w:eastAsia="nl-NL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43" w:rsidRPr="00B14A7B" w:rsidRDefault="00962843" w:rsidP="009525B8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14A7B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</w:tr>
      <w:tr w:rsidR="00962843" w:rsidRPr="00B14A7B" w:rsidTr="009525B8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43" w:rsidRPr="00B14A7B" w:rsidRDefault="00962843" w:rsidP="009525B8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14A7B">
              <w:rPr>
                <w:rFonts w:ascii="Calibri" w:eastAsia="Times New Roman" w:hAnsi="Calibri" w:cs="Calibri"/>
                <w:color w:val="000000"/>
                <w:lang w:eastAsia="nl-NL"/>
              </w:rPr>
              <w:t>Otolaryngology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43" w:rsidRPr="00B14A7B" w:rsidRDefault="00962843" w:rsidP="009525B8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14A7B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43" w:rsidRPr="00B14A7B" w:rsidRDefault="00962843" w:rsidP="009525B8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14A7B">
              <w:rPr>
                <w:rFonts w:ascii="Calibri" w:eastAsia="Times New Roman" w:hAnsi="Calibri" w:cs="Calibri"/>
                <w:color w:val="000000"/>
                <w:lang w:eastAsia="nl-NL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43" w:rsidRPr="00B14A7B" w:rsidRDefault="00962843" w:rsidP="009525B8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14A7B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</w:tr>
      <w:tr w:rsidR="00962843" w:rsidRPr="00B14A7B" w:rsidTr="009525B8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43" w:rsidRPr="00B14A7B" w:rsidRDefault="00962843" w:rsidP="009525B8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14A7B">
              <w:rPr>
                <w:rFonts w:ascii="Calibri" w:eastAsia="Times New Roman" w:hAnsi="Calibri" w:cs="Calibri"/>
                <w:color w:val="000000"/>
                <w:lang w:eastAsia="nl-NL"/>
              </w:rPr>
              <w:t>Pediatrics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43" w:rsidRPr="00B14A7B" w:rsidRDefault="00962843" w:rsidP="009525B8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14A7B">
              <w:rPr>
                <w:rFonts w:ascii="Calibri" w:eastAsia="Times New Roman" w:hAnsi="Calibri" w:cs="Calibri"/>
                <w:color w:val="000000"/>
                <w:lang w:eastAsia="nl-N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43" w:rsidRPr="00B14A7B" w:rsidRDefault="00962843" w:rsidP="009525B8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14A7B">
              <w:rPr>
                <w:rFonts w:ascii="Calibri" w:eastAsia="Times New Roman" w:hAnsi="Calibri" w:cs="Calibri"/>
                <w:color w:val="000000"/>
                <w:lang w:eastAsia="nl-NL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43" w:rsidRPr="00B14A7B" w:rsidRDefault="00962843" w:rsidP="009525B8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14A7B">
              <w:rPr>
                <w:rFonts w:ascii="Calibri" w:eastAsia="Times New Roman" w:hAnsi="Calibri" w:cs="Calibri"/>
                <w:color w:val="000000"/>
                <w:lang w:eastAsia="nl-NL"/>
              </w:rPr>
              <w:t>4</w:t>
            </w:r>
          </w:p>
        </w:tc>
      </w:tr>
      <w:tr w:rsidR="00962843" w:rsidRPr="00B14A7B" w:rsidTr="009525B8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43" w:rsidRPr="00B14A7B" w:rsidRDefault="00962843" w:rsidP="009525B8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14A7B">
              <w:rPr>
                <w:rFonts w:ascii="Calibri" w:eastAsia="Times New Roman" w:hAnsi="Calibri" w:cs="Calibri"/>
                <w:color w:val="000000"/>
                <w:lang w:eastAsia="nl-NL"/>
              </w:rPr>
              <w:t>Plastic surgery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43" w:rsidRPr="00B14A7B" w:rsidRDefault="00962843" w:rsidP="009525B8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14A7B">
              <w:rPr>
                <w:rFonts w:ascii="Calibri" w:eastAsia="Times New Roman" w:hAnsi="Calibri" w:cs="Calibri"/>
                <w:color w:val="000000"/>
                <w:lang w:eastAsia="nl-NL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43" w:rsidRPr="00B14A7B" w:rsidRDefault="00962843" w:rsidP="009525B8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14A7B">
              <w:rPr>
                <w:rFonts w:ascii="Calibri" w:eastAsia="Times New Roman" w:hAnsi="Calibri" w:cs="Calibri"/>
                <w:color w:val="000000"/>
                <w:lang w:eastAsia="nl-NL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43" w:rsidRPr="00B14A7B" w:rsidRDefault="00962843" w:rsidP="009525B8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14A7B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</w:tr>
      <w:tr w:rsidR="00962843" w:rsidRPr="00B14A7B" w:rsidTr="009525B8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43" w:rsidRPr="00B14A7B" w:rsidRDefault="00962843" w:rsidP="009525B8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14A7B">
              <w:rPr>
                <w:rFonts w:ascii="Calibri" w:eastAsia="Times New Roman" w:hAnsi="Calibri" w:cs="Calibri"/>
                <w:color w:val="000000"/>
                <w:lang w:eastAsia="nl-NL"/>
              </w:rPr>
              <w:t>Pulmonology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43" w:rsidRPr="00B14A7B" w:rsidRDefault="00962843" w:rsidP="009525B8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14A7B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43" w:rsidRPr="00B14A7B" w:rsidRDefault="00962843" w:rsidP="009525B8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14A7B">
              <w:rPr>
                <w:rFonts w:ascii="Calibri" w:eastAsia="Times New Roman" w:hAnsi="Calibri" w:cs="Calibri"/>
                <w:color w:val="000000"/>
                <w:lang w:eastAsia="nl-NL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43" w:rsidRPr="00B14A7B" w:rsidRDefault="00962843" w:rsidP="009525B8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14A7B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</w:tr>
      <w:tr w:rsidR="00962843" w:rsidRPr="00B14A7B" w:rsidTr="009525B8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43" w:rsidRPr="00B14A7B" w:rsidRDefault="00962843" w:rsidP="009525B8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14A7B">
              <w:rPr>
                <w:rFonts w:ascii="Calibri" w:eastAsia="Times New Roman" w:hAnsi="Calibri" w:cs="Calibri"/>
                <w:color w:val="000000"/>
                <w:lang w:eastAsia="nl-NL"/>
              </w:rPr>
              <w:t>Surgery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43" w:rsidRPr="00B14A7B" w:rsidRDefault="00962843" w:rsidP="009525B8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14A7B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43" w:rsidRPr="00B14A7B" w:rsidRDefault="00962843" w:rsidP="009525B8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14A7B">
              <w:rPr>
                <w:rFonts w:ascii="Calibri" w:eastAsia="Times New Roman" w:hAnsi="Calibri" w:cs="Calibri"/>
                <w:color w:val="000000"/>
                <w:lang w:eastAsia="nl-NL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43" w:rsidRPr="00B14A7B" w:rsidRDefault="00962843" w:rsidP="009525B8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14A7B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</w:tr>
      <w:tr w:rsidR="00962843" w:rsidRPr="00B14A7B" w:rsidTr="009525B8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43" w:rsidRPr="00B14A7B" w:rsidRDefault="00962843" w:rsidP="009525B8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14A7B">
              <w:rPr>
                <w:rFonts w:ascii="Calibri" w:eastAsia="Times New Roman" w:hAnsi="Calibri" w:cs="Calibri"/>
                <w:color w:val="000000"/>
                <w:lang w:eastAsia="nl-NL"/>
              </w:rPr>
              <w:t>Urology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43" w:rsidRPr="00B14A7B" w:rsidRDefault="00962843" w:rsidP="009525B8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14A7B">
              <w:rPr>
                <w:rFonts w:ascii="Calibri" w:eastAsia="Times New Roman" w:hAnsi="Calibri" w:cs="Calibri"/>
                <w:color w:val="000000"/>
                <w:lang w:eastAsia="nl-N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43" w:rsidRPr="00B14A7B" w:rsidRDefault="00962843" w:rsidP="009525B8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14A7B">
              <w:rPr>
                <w:rFonts w:ascii="Calibri" w:eastAsia="Times New Roman" w:hAnsi="Calibri" w:cs="Calibri"/>
                <w:color w:val="000000"/>
                <w:lang w:eastAsia="nl-NL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43" w:rsidRPr="00B14A7B" w:rsidRDefault="00962843" w:rsidP="009525B8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14A7B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</w:tr>
    </w:tbl>
    <w:p w:rsidR="00962843" w:rsidRPr="00962843" w:rsidRDefault="00962843" w:rsidP="00962843">
      <w:pPr>
        <w:spacing w:line="480" w:lineRule="auto"/>
        <w:rPr>
          <w:rStyle w:val="Strong"/>
          <w:b w:val="0"/>
          <w:lang w:val="en-US"/>
        </w:rPr>
      </w:pPr>
      <w:r w:rsidRPr="00962843">
        <w:rPr>
          <w:rStyle w:val="Strong"/>
          <w:b w:val="0"/>
          <w:lang w:val="en-US"/>
        </w:rPr>
        <w:t>Table 1: number of EDs in which local agreements allow EPs to analyze referred patients, sorted by specialty.</w:t>
      </w:r>
    </w:p>
    <w:p w:rsidR="00962843" w:rsidRPr="00962843" w:rsidRDefault="00962843" w:rsidP="00962843">
      <w:pPr>
        <w:spacing w:line="480" w:lineRule="auto"/>
        <w:rPr>
          <w:rStyle w:val="Strong"/>
          <w:b w:val="0"/>
          <w:lang w:val="en-US"/>
        </w:rPr>
      </w:pPr>
      <w:r w:rsidRPr="00962843">
        <w:rPr>
          <w:rStyle w:val="Strong"/>
          <w:b w:val="0"/>
          <w:lang w:val="en-US"/>
        </w:rPr>
        <w:t>Abbreviations used: O&amp;G ‘Obstetrics &amp; Gynecology’, OMS ‘Oral and Maxillofacial Surgery’.</w:t>
      </w:r>
    </w:p>
    <w:p w:rsidR="00962843" w:rsidRDefault="00962843" w:rsidP="00962843">
      <w:pPr>
        <w:spacing w:line="480" w:lineRule="auto"/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6505F430" wp14:editId="3075C7EE">
            <wp:extent cx="5562600" cy="3971925"/>
            <wp:effectExtent l="0" t="0" r="1905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62843" w:rsidRPr="00962843" w:rsidRDefault="00962843" w:rsidP="00962843">
      <w:pPr>
        <w:spacing w:line="480" w:lineRule="auto"/>
        <w:rPr>
          <w:rStyle w:val="Strong"/>
          <w:b w:val="0"/>
          <w:lang w:val="en-US"/>
        </w:rPr>
      </w:pPr>
      <w:r w:rsidRPr="00962843">
        <w:rPr>
          <w:rStyle w:val="Strong"/>
          <w:b w:val="0"/>
          <w:lang w:val="en-US"/>
        </w:rPr>
        <w:t>Figure 1: number of EDs in which local agreements allow EPs to analyze referred patients, sorted by specialty.</w:t>
      </w:r>
    </w:p>
    <w:p w:rsidR="00962843" w:rsidRPr="00962843" w:rsidRDefault="00962843" w:rsidP="00962843">
      <w:pPr>
        <w:spacing w:line="480" w:lineRule="auto"/>
        <w:rPr>
          <w:rStyle w:val="Strong"/>
          <w:b w:val="0"/>
          <w:lang w:val="en-US"/>
        </w:rPr>
      </w:pPr>
      <w:r w:rsidRPr="00962843">
        <w:rPr>
          <w:rStyle w:val="Strong"/>
          <w:b w:val="0"/>
          <w:lang w:val="en-US"/>
        </w:rPr>
        <w:t>Abbreviations used: O&amp;G ‘Obstetrics &amp; Gynecology’, OMS ‘Oral and Maxillofacial Surgery’.</w:t>
      </w:r>
    </w:p>
    <w:p w:rsidR="00962843" w:rsidRPr="00550724" w:rsidRDefault="00962843" w:rsidP="00962843">
      <w:pPr>
        <w:spacing w:line="480" w:lineRule="auto"/>
        <w:rPr>
          <w:lang w:val="en-US"/>
        </w:rPr>
      </w:pPr>
    </w:p>
    <w:p w:rsidR="00962843" w:rsidRPr="004276E2" w:rsidRDefault="00962843" w:rsidP="00962843">
      <w:pPr>
        <w:rPr>
          <w:lang w:val="en-US"/>
        </w:rPr>
      </w:pPr>
    </w:p>
    <w:p w:rsidR="00471EAD" w:rsidRPr="00962843" w:rsidRDefault="00471EAD">
      <w:pPr>
        <w:rPr>
          <w:lang w:val="en-US"/>
        </w:rPr>
      </w:pPr>
    </w:p>
    <w:sectPr w:rsidR="00471EAD" w:rsidRPr="0096284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96E" w:rsidRDefault="0094296E">
      <w:pPr>
        <w:spacing w:after="0" w:line="240" w:lineRule="auto"/>
      </w:pPr>
      <w:r>
        <w:separator/>
      </w:r>
    </w:p>
  </w:endnote>
  <w:endnote w:type="continuationSeparator" w:id="0">
    <w:p w:rsidR="0094296E" w:rsidRDefault="0094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96E" w:rsidRDefault="0094296E">
      <w:pPr>
        <w:spacing w:after="0" w:line="240" w:lineRule="auto"/>
      </w:pPr>
      <w:r>
        <w:separator/>
      </w:r>
    </w:p>
  </w:footnote>
  <w:footnote w:type="continuationSeparator" w:id="0">
    <w:p w:rsidR="0094296E" w:rsidRDefault="00942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7644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446D7A" w:rsidRDefault="0096284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23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6D7A" w:rsidRDefault="009429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43"/>
    <w:rsid w:val="00471EAD"/>
    <w:rsid w:val="0094296E"/>
    <w:rsid w:val="00962843"/>
    <w:rsid w:val="00BB3482"/>
    <w:rsid w:val="00F3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843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843"/>
    <w:rPr>
      <w:lang w:val="nl-NL"/>
    </w:rPr>
  </w:style>
  <w:style w:type="character" w:styleId="Strong">
    <w:name w:val="Strong"/>
    <w:basedOn w:val="DefaultParagraphFont"/>
    <w:uiPriority w:val="22"/>
    <w:qFormat/>
    <w:rsid w:val="0096284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843"/>
    <w:rPr>
      <w:rFonts w:ascii="Tahoma" w:hAnsi="Tahoma" w:cs="Tahoma"/>
      <w:sz w:val="16"/>
      <w:szCs w:val="16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843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843"/>
    <w:rPr>
      <w:lang w:val="nl-NL"/>
    </w:rPr>
  </w:style>
  <w:style w:type="character" w:styleId="Strong">
    <w:name w:val="Strong"/>
    <w:basedOn w:val="DefaultParagraphFont"/>
    <w:uiPriority w:val="22"/>
    <w:qFormat/>
    <w:rsid w:val="0096284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843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rah\Dropbox%20(Werk)\Onderzoek\2017%20New%20kids%20on%20the%20block\Wanneer%20is%20EP%20aanwezig%20grafie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nl-NL" sz="1400"/>
              <a:t>Which referred patients are</a:t>
            </a:r>
            <a:r>
              <a:rPr lang="nl-NL" sz="1400" baseline="0"/>
              <a:t> analyzed by EPs</a:t>
            </a:r>
            <a:endParaRPr lang="nl-NL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Sheet2!$B$2</c:f>
              <c:strCache>
                <c:ptCount val="1"/>
                <c:pt idx="0">
                  <c:v>Never</c:v>
                </c:pt>
              </c:strCache>
            </c:strRef>
          </c:tx>
          <c:invertIfNegative val="0"/>
          <c:cat>
            <c:strRef>
              <c:f>Sheet2!$A$3:$A$17</c:f>
              <c:strCache>
                <c:ptCount val="15"/>
                <c:pt idx="0">
                  <c:v>Cardiology</c:v>
                </c:pt>
                <c:pt idx="1">
                  <c:v>Gastroenterology</c:v>
                </c:pt>
                <c:pt idx="2">
                  <c:v>Geriatrics</c:v>
                </c:pt>
                <c:pt idx="3">
                  <c:v>Internal medicine</c:v>
                </c:pt>
                <c:pt idx="4">
                  <c:v>Neurology</c:v>
                </c:pt>
                <c:pt idx="5">
                  <c:v>O&amp;G</c:v>
                </c:pt>
                <c:pt idx="6">
                  <c:v>OMS</c:v>
                </c:pt>
                <c:pt idx="7">
                  <c:v>Opthalmology</c:v>
                </c:pt>
                <c:pt idx="8">
                  <c:v>Orthopedics</c:v>
                </c:pt>
                <c:pt idx="9">
                  <c:v>Otolaryngology</c:v>
                </c:pt>
                <c:pt idx="10">
                  <c:v>Pediatrics</c:v>
                </c:pt>
                <c:pt idx="11">
                  <c:v>Plastic surgery</c:v>
                </c:pt>
                <c:pt idx="12">
                  <c:v>Pulmonology</c:v>
                </c:pt>
                <c:pt idx="13">
                  <c:v>Surgery</c:v>
                </c:pt>
                <c:pt idx="14">
                  <c:v>Urology</c:v>
                </c:pt>
              </c:strCache>
            </c:strRef>
          </c:cat>
          <c:val>
            <c:numRef>
              <c:f>Sheet2!$B$3:$B$17</c:f>
              <c:numCache>
                <c:formatCode>General</c:formatCode>
                <c:ptCount val="15"/>
                <c:pt idx="0">
                  <c:v>10</c:v>
                </c:pt>
                <c:pt idx="1">
                  <c:v>8</c:v>
                </c:pt>
                <c:pt idx="2">
                  <c:v>12</c:v>
                </c:pt>
                <c:pt idx="3">
                  <c:v>5</c:v>
                </c:pt>
                <c:pt idx="4">
                  <c:v>7</c:v>
                </c:pt>
                <c:pt idx="5">
                  <c:v>21</c:v>
                </c:pt>
                <c:pt idx="6">
                  <c:v>8</c:v>
                </c:pt>
                <c:pt idx="7">
                  <c:v>11</c:v>
                </c:pt>
                <c:pt idx="8">
                  <c:v>5</c:v>
                </c:pt>
                <c:pt idx="9">
                  <c:v>3</c:v>
                </c:pt>
                <c:pt idx="10">
                  <c:v>20</c:v>
                </c:pt>
                <c:pt idx="11">
                  <c:v>7</c:v>
                </c:pt>
                <c:pt idx="12">
                  <c:v>3</c:v>
                </c:pt>
                <c:pt idx="13">
                  <c:v>1</c:v>
                </c:pt>
                <c:pt idx="14">
                  <c:v>6</c:v>
                </c:pt>
              </c:numCache>
            </c:numRef>
          </c:val>
        </c:ser>
        <c:ser>
          <c:idx val="1"/>
          <c:order val="1"/>
          <c:tx>
            <c:strRef>
              <c:f>Sheet2!$C$2</c:f>
              <c:strCache>
                <c:ptCount val="1"/>
                <c:pt idx="0">
                  <c:v>Always</c:v>
                </c:pt>
              </c:strCache>
            </c:strRef>
          </c:tx>
          <c:invertIfNegative val="0"/>
          <c:cat>
            <c:strRef>
              <c:f>Sheet2!$A$3:$A$17</c:f>
              <c:strCache>
                <c:ptCount val="15"/>
                <c:pt idx="0">
                  <c:v>Cardiology</c:v>
                </c:pt>
                <c:pt idx="1">
                  <c:v>Gastroenterology</c:v>
                </c:pt>
                <c:pt idx="2">
                  <c:v>Geriatrics</c:v>
                </c:pt>
                <c:pt idx="3">
                  <c:v>Internal medicine</c:v>
                </c:pt>
                <c:pt idx="4">
                  <c:v>Neurology</c:v>
                </c:pt>
                <c:pt idx="5">
                  <c:v>O&amp;G</c:v>
                </c:pt>
                <c:pt idx="6">
                  <c:v>OMS</c:v>
                </c:pt>
                <c:pt idx="7">
                  <c:v>Opthalmology</c:v>
                </c:pt>
                <c:pt idx="8">
                  <c:v>Orthopedics</c:v>
                </c:pt>
                <c:pt idx="9">
                  <c:v>Otolaryngology</c:v>
                </c:pt>
                <c:pt idx="10">
                  <c:v>Pediatrics</c:v>
                </c:pt>
                <c:pt idx="11">
                  <c:v>Plastic surgery</c:v>
                </c:pt>
                <c:pt idx="12">
                  <c:v>Pulmonology</c:v>
                </c:pt>
                <c:pt idx="13">
                  <c:v>Surgery</c:v>
                </c:pt>
                <c:pt idx="14">
                  <c:v>Urology</c:v>
                </c:pt>
              </c:strCache>
            </c:strRef>
          </c:cat>
          <c:val>
            <c:numRef>
              <c:f>Sheet2!$C$3:$C$17</c:f>
              <c:numCache>
                <c:formatCode>General</c:formatCode>
                <c:ptCount val="15"/>
                <c:pt idx="0">
                  <c:v>32</c:v>
                </c:pt>
                <c:pt idx="1">
                  <c:v>36</c:v>
                </c:pt>
                <c:pt idx="2">
                  <c:v>31</c:v>
                </c:pt>
                <c:pt idx="3">
                  <c:v>35</c:v>
                </c:pt>
                <c:pt idx="4">
                  <c:v>36</c:v>
                </c:pt>
                <c:pt idx="5">
                  <c:v>23</c:v>
                </c:pt>
                <c:pt idx="6">
                  <c:v>36</c:v>
                </c:pt>
                <c:pt idx="7">
                  <c:v>33</c:v>
                </c:pt>
                <c:pt idx="8">
                  <c:v>39</c:v>
                </c:pt>
                <c:pt idx="9">
                  <c:v>41</c:v>
                </c:pt>
                <c:pt idx="10">
                  <c:v>22</c:v>
                </c:pt>
                <c:pt idx="11">
                  <c:v>37</c:v>
                </c:pt>
                <c:pt idx="12">
                  <c:v>41</c:v>
                </c:pt>
                <c:pt idx="13">
                  <c:v>43</c:v>
                </c:pt>
                <c:pt idx="14">
                  <c:v>38</c:v>
                </c:pt>
              </c:numCache>
            </c:numRef>
          </c:val>
        </c:ser>
        <c:ser>
          <c:idx val="2"/>
          <c:order val="2"/>
          <c:tx>
            <c:strRef>
              <c:f>Sheet2!$D$2</c:f>
              <c:strCache>
                <c:ptCount val="1"/>
                <c:pt idx="0">
                  <c:v>Sometimes</c:v>
                </c:pt>
              </c:strCache>
            </c:strRef>
          </c:tx>
          <c:invertIfNegative val="0"/>
          <c:cat>
            <c:strRef>
              <c:f>Sheet2!$A$3:$A$17</c:f>
              <c:strCache>
                <c:ptCount val="15"/>
                <c:pt idx="0">
                  <c:v>Cardiology</c:v>
                </c:pt>
                <c:pt idx="1">
                  <c:v>Gastroenterology</c:v>
                </c:pt>
                <c:pt idx="2">
                  <c:v>Geriatrics</c:v>
                </c:pt>
                <c:pt idx="3">
                  <c:v>Internal medicine</c:v>
                </c:pt>
                <c:pt idx="4">
                  <c:v>Neurology</c:v>
                </c:pt>
                <c:pt idx="5">
                  <c:v>O&amp;G</c:v>
                </c:pt>
                <c:pt idx="6">
                  <c:v>OMS</c:v>
                </c:pt>
                <c:pt idx="7">
                  <c:v>Opthalmology</c:v>
                </c:pt>
                <c:pt idx="8">
                  <c:v>Orthopedics</c:v>
                </c:pt>
                <c:pt idx="9">
                  <c:v>Otolaryngology</c:v>
                </c:pt>
                <c:pt idx="10">
                  <c:v>Pediatrics</c:v>
                </c:pt>
                <c:pt idx="11">
                  <c:v>Plastic surgery</c:v>
                </c:pt>
                <c:pt idx="12">
                  <c:v>Pulmonology</c:v>
                </c:pt>
                <c:pt idx="13">
                  <c:v>Surgery</c:v>
                </c:pt>
                <c:pt idx="14">
                  <c:v>Urology</c:v>
                </c:pt>
              </c:strCache>
            </c:strRef>
          </c:cat>
          <c:val>
            <c:numRef>
              <c:f>Sheet2!$D$3:$D$17</c:f>
              <c:numCache>
                <c:formatCode>General</c:formatCode>
                <c:ptCount val="15"/>
                <c:pt idx="0">
                  <c:v>4</c:v>
                </c:pt>
                <c:pt idx="1">
                  <c:v>2</c:v>
                </c:pt>
                <c:pt idx="2">
                  <c:v>3</c:v>
                </c:pt>
                <c:pt idx="3">
                  <c:v>6</c:v>
                </c:pt>
                <c:pt idx="4">
                  <c:v>3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4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7802496"/>
        <c:axId val="272438784"/>
      </c:barChart>
      <c:catAx>
        <c:axId val="2678024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nl-NL"/>
                  <a:t>Specialty</a:t>
                </a:r>
              </a:p>
            </c:rich>
          </c:tx>
          <c:overlay val="0"/>
        </c:title>
        <c:majorTickMark val="out"/>
        <c:minorTickMark val="none"/>
        <c:tickLblPos val="nextTo"/>
        <c:crossAx val="272438784"/>
        <c:crosses val="autoZero"/>
        <c:auto val="1"/>
        <c:lblAlgn val="ctr"/>
        <c:lblOffset val="100"/>
        <c:noMultiLvlLbl val="0"/>
      </c:catAx>
      <c:valAx>
        <c:axId val="272438784"/>
        <c:scaling>
          <c:orientation val="minMax"/>
          <c:max val="45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nl-NL"/>
                  <a:t>Number</a:t>
                </a:r>
                <a:r>
                  <a:rPr lang="nl-NL" baseline="0"/>
                  <a:t> of EDs</a:t>
                </a:r>
                <a:endParaRPr lang="nl-NL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6780249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Coppes</dc:creator>
  <cp:lastModifiedBy>Sarah Coppes</cp:lastModifiedBy>
  <cp:revision>3</cp:revision>
  <dcterms:created xsi:type="dcterms:W3CDTF">2019-12-15T09:51:00Z</dcterms:created>
  <dcterms:modified xsi:type="dcterms:W3CDTF">2019-12-15T09:51:00Z</dcterms:modified>
</cp:coreProperties>
</file>