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72" w:rsidRPr="007B52FA" w:rsidRDefault="00356072" w:rsidP="00356072">
      <w:pPr>
        <w:tabs>
          <w:tab w:val="left" w:pos="4962"/>
        </w:tabs>
        <w:rPr>
          <w:b/>
        </w:rPr>
      </w:pPr>
      <w:r w:rsidRPr="007B52FA">
        <w:rPr>
          <w:b/>
        </w:rPr>
        <w:t>a</w:t>
      </w:r>
    </w:p>
    <w:p w:rsidR="00356072" w:rsidRPr="007B52FA" w:rsidRDefault="00356072" w:rsidP="00356072">
      <w:pPr>
        <w:ind w:left="360" w:right="140" w:hangingChars="150" w:hanging="360"/>
        <w:jc w:val="center"/>
        <w:rPr>
          <w:b/>
          <w:noProof/>
          <w:u w:val="single"/>
        </w:rPr>
      </w:pPr>
      <w:r w:rsidRPr="007B52FA">
        <w:rPr>
          <w:b/>
          <w:noProof/>
          <w:u w:val="single"/>
        </w:rPr>
        <w:t>Spinal cord</w:t>
      </w:r>
    </w:p>
    <w:p w:rsidR="00356072" w:rsidRPr="007B52FA" w:rsidRDefault="00356072" w:rsidP="00356072">
      <w:pPr>
        <w:ind w:left="420" w:right="140" w:hangingChars="150" w:hanging="420"/>
        <w:jc w:val="center"/>
        <w:rPr>
          <w:b/>
          <w:noProof/>
          <w:u w:val="single"/>
        </w:rPr>
      </w:pPr>
      <w:r w:rsidRPr="007B52FA">
        <w:rPr>
          <w:b/>
          <w:noProof/>
          <w:sz w:val="28"/>
          <w:lang w:eastAsia="en-US"/>
        </w:rPr>
        <w:drawing>
          <wp:anchor distT="0" distB="0" distL="114300" distR="114300" simplePos="0" relativeHeight="251659264" behindDoc="1" locked="0" layoutInCell="1" allowOverlap="1" wp14:anchorId="7532F09D" wp14:editId="3E45AFBF">
            <wp:simplePos x="0" y="0"/>
            <wp:positionH relativeFrom="column">
              <wp:posOffset>250825</wp:posOffset>
            </wp:positionH>
            <wp:positionV relativeFrom="paragraph">
              <wp:posOffset>12700</wp:posOffset>
            </wp:positionV>
            <wp:extent cx="5490845" cy="1440180"/>
            <wp:effectExtent l="0" t="0" r="0" b="0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62 in 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72" w:rsidRPr="007B52FA" w:rsidRDefault="00356072" w:rsidP="00356072">
      <w:pPr>
        <w:ind w:left="360" w:right="140" w:hangingChars="150" w:hanging="360"/>
        <w:jc w:val="center"/>
        <w:rPr>
          <w:b/>
          <w:noProof/>
          <w:u w:val="single"/>
        </w:rPr>
      </w:pPr>
    </w:p>
    <w:p w:rsidR="00356072" w:rsidRPr="007B52FA" w:rsidRDefault="00356072" w:rsidP="00356072">
      <w:pPr>
        <w:ind w:left="360" w:right="140" w:hangingChars="150" w:hanging="360"/>
        <w:jc w:val="center"/>
        <w:rPr>
          <w:b/>
          <w:noProof/>
          <w:u w:val="single"/>
        </w:rPr>
      </w:pPr>
    </w:p>
    <w:p w:rsidR="00356072" w:rsidRPr="007B52FA" w:rsidRDefault="00356072" w:rsidP="00356072">
      <w:pPr>
        <w:tabs>
          <w:tab w:val="left" w:pos="4962"/>
        </w:tabs>
        <w:rPr>
          <w:b/>
        </w:rPr>
      </w:pPr>
    </w:p>
    <w:p w:rsidR="00356072" w:rsidRPr="007B52FA" w:rsidRDefault="00356072" w:rsidP="00356072">
      <w:pPr>
        <w:autoSpaceDE w:val="0"/>
        <w:autoSpaceDN w:val="0"/>
        <w:adjustRightInd w:val="0"/>
        <w:ind w:leftChars="118" w:left="283"/>
        <w:rPr>
          <w:b/>
        </w:rPr>
      </w:pPr>
    </w:p>
    <w:p w:rsidR="00356072" w:rsidRPr="007B52FA" w:rsidRDefault="00356072" w:rsidP="00356072">
      <w:pPr>
        <w:autoSpaceDE w:val="0"/>
        <w:autoSpaceDN w:val="0"/>
        <w:adjustRightInd w:val="0"/>
        <w:ind w:leftChars="118" w:left="283"/>
        <w:rPr>
          <w:b/>
        </w:rPr>
      </w:pPr>
    </w:p>
    <w:p w:rsidR="00356072" w:rsidRPr="007B52FA" w:rsidRDefault="00356072" w:rsidP="00356072">
      <w:pPr>
        <w:autoSpaceDE w:val="0"/>
        <w:autoSpaceDN w:val="0"/>
        <w:adjustRightInd w:val="0"/>
        <w:ind w:leftChars="118" w:left="283"/>
        <w:rPr>
          <w:b/>
        </w:rPr>
      </w:pPr>
    </w:p>
    <w:p w:rsidR="00356072" w:rsidRPr="007B52FA" w:rsidRDefault="00356072" w:rsidP="00356072">
      <w:pPr>
        <w:tabs>
          <w:tab w:val="left" w:pos="4962"/>
        </w:tabs>
        <w:rPr>
          <w:b/>
        </w:rPr>
      </w:pPr>
      <w:r w:rsidRPr="007B52FA">
        <w:rPr>
          <w:b/>
        </w:rPr>
        <w:t>b</w:t>
      </w:r>
    </w:p>
    <w:p w:rsidR="00356072" w:rsidRPr="007B52FA" w:rsidRDefault="00356072" w:rsidP="00356072">
      <w:pPr>
        <w:tabs>
          <w:tab w:val="left" w:pos="3840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7B52FA">
        <w:rPr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273FDD8" wp14:editId="06DDF794">
            <wp:simplePos x="0" y="0"/>
            <wp:positionH relativeFrom="column">
              <wp:posOffset>230951</wp:posOffset>
            </wp:positionH>
            <wp:positionV relativeFrom="paragraph">
              <wp:posOffset>229372</wp:posOffset>
            </wp:positionV>
            <wp:extent cx="5490845" cy="1424305"/>
            <wp:effectExtent l="0" t="0" r="0" b="0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62 in br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2FA">
        <w:rPr>
          <w:b/>
          <w:u w:val="single"/>
        </w:rPr>
        <w:t>Forebrain</w:t>
      </w:r>
    </w:p>
    <w:p w:rsidR="00356072" w:rsidRPr="007B52FA" w:rsidRDefault="00356072" w:rsidP="00356072">
      <w:pPr>
        <w:autoSpaceDE w:val="0"/>
        <w:autoSpaceDN w:val="0"/>
        <w:adjustRightInd w:val="0"/>
        <w:ind w:leftChars="118" w:left="283"/>
        <w:rPr>
          <w:b/>
        </w:rPr>
      </w:pPr>
    </w:p>
    <w:p w:rsidR="00356072" w:rsidRPr="007B52FA" w:rsidRDefault="00356072" w:rsidP="00356072">
      <w:pPr>
        <w:autoSpaceDE w:val="0"/>
        <w:autoSpaceDN w:val="0"/>
        <w:adjustRightInd w:val="0"/>
        <w:ind w:leftChars="118" w:left="283"/>
        <w:rPr>
          <w:b/>
        </w:rPr>
      </w:pPr>
    </w:p>
    <w:p w:rsidR="00356072" w:rsidRPr="007B52FA" w:rsidRDefault="00356072" w:rsidP="00356072">
      <w:pPr>
        <w:autoSpaceDE w:val="0"/>
        <w:autoSpaceDN w:val="0"/>
        <w:adjustRightInd w:val="0"/>
        <w:ind w:leftChars="118" w:left="283"/>
        <w:rPr>
          <w:b/>
        </w:rPr>
      </w:pPr>
    </w:p>
    <w:p w:rsidR="00356072" w:rsidRPr="007B52FA" w:rsidRDefault="00356072" w:rsidP="00356072">
      <w:pPr>
        <w:autoSpaceDE w:val="0"/>
        <w:autoSpaceDN w:val="0"/>
        <w:adjustRightInd w:val="0"/>
        <w:ind w:leftChars="118" w:left="283"/>
        <w:rPr>
          <w:b/>
        </w:rPr>
      </w:pPr>
    </w:p>
    <w:p w:rsidR="00356072" w:rsidRPr="007B52FA" w:rsidRDefault="00356072" w:rsidP="00356072">
      <w:pPr>
        <w:tabs>
          <w:tab w:val="left" w:pos="4962"/>
        </w:tabs>
        <w:rPr>
          <w:b/>
        </w:rPr>
      </w:pPr>
    </w:p>
    <w:p w:rsidR="00356072" w:rsidRPr="007B52FA" w:rsidRDefault="00356072" w:rsidP="00356072">
      <w:pPr>
        <w:tabs>
          <w:tab w:val="left" w:pos="4962"/>
        </w:tabs>
        <w:rPr>
          <w:b/>
        </w:rPr>
      </w:pPr>
    </w:p>
    <w:p w:rsidR="00356072" w:rsidRPr="007B52FA" w:rsidRDefault="00356072" w:rsidP="00356072">
      <w:pPr>
        <w:tabs>
          <w:tab w:val="left" w:pos="4962"/>
        </w:tabs>
        <w:rPr>
          <w:b/>
        </w:rPr>
      </w:pPr>
    </w:p>
    <w:p w:rsidR="00356072" w:rsidRPr="007B52FA" w:rsidRDefault="00356072" w:rsidP="00356072">
      <w:pPr>
        <w:tabs>
          <w:tab w:val="left" w:pos="4962"/>
        </w:tabs>
        <w:rPr>
          <w:b/>
        </w:rPr>
      </w:pPr>
    </w:p>
    <w:p w:rsidR="00356072" w:rsidRPr="007B52FA" w:rsidRDefault="00356072" w:rsidP="00356072">
      <w:pPr>
        <w:tabs>
          <w:tab w:val="left" w:pos="4962"/>
        </w:tabs>
        <w:rPr>
          <w:b/>
        </w:rPr>
      </w:pPr>
      <w:r w:rsidRPr="007B52FA">
        <w:rPr>
          <w:b/>
        </w:rPr>
        <w:t>c</w:t>
      </w:r>
      <w:r w:rsidRPr="007B52FA">
        <w:rPr>
          <w:b/>
        </w:rPr>
        <w:tab/>
      </w:r>
    </w:p>
    <w:p w:rsidR="00356072" w:rsidRPr="007B52FA" w:rsidRDefault="00356072" w:rsidP="00356072">
      <w:pPr>
        <w:autoSpaceDE w:val="0"/>
        <w:autoSpaceDN w:val="0"/>
        <w:adjustRightInd w:val="0"/>
        <w:rPr>
          <w:b/>
        </w:rPr>
      </w:pPr>
      <w:r w:rsidRPr="007B52FA">
        <w:rPr>
          <w:b/>
          <w:noProof/>
          <w:lang w:eastAsia="en-US"/>
        </w:rPr>
        <w:drawing>
          <wp:inline distT="0" distB="0" distL="0" distR="0" wp14:anchorId="0C6F8D69" wp14:editId="2E90A1CE">
            <wp:extent cx="5941060" cy="1948180"/>
            <wp:effectExtent l="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72" w:rsidRPr="007B52FA" w:rsidRDefault="00356072" w:rsidP="00356072">
      <w:pPr>
        <w:autoSpaceDE w:val="0"/>
        <w:autoSpaceDN w:val="0"/>
        <w:adjustRightInd w:val="0"/>
        <w:rPr>
          <w:b/>
        </w:rPr>
      </w:pPr>
    </w:p>
    <w:p w:rsidR="00356072" w:rsidRPr="007B52FA" w:rsidRDefault="00356072" w:rsidP="00356072">
      <w:pPr>
        <w:autoSpaceDE w:val="0"/>
        <w:autoSpaceDN w:val="0"/>
        <w:adjustRightInd w:val="0"/>
        <w:rPr>
          <w:b/>
        </w:rPr>
      </w:pPr>
      <w:r w:rsidRPr="007B52FA">
        <w:rPr>
          <w:b/>
        </w:rPr>
        <w:t>d</w:t>
      </w:r>
    </w:p>
    <w:p w:rsidR="00356072" w:rsidRPr="007B52FA" w:rsidRDefault="00356072" w:rsidP="00356072">
      <w:pPr>
        <w:autoSpaceDE w:val="0"/>
        <w:autoSpaceDN w:val="0"/>
        <w:adjustRightInd w:val="0"/>
        <w:rPr>
          <w:b/>
        </w:rPr>
      </w:pPr>
      <w:r w:rsidRPr="007B52FA">
        <w:rPr>
          <w:b/>
          <w:noProof/>
          <w:lang w:eastAsia="en-US"/>
        </w:rPr>
        <w:drawing>
          <wp:inline distT="0" distB="0" distL="0" distR="0" wp14:anchorId="7D9C1933" wp14:editId="687FB0A9">
            <wp:extent cx="5941060" cy="1957705"/>
            <wp:effectExtent l="0" t="0" r="0" b="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72" w:rsidRDefault="00356072" w:rsidP="00356072">
      <w:pPr>
        <w:tabs>
          <w:tab w:val="left" w:pos="4962"/>
        </w:tabs>
        <w:jc w:val="both"/>
        <w:rPr>
          <w:b/>
        </w:rPr>
      </w:pPr>
    </w:p>
    <w:p w:rsidR="00356072" w:rsidRDefault="00356072" w:rsidP="00356072">
      <w:pPr>
        <w:tabs>
          <w:tab w:val="left" w:pos="4962"/>
        </w:tabs>
        <w:jc w:val="both"/>
        <w:rPr>
          <w:b/>
        </w:rPr>
      </w:pPr>
    </w:p>
    <w:p w:rsidR="00356072" w:rsidRPr="007B52FA" w:rsidRDefault="00356072" w:rsidP="00356072">
      <w:pPr>
        <w:tabs>
          <w:tab w:val="left" w:pos="4962"/>
        </w:tabs>
        <w:jc w:val="both"/>
        <w:rPr>
          <w:b/>
        </w:rPr>
      </w:pPr>
      <w:r w:rsidRPr="007B52FA">
        <w:rPr>
          <w:b/>
        </w:rPr>
        <w:lastRenderedPageBreak/>
        <w:t xml:space="preserve">Figure </w:t>
      </w:r>
      <w:r w:rsidR="00AD57F7">
        <w:rPr>
          <w:b/>
        </w:rPr>
        <w:t>S</w:t>
      </w:r>
      <w:bookmarkStart w:id="0" w:name="_GoBack"/>
      <w:bookmarkEnd w:id="0"/>
      <w:r w:rsidRPr="007B52FA">
        <w:rPr>
          <w:b/>
        </w:rPr>
        <w:t xml:space="preserve">6. </w:t>
      </w:r>
      <w:r w:rsidRPr="007B52FA">
        <w:rPr>
          <w:b/>
          <w:bCs/>
        </w:rPr>
        <w:t>(</w:t>
      </w:r>
      <w:r w:rsidRPr="007B52FA">
        <w:rPr>
          <w:b/>
        </w:rPr>
        <w:t>a</w:t>
      </w:r>
      <w:r w:rsidRPr="007B52FA">
        <w:rPr>
          <w:rFonts w:hint="eastAsia"/>
          <w:b/>
        </w:rPr>
        <w:t>-</w:t>
      </w:r>
      <w:r w:rsidRPr="007B52FA">
        <w:rPr>
          <w:b/>
        </w:rPr>
        <w:t>b)</w:t>
      </w:r>
      <w:r w:rsidRPr="007B52FA">
        <w:rPr>
          <w:bCs/>
        </w:rPr>
        <w:t xml:space="preserve"> </w:t>
      </w:r>
      <w:r w:rsidRPr="007B52FA">
        <w:t xml:space="preserve">Western </w:t>
      </w:r>
      <w:r w:rsidRPr="007B52FA">
        <w:rPr>
          <w:rFonts w:eastAsia="WarnockPro-Regular"/>
        </w:rPr>
        <w:t xml:space="preserve">blotting analysis of p62 levels in the extracts of the spinal cord </w:t>
      </w:r>
      <w:r w:rsidRPr="007B52FA">
        <w:rPr>
          <w:rFonts w:eastAsia="WarnockPro-Regular"/>
          <w:b/>
        </w:rPr>
        <w:t>(a)</w:t>
      </w:r>
      <w:r w:rsidRPr="007B52FA">
        <w:rPr>
          <w:rFonts w:eastAsia="WarnockPro-Regular"/>
        </w:rPr>
        <w:t xml:space="preserve"> and the</w:t>
      </w:r>
      <w:r w:rsidRPr="007B52FA">
        <w:rPr>
          <w:rFonts w:eastAsia="WarnockPro-Regular" w:hint="eastAsia"/>
        </w:rPr>
        <w:t xml:space="preserve"> </w:t>
      </w:r>
      <w:r w:rsidRPr="007B52FA">
        <w:rPr>
          <w:rFonts w:eastAsia="WarnockPro-Regular"/>
        </w:rPr>
        <w:t xml:space="preserve">forebrain </w:t>
      </w:r>
      <w:r w:rsidRPr="007B52FA">
        <w:rPr>
          <w:rFonts w:eastAsia="WarnockPro-Regular"/>
          <w:b/>
        </w:rPr>
        <w:t>(b)</w:t>
      </w:r>
      <w:r w:rsidRPr="007B52FA">
        <w:rPr>
          <w:rFonts w:eastAsia="WarnockPro-Regular"/>
        </w:rPr>
        <w:t xml:space="preserve"> of +/+ and </w:t>
      </w:r>
      <w:r w:rsidRPr="007B52FA">
        <w:t>N390D/+</w:t>
      </w:r>
      <w:r w:rsidRPr="007B52FA">
        <w:rPr>
          <w:rFonts w:eastAsia="WarnockPro-Regular"/>
        </w:rPr>
        <w:t xml:space="preserve"> male mice at the ages of 3, 6, 12 and 24 months. The blotting patterns are exemplified on the left, and the statistics are shown in the </w:t>
      </w:r>
      <w:r w:rsidRPr="007B52FA">
        <w:t xml:space="preserve">scatter </w:t>
      </w:r>
      <w:r w:rsidRPr="007B52FA">
        <w:rPr>
          <w:rFonts w:eastAsia="WarnockPro-Regular"/>
        </w:rPr>
        <w:t>dot plots (</w:t>
      </w:r>
      <w:r w:rsidRPr="007B52FA">
        <w:rPr>
          <w:bCs/>
        </w:rPr>
        <w:t>mean</w:t>
      </w:r>
      <w:r w:rsidRPr="007B52FA">
        <w:t>± SD</w:t>
      </w:r>
      <w:r w:rsidRPr="007B52FA">
        <w:rPr>
          <w:rFonts w:eastAsia="WarnockPro-Regular"/>
        </w:rPr>
        <w:t xml:space="preserve">) on the right. Note the decrease of the p62 level in the spinal cord extracts, but not the forebrain extracts, from the aged (12- and 24-month old) </w:t>
      </w:r>
      <w:r w:rsidRPr="007B52FA">
        <w:t xml:space="preserve">N390D/+ mice. </w:t>
      </w:r>
      <w:r w:rsidRPr="007B52FA">
        <w:rPr>
          <w:bCs/>
        </w:rPr>
        <w:t xml:space="preserve">N=3 (randomly chosen from lines #108 and/or #361) </w:t>
      </w:r>
      <w:r w:rsidRPr="007B52FA">
        <w:t>per group</w:t>
      </w:r>
      <w:r w:rsidRPr="007B52FA">
        <w:rPr>
          <w:bCs/>
        </w:rPr>
        <w:t>.</w:t>
      </w:r>
      <w:r w:rsidRPr="007B52FA">
        <w:t xml:space="preserve"> </w:t>
      </w:r>
      <w:r w:rsidRPr="007B52FA">
        <w:rPr>
          <w:bCs/>
        </w:rPr>
        <w:t>*p&lt;0.05</w:t>
      </w:r>
      <w:r w:rsidRPr="007B52FA">
        <w:rPr>
          <w:b/>
        </w:rPr>
        <w:t>.</w:t>
      </w:r>
      <w:r w:rsidRPr="007B52FA">
        <w:rPr>
          <w:b/>
          <w:bCs/>
        </w:rPr>
        <w:t xml:space="preserve"> (</w:t>
      </w:r>
      <w:r w:rsidRPr="007B52FA">
        <w:rPr>
          <w:b/>
        </w:rPr>
        <w:t>c-d)</w:t>
      </w:r>
      <w:r w:rsidRPr="007B52FA">
        <w:rPr>
          <w:rFonts w:hint="eastAsia"/>
          <w:b/>
        </w:rPr>
        <w:t xml:space="preserve"> </w:t>
      </w:r>
      <w:r w:rsidRPr="007B52FA">
        <w:rPr>
          <w:bCs/>
        </w:rPr>
        <w:t xml:space="preserve">The proteasome activity assay of the N390D/+ (red) and +/+ (blue) spinal cord </w:t>
      </w:r>
      <w:r w:rsidRPr="007B52FA">
        <w:rPr>
          <w:b/>
          <w:bCs/>
        </w:rPr>
        <w:t>(c)</w:t>
      </w:r>
      <w:r w:rsidRPr="007B52FA">
        <w:rPr>
          <w:rFonts w:eastAsia="WarnockPro-Regular"/>
        </w:rPr>
        <w:t xml:space="preserve"> and the</w:t>
      </w:r>
      <w:r w:rsidRPr="007B52FA">
        <w:rPr>
          <w:rFonts w:eastAsia="WarnockPro-Regular" w:hint="eastAsia"/>
        </w:rPr>
        <w:t xml:space="preserve"> </w:t>
      </w:r>
      <w:r w:rsidRPr="007B52FA">
        <w:rPr>
          <w:rFonts w:eastAsia="WarnockPro-Regular"/>
        </w:rPr>
        <w:t xml:space="preserve">forebrain </w:t>
      </w:r>
      <w:r w:rsidRPr="007B52FA">
        <w:rPr>
          <w:rFonts w:eastAsia="WarnockPro-Regular"/>
          <w:b/>
        </w:rPr>
        <w:t>(d)</w:t>
      </w:r>
      <w:r w:rsidRPr="007B52FA">
        <w:rPr>
          <w:bCs/>
        </w:rPr>
        <w:t xml:space="preserve"> at different ages. Inhibition by MG132 was used to validate the proteasome activities. The fluorescence units were normalized against the protein concentration (</w:t>
      </w:r>
      <w:r w:rsidRPr="007B52FA">
        <w:t>mean ± SEM</w:t>
      </w:r>
      <w:r w:rsidRPr="007B52FA">
        <w:rPr>
          <w:bCs/>
        </w:rPr>
        <w:t>). Note the higher proteasome activities in the extracts of spinal cord</w:t>
      </w:r>
      <w:r w:rsidRPr="007B52FA">
        <w:rPr>
          <w:rFonts w:hint="eastAsia"/>
          <w:bCs/>
        </w:rPr>
        <w:t xml:space="preserve"> </w:t>
      </w:r>
      <w:r w:rsidRPr="007B52FA">
        <w:rPr>
          <w:bCs/>
        </w:rPr>
        <w:t>in 6- and 24-month old N390D/+ male mice than +/+</w:t>
      </w:r>
      <w:r w:rsidRPr="007B52FA">
        <w:t xml:space="preserve"> male</w:t>
      </w:r>
      <w:r w:rsidRPr="007B52FA">
        <w:rPr>
          <w:bCs/>
        </w:rPr>
        <w:t xml:space="preserve"> mice and 3-month old N390D/+ male mice. N=3 (randomly chosen from each of the two independent lines) per group. *p&lt;0.05, **p&lt;0.01</w:t>
      </w:r>
      <w:r w:rsidRPr="007B52FA">
        <w:rPr>
          <w:rFonts w:hint="eastAsia"/>
          <w:bCs/>
        </w:rPr>
        <w:t>.</w:t>
      </w:r>
    </w:p>
    <w:p w:rsidR="00866F28" w:rsidRPr="00356072" w:rsidRDefault="00866F28">
      <w:pPr>
        <w:rPr>
          <w:b/>
        </w:rPr>
      </w:pPr>
    </w:p>
    <w:sectPr w:rsidR="00866F28" w:rsidRPr="0035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356072"/>
    <w:rsid w:val="0011634E"/>
    <w:rsid w:val="0014555C"/>
    <w:rsid w:val="001D181C"/>
    <w:rsid w:val="003315B0"/>
    <w:rsid w:val="00356072"/>
    <w:rsid w:val="00652A7C"/>
    <w:rsid w:val="00866F28"/>
    <w:rsid w:val="00955285"/>
    <w:rsid w:val="00A60763"/>
    <w:rsid w:val="00AD57F7"/>
    <w:rsid w:val="00AE661B"/>
    <w:rsid w:val="00B7523B"/>
    <w:rsid w:val="00B8115A"/>
    <w:rsid w:val="00BB32DF"/>
    <w:rsid w:val="00C04B9D"/>
    <w:rsid w:val="00C15832"/>
    <w:rsid w:val="00D04CFF"/>
    <w:rsid w:val="00D56684"/>
    <w:rsid w:val="00E10B77"/>
    <w:rsid w:val="00E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7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72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7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72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933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Aanstoot, Rene, BioMed Central Ltd.</dc:creator>
  <cp:lastModifiedBy>MSARDAN</cp:lastModifiedBy>
  <cp:revision>2</cp:revision>
  <dcterms:created xsi:type="dcterms:W3CDTF">2020-01-08T10:31:00Z</dcterms:created>
  <dcterms:modified xsi:type="dcterms:W3CDTF">2020-01-11T02:35:00Z</dcterms:modified>
</cp:coreProperties>
</file>