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57C95646" wp14:editId="61FFA8E6">
            <wp:simplePos x="0" y="0"/>
            <wp:positionH relativeFrom="column">
              <wp:posOffset>4004310</wp:posOffset>
            </wp:positionH>
            <wp:positionV relativeFrom="paragraph">
              <wp:posOffset>50800</wp:posOffset>
            </wp:positionV>
            <wp:extent cx="2138680" cy="1631315"/>
            <wp:effectExtent l="0" t="0" r="0" b="698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td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2FA">
        <w:rPr>
          <w:b/>
          <w:noProof/>
        </w:rPr>
        <w:t>a</w:t>
      </w: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7FF67DB" wp14:editId="0C401068">
            <wp:simplePos x="0" y="0"/>
            <wp:positionH relativeFrom="column">
              <wp:posOffset>28791</wp:posOffset>
            </wp:positionH>
            <wp:positionV relativeFrom="paragraph">
              <wp:posOffset>18187</wp:posOffset>
            </wp:positionV>
            <wp:extent cx="3983271" cy="1731078"/>
            <wp:effectExtent l="0" t="0" r="0" b="254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271" cy="173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10C22313" wp14:editId="02C859B6">
            <wp:simplePos x="0" y="0"/>
            <wp:positionH relativeFrom="column">
              <wp:posOffset>3953798</wp:posOffset>
            </wp:positionH>
            <wp:positionV relativeFrom="paragraph">
              <wp:posOffset>215265</wp:posOffset>
            </wp:positionV>
            <wp:extent cx="2299108" cy="1641764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tdp bra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08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B264B5F" wp14:editId="67265474">
            <wp:simplePos x="0" y="0"/>
            <wp:positionH relativeFrom="column">
              <wp:posOffset>553835</wp:posOffset>
            </wp:positionH>
            <wp:positionV relativeFrom="paragraph">
              <wp:posOffset>206779</wp:posOffset>
            </wp:positionV>
            <wp:extent cx="3120129" cy="1273726"/>
            <wp:effectExtent l="0" t="0" r="444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4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0"/>
                    <a:stretch/>
                  </pic:blipFill>
                  <pic:spPr bwMode="auto">
                    <a:xfrm>
                      <a:off x="0" y="0"/>
                      <a:ext cx="3120129" cy="127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2FA">
        <w:rPr>
          <w:b/>
          <w:noProof/>
        </w:rPr>
        <w:t>b</w:t>
      </w: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E27AAD" w:rsidRPr="007B52FA" w:rsidRDefault="00E27AAD" w:rsidP="00E27AAD">
      <w:pPr>
        <w:tabs>
          <w:tab w:val="left" w:pos="3240"/>
        </w:tabs>
        <w:autoSpaceDE w:val="0"/>
        <w:autoSpaceDN w:val="0"/>
        <w:adjustRightInd w:val="0"/>
        <w:rPr>
          <w:b/>
          <w:noProof/>
        </w:rPr>
      </w:pPr>
      <w:r w:rsidRPr="007B52FA">
        <w:rPr>
          <w:b/>
          <w:noProof/>
        </w:rPr>
        <w:t>c</w:t>
      </w:r>
    </w:p>
    <w:p w:rsidR="00E27AAD" w:rsidRPr="007B52FA" w:rsidRDefault="00E27AAD" w:rsidP="00E27AAD">
      <w:pPr>
        <w:tabs>
          <w:tab w:val="left" w:pos="4440"/>
        </w:tabs>
        <w:autoSpaceDE w:val="0"/>
        <w:autoSpaceDN w:val="0"/>
        <w:adjustRightInd w:val="0"/>
        <w:jc w:val="center"/>
        <w:rPr>
          <w:b/>
          <w:noProof/>
        </w:rPr>
      </w:pPr>
      <w:r w:rsidRPr="007B52FA">
        <w:rPr>
          <w:b/>
          <w:noProof/>
          <w:lang w:eastAsia="en-US"/>
        </w:rPr>
        <w:drawing>
          <wp:inline distT="0" distB="0" distL="0" distR="0" wp14:anchorId="4482C7EC" wp14:editId="683C8425">
            <wp:extent cx="4977516" cy="2345645"/>
            <wp:effectExtent l="0" t="0" r="127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4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50" cy="23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  <w:r w:rsidRPr="007B52FA">
        <w:rPr>
          <w:b/>
        </w:rPr>
        <w:t>d</w:t>
      </w:r>
      <w:r w:rsidRPr="007B52FA">
        <w:rPr>
          <w:b/>
        </w:rPr>
        <w:tab/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jc w:val="center"/>
        <w:rPr>
          <w:b/>
        </w:rPr>
      </w:pPr>
      <w:r w:rsidRPr="007B52FA">
        <w:rPr>
          <w:b/>
          <w:noProof/>
          <w:lang w:eastAsia="en-US"/>
        </w:rPr>
        <w:drawing>
          <wp:inline distT="0" distB="0" distL="0" distR="0" wp14:anchorId="74A6705B" wp14:editId="303148FF">
            <wp:extent cx="3931920" cy="2715278"/>
            <wp:effectExtent l="0" t="0" r="508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4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76" cy="27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  <w:r w:rsidRPr="007B52FA">
        <w:rPr>
          <w:b/>
        </w:rPr>
        <w:t>e</w:t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jc w:val="center"/>
        <w:rPr>
          <w:b/>
        </w:rPr>
      </w:pPr>
      <w:r w:rsidRPr="007B52FA">
        <w:rPr>
          <w:b/>
          <w:noProof/>
          <w:lang w:eastAsia="en-US"/>
        </w:rPr>
        <w:drawing>
          <wp:inline distT="0" distB="0" distL="0" distR="0" wp14:anchorId="6DCA34E0" wp14:editId="015B7834">
            <wp:extent cx="3998346" cy="274320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4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30" cy="27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  <w:r w:rsidRPr="007B52FA">
        <w:rPr>
          <w:b/>
        </w:rPr>
        <w:t>f</w:t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jc w:val="center"/>
        <w:rPr>
          <w:b/>
        </w:rPr>
      </w:pPr>
      <w:r w:rsidRPr="007B52FA">
        <w:rPr>
          <w:b/>
          <w:noProof/>
          <w:lang w:eastAsia="en-US"/>
        </w:rPr>
        <w:drawing>
          <wp:inline distT="0" distB="0" distL="0" distR="0" wp14:anchorId="2D1F1C10" wp14:editId="1D845BFF">
            <wp:extent cx="3992664" cy="269748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4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426" cy="27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D" w:rsidRPr="007B52FA" w:rsidRDefault="00E27AAD" w:rsidP="00E27AAD">
      <w:pPr>
        <w:tabs>
          <w:tab w:val="left" w:pos="4820"/>
        </w:tabs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800"/>
        </w:tabs>
        <w:autoSpaceDE w:val="0"/>
        <w:autoSpaceDN w:val="0"/>
        <w:adjustRightInd w:val="0"/>
        <w:rPr>
          <w:b/>
        </w:rPr>
      </w:pPr>
      <w:r w:rsidRPr="007B52FA">
        <w:rPr>
          <w:b/>
        </w:rPr>
        <w:t>g</w:t>
      </w:r>
    </w:p>
    <w:p w:rsidR="00E27AAD" w:rsidRPr="007B52FA" w:rsidRDefault="00E27AAD" w:rsidP="00E27AAD">
      <w:pPr>
        <w:autoSpaceDE w:val="0"/>
        <w:autoSpaceDN w:val="0"/>
        <w:adjustRightInd w:val="0"/>
        <w:jc w:val="center"/>
        <w:rPr>
          <w:b/>
        </w:rPr>
      </w:pPr>
      <w:r w:rsidRPr="007B52FA">
        <w:rPr>
          <w:b/>
          <w:noProof/>
          <w:lang w:eastAsia="en-US"/>
        </w:rPr>
        <w:drawing>
          <wp:inline distT="0" distB="0" distL="0" distR="0" wp14:anchorId="79C9FDDE" wp14:editId="551D26FE">
            <wp:extent cx="4977423" cy="1580050"/>
            <wp:effectExtent l="0" t="0" r="127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4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53" cy="15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AD" w:rsidRPr="007B52FA" w:rsidRDefault="00E27AAD" w:rsidP="00E27AAD">
      <w:pPr>
        <w:autoSpaceDE w:val="0"/>
        <w:autoSpaceDN w:val="0"/>
        <w:adjustRightInd w:val="0"/>
        <w:jc w:val="center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  <w:r w:rsidRPr="007B52FA">
        <w:rPr>
          <w:b/>
        </w:rPr>
        <w:t>h</w:t>
      </w: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5A6DD1BD" wp14:editId="421415FA">
            <wp:simplePos x="0" y="0"/>
            <wp:positionH relativeFrom="column">
              <wp:posOffset>879013</wp:posOffset>
            </wp:positionH>
            <wp:positionV relativeFrom="paragraph">
              <wp:posOffset>34059</wp:posOffset>
            </wp:positionV>
            <wp:extent cx="4400273" cy="2429163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M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273" cy="242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rPr>
          <w:b/>
        </w:rPr>
      </w:pPr>
    </w:p>
    <w:p w:rsidR="00E27AAD" w:rsidRPr="007B52FA" w:rsidRDefault="00E27AAD" w:rsidP="00E27AAD">
      <w:pPr>
        <w:tabs>
          <w:tab w:val="left" w:pos="4920"/>
        </w:tabs>
        <w:autoSpaceDE w:val="0"/>
        <w:autoSpaceDN w:val="0"/>
        <w:adjustRightInd w:val="0"/>
        <w:rPr>
          <w:b/>
        </w:rPr>
      </w:pPr>
      <w:r w:rsidRPr="007B52FA">
        <w:rPr>
          <w:b/>
        </w:rPr>
        <w:tab/>
      </w:r>
    </w:p>
    <w:p w:rsidR="00E27AAD" w:rsidRDefault="00E27AAD" w:rsidP="00E27AAD">
      <w:pPr>
        <w:autoSpaceDE w:val="0"/>
        <w:autoSpaceDN w:val="0"/>
        <w:adjustRightInd w:val="0"/>
        <w:jc w:val="both"/>
        <w:rPr>
          <w:b/>
        </w:rPr>
      </w:pPr>
    </w:p>
    <w:p w:rsidR="00E27AAD" w:rsidRDefault="00E27AAD" w:rsidP="00E27AAD">
      <w:pPr>
        <w:autoSpaceDE w:val="0"/>
        <w:autoSpaceDN w:val="0"/>
        <w:adjustRightInd w:val="0"/>
        <w:jc w:val="both"/>
        <w:rPr>
          <w:b/>
        </w:rPr>
      </w:pPr>
    </w:p>
    <w:p w:rsidR="00E27AAD" w:rsidRDefault="00E27AAD" w:rsidP="00E27AAD">
      <w:pPr>
        <w:autoSpaceDE w:val="0"/>
        <w:autoSpaceDN w:val="0"/>
        <w:adjustRightInd w:val="0"/>
        <w:jc w:val="both"/>
        <w:rPr>
          <w:b/>
        </w:rPr>
      </w:pPr>
    </w:p>
    <w:p w:rsidR="00E27AAD" w:rsidRPr="007B52FA" w:rsidRDefault="00E27AAD" w:rsidP="00E27AAD">
      <w:pPr>
        <w:autoSpaceDE w:val="0"/>
        <w:autoSpaceDN w:val="0"/>
        <w:adjustRightInd w:val="0"/>
        <w:jc w:val="both"/>
        <w:rPr>
          <w:bCs/>
        </w:rPr>
      </w:pPr>
      <w:r w:rsidRPr="007B52FA">
        <w:rPr>
          <w:b/>
        </w:rPr>
        <w:lastRenderedPageBreak/>
        <w:t xml:space="preserve">Figure </w:t>
      </w:r>
      <w:r w:rsidR="00E72D3D">
        <w:rPr>
          <w:b/>
        </w:rPr>
        <w:t>S</w:t>
      </w:r>
      <w:bookmarkStart w:id="0" w:name="_GoBack"/>
      <w:bookmarkEnd w:id="0"/>
      <w:r w:rsidRPr="007B52FA">
        <w:rPr>
          <w:b/>
        </w:rPr>
        <w:t xml:space="preserve">4. </w:t>
      </w:r>
      <w:r w:rsidRPr="007B52FA">
        <w:rPr>
          <w:b/>
          <w:bCs/>
        </w:rPr>
        <w:t xml:space="preserve">(a-b) </w:t>
      </w:r>
      <w:r w:rsidRPr="007B52FA">
        <w:rPr>
          <w:bCs/>
        </w:rPr>
        <w:t>Western blotting</w:t>
      </w:r>
      <w:r w:rsidRPr="007B52FA">
        <w:t xml:space="preserve"> analysis of spinal cord extracts</w:t>
      </w:r>
      <w:r w:rsidRPr="007B52FA">
        <w:rPr>
          <w:b/>
        </w:rPr>
        <w:t xml:space="preserve"> (a) </w:t>
      </w:r>
      <w:r w:rsidRPr="007B52FA">
        <w:t xml:space="preserve">and the forebrain </w:t>
      </w:r>
      <w:r w:rsidRPr="007B52FA">
        <w:rPr>
          <w:b/>
        </w:rPr>
        <w:t xml:space="preserve">(b) </w:t>
      </w:r>
      <w:r w:rsidRPr="007B52FA">
        <w:t>of mice of different ages using anti-TDP-43, anti-pTDP-43(409/410) and anti-GAPDH. The arrowheads indicate the positions of the TDP-43, and the brackets indicate the positions of pTDP-43 on the blot(s).</w:t>
      </w:r>
      <w:r w:rsidRPr="007B52FA">
        <w:rPr>
          <w:bCs/>
        </w:rPr>
        <w:t xml:space="preserve"> T</w:t>
      </w:r>
      <w:r w:rsidRPr="007B52FA">
        <w:t xml:space="preserve">he scatter plot showing the relative levels of the spinal cord pTDP-43 after normalization against GAPDH deduced from the </w:t>
      </w:r>
      <w:r w:rsidRPr="007B52FA">
        <w:rPr>
          <w:bCs/>
        </w:rPr>
        <w:t>Western blotting</w:t>
      </w:r>
      <w:r w:rsidRPr="007B52FA">
        <w:t xml:space="preserve"> data (</w:t>
      </w:r>
      <w:r w:rsidRPr="007B52FA">
        <w:rPr>
          <w:bCs/>
        </w:rPr>
        <w:t>mean</w:t>
      </w:r>
      <w:r w:rsidRPr="007B52FA">
        <w:t>± SD). N=3 (</w:t>
      </w:r>
      <w:r w:rsidRPr="007B52FA">
        <w:rPr>
          <w:bCs/>
        </w:rPr>
        <w:t>randomly chosen from each of the two independent lines</w:t>
      </w:r>
      <w:r w:rsidRPr="007B52FA">
        <w:t>) per group</w:t>
      </w:r>
      <w:r w:rsidRPr="007B52FA">
        <w:rPr>
          <w:bCs/>
        </w:rPr>
        <w:t>. **p&lt;0.01.</w:t>
      </w:r>
      <w:r w:rsidRPr="007B52FA">
        <w:rPr>
          <w:b/>
          <w:bCs/>
        </w:rPr>
        <w:t xml:space="preserve"> </w:t>
      </w:r>
      <w:r w:rsidRPr="007B52FA">
        <w:rPr>
          <w:b/>
        </w:rPr>
        <w:t>(c)</w:t>
      </w:r>
      <w:r w:rsidRPr="007B52FA">
        <w:rPr>
          <w:b/>
          <w:bCs/>
        </w:rPr>
        <w:t xml:space="preserve"> </w:t>
      </w:r>
      <w:r w:rsidRPr="007B52FA">
        <w:rPr>
          <w:bCs/>
        </w:rPr>
        <w:t xml:space="preserve">Immunofluorescence co-staining of pTDP-43 (green) and ubiquitin (Ub; gray) of spinal cord lumbar </w:t>
      </w:r>
      <w:r w:rsidRPr="007B52FA">
        <w:t xml:space="preserve">sections from +/+ and N390D/+ male mice </w:t>
      </w:r>
      <w:r w:rsidRPr="007B52FA">
        <w:rPr>
          <w:bCs/>
        </w:rPr>
        <w:t xml:space="preserve">at the age of 6, 12, and 24 months, respectively. The whole view of representative spinal cord </w:t>
      </w:r>
      <w:r w:rsidRPr="007B52FA">
        <w:t>sections is presented. D</w:t>
      </w:r>
      <w:r w:rsidRPr="007B52FA">
        <w:rPr>
          <w:bCs/>
        </w:rPr>
        <w:t xml:space="preserve">API (blue) indicates the locations of the nuclei. </w:t>
      </w:r>
      <w:r w:rsidRPr="007B52FA">
        <w:t xml:space="preserve">Note the significant increase of pTDP-43 and ubiquitin signals in samples from 12- and 24-month old N390D/+ male mice. </w:t>
      </w:r>
      <w:r w:rsidRPr="007B52FA">
        <w:rPr>
          <w:bCs/>
        </w:rPr>
        <w:t>At least 2 discontinuous sections of lumbar spinal cord were examined for each mouse. N=3 (randomly chosen from each of the two independent lines) per group.</w:t>
      </w:r>
      <w:r w:rsidRPr="007B52FA">
        <w:rPr>
          <w:b/>
          <w:bCs/>
        </w:rPr>
        <w:t xml:space="preserve"> (d-f). </w:t>
      </w:r>
      <w:r w:rsidRPr="007B52FA">
        <w:rPr>
          <w:bCs/>
        </w:rPr>
        <w:t xml:space="preserve">Higher magnification pictures of spinal cord sections co-stained with </w:t>
      </w:r>
      <w:r w:rsidRPr="007B52FA">
        <w:t>anti-pTDP-43 (green), anti-ubiquitin (Ub, gray)</w:t>
      </w:r>
      <w:r w:rsidRPr="007B52FA">
        <w:rPr>
          <w:bCs/>
        </w:rPr>
        <w:t xml:space="preserve"> and anti-ChAT (red). The </w:t>
      </w:r>
      <w:r w:rsidRPr="007B52FA">
        <w:t>yellow dashes label the locations of MN. D</w:t>
      </w:r>
      <w:r w:rsidRPr="007B52FA">
        <w:rPr>
          <w:bCs/>
        </w:rPr>
        <w:t>API (blue) indicates the locations of the nuclei. N</w:t>
      </w:r>
      <w:r w:rsidRPr="007B52FA">
        <w:rPr>
          <w:rFonts w:ascii="Cambria Math" w:hAnsi="Cambria Math" w:cs="Cambria Math"/>
          <w:bCs/>
        </w:rPr>
        <w:t>≧</w:t>
      </w:r>
      <w:r w:rsidRPr="007B52FA">
        <w:rPr>
          <w:bCs/>
        </w:rPr>
        <w:t xml:space="preserve">3 (randomly chosen from each of the two independent lines) per group. The scale bars are 50 μm. Note the increase of pTDP-43 signals colocalized with the Ub in the 24-month old N390D/+ mouse samples. </w:t>
      </w:r>
      <w:r w:rsidRPr="007B52FA">
        <w:rPr>
          <w:b/>
          <w:bCs/>
        </w:rPr>
        <w:t xml:space="preserve">(g) </w:t>
      </w:r>
      <w:r w:rsidRPr="007B52FA">
        <w:rPr>
          <w:bCs/>
        </w:rPr>
        <w:t xml:space="preserve">The comparisons of the % of pTDP-43(+) MN (left) and the % of pTDP-43(+) Ub(+) ChAT(+) MN (right), are represented by the scatter dot plots. At least 2 discontinuous sections of lumbar spinal cord were counted and averaged for each mouse. #p&lt;0.001. </w:t>
      </w:r>
      <w:r w:rsidRPr="007B52FA">
        <w:rPr>
          <w:b/>
          <w:bCs/>
        </w:rPr>
        <w:t>(h)</w:t>
      </w:r>
      <w:r w:rsidRPr="007B52FA">
        <w:rPr>
          <w:bCs/>
        </w:rPr>
        <w:t xml:space="preserve"> Immunofluorescence co-staining of</w:t>
      </w:r>
      <w:r w:rsidRPr="007B52FA">
        <w:t xml:space="preserve"> mouse brain sections from the </w:t>
      </w:r>
      <w:r w:rsidRPr="007B52FA">
        <w:rPr>
          <w:bCs/>
        </w:rPr>
        <w:t xml:space="preserve">motor cortex of </w:t>
      </w:r>
      <w:r w:rsidRPr="007B52FA">
        <w:t xml:space="preserve">+/+ and N390D/+ male mice </w:t>
      </w:r>
      <w:r w:rsidRPr="007B52FA">
        <w:rPr>
          <w:bCs/>
        </w:rPr>
        <w:t xml:space="preserve">at the age of 24 months </w:t>
      </w:r>
      <w:r w:rsidRPr="007B52FA">
        <w:t xml:space="preserve">using anti-NeuN (green), anti-pTDP-43 (gray), and </w:t>
      </w:r>
      <w:r w:rsidRPr="007B52FA">
        <w:rPr>
          <w:bCs/>
        </w:rPr>
        <w:t>DAPI (blue). Cg, cingula cortex; M1, primary motor area; M2, secondary motor area. A part of the image of the M1 area is magnified and shown on the right with the six layers (I-VI) indicated. Note the significant loss of NeuN (+) neurons and decrease of the thickness of the layer 5 (*) in the M1 region of N390D/+ male mice in comparison to the +/+ male mice. At least 2 d</w:t>
      </w:r>
      <w:r w:rsidRPr="007B52FA">
        <w:rPr>
          <w:rFonts w:hint="eastAsia"/>
          <w:bCs/>
        </w:rPr>
        <w:t>i</w:t>
      </w:r>
      <w:r w:rsidRPr="007B52FA">
        <w:rPr>
          <w:bCs/>
        </w:rPr>
        <w:t xml:space="preserve">scontinuous forebrain sections were examined for each mouse. N=3 (randomly chosen from lines #108 and/or #361) </w:t>
      </w:r>
      <w:r w:rsidRPr="007B52FA">
        <w:t>per genotype group</w:t>
      </w:r>
      <w:r w:rsidRPr="007B52FA">
        <w:rPr>
          <w:bCs/>
        </w:rPr>
        <w:t>. Scale bars, 200 μm.</w:t>
      </w:r>
    </w:p>
    <w:sectPr w:rsidR="00E27AAD" w:rsidRPr="007B5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E27AAD"/>
    <w:rsid w:val="0011634E"/>
    <w:rsid w:val="0014555C"/>
    <w:rsid w:val="001D181C"/>
    <w:rsid w:val="003315B0"/>
    <w:rsid w:val="00652A7C"/>
    <w:rsid w:val="00866F28"/>
    <w:rsid w:val="00955285"/>
    <w:rsid w:val="00A60763"/>
    <w:rsid w:val="00AE661B"/>
    <w:rsid w:val="00B7523B"/>
    <w:rsid w:val="00B8115A"/>
    <w:rsid w:val="00BB32DF"/>
    <w:rsid w:val="00C04B9D"/>
    <w:rsid w:val="00C15832"/>
    <w:rsid w:val="00D04CFF"/>
    <w:rsid w:val="00D56684"/>
    <w:rsid w:val="00E10B77"/>
    <w:rsid w:val="00E22726"/>
    <w:rsid w:val="00E27AAD"/>
    <w:rsid w:val="00E7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AD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D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AD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D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2192</Characters>
  <Application>Microsoft Office Word</Application>
  <DocSecurity>0</DocSecurity>
  <Lines>109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Aanstoot, Rene, BioMed Central Ltd.</dc:creator>
  <cp:lastModifiedBy>MSARDAN</cp:lastModifiedBy>
  <cp:revision>2</cp:revision>
  <dcterms:created xsi:type="dcterms:W3CDTF">2020-01-08T10:30:00Z</dcterms:created>
  <dcterms:modified xsi:type="dcterms:W3CDTF">2020-01-11T02:34:00Z</dcterms:modified>
</cp:coreProperties>
</file>