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DB908" w14:textId="77777777" w:rsidR="00441780" w:rsidRPr="00F35313" w:rsidRDefault="00441780" w:rsidP="00441780">
      <w:pPr>
        <w:pStyle w:val="Heading2"/>
        <w:rPr>
          <w:color w:val="000000" w:themeColor="text1"/>
        </w:rPr>
      </w:pPr>
      <w:bookmarkStart w:id="0" w:name="_Toc521051830"/>
      <w:r w:rsidRPr="00F35313">
        <w:rPr>
          <w:color w:val="000000" w:themeColor="text1"/>
        </w:rPr>
        <w:t>Supplementary Materials</w:t>
      </w:r>
      <w:bookmarkEnd w:id="0"/>
    </w:p>
    <w:p w14:paraId="7820506E" w14:textId="77777777" w:rsidR="00441780" w:rsidRPr="00F35313" w:rsidRDefault="00441780" w:rsidP="00441780">
      <w:pPr>
        <w:jc w:val="center"/>
        <w:rPr>
          <w:b/>
          <w:color w:val="000000" w:themeColor="text1"/>
        </w:rPr>
      </w:pPr>
      <w:r w:rsidRPr="00F35313">
        <w:rPr>
          <w:b/>
          <w:noProof/>
          <w:color w:val="000000" w:themeColor="text1"/>
        </w:rPr>
        <w:drawing>
          <wp:inline distT="0" distB="0" distL="0" distR="0" wp14:anchorId="37330F1D" wp14:editId="3CD7AB85">
            <wp:extent cx="3125165" cy="774948"/>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a:ext>
                      </a:extLst>
                    </a:blip>
                    <a:stretch>
                      <a:fillRect/>
                    </a:stretch>
                  </pic:blipFill>
                  <pic:spPr>
                    <a:xfrm>
                      <a:off x="0" y="0"/>
                      <a:ext cx="3209065" cy="795753"/>
                    </a:xfrm>
                    <a:prstGeom prst="rect">
                      <a:avLst/>
                    </a:prstGeom>
                  </pic:spPr>
                </pic:pic>
              </a:graphicData>
            </a:graphic>
          </wp:inline>
        </w:drawing>
      </w:r>
      <w:bookmarkStart w:id="1" w:name="_GoBack"/>
      <w:bookmarkEnd w:id="1"/>
    </w:p>
    <w:p w14:paraId="0ABA74B7" w14:textId="77777777" w:rsidR="00441780" w:rsidRPr="00F35313" w:rsidRDefault="00441780" w:rsidP="009413CF">
      <w:pPr>
        <w:pStyle w:val="Figures"/>
      </w:pPr>
      <w:bookmarkStart w:id="2" w:name="_Toc521931608"/>
      <w:r>
        <w:rPr>
          <w:b/>
        </w:rPr>
        <w:t xml:space="preserve">Figure </w:t>
      </w:r>
      <w:r w:rsidRPr="00F35313">
        <w:rPr>
          <w:b/>
        </w:rPr>
        <w:t>S1.</w:t>
      </w:r>
      <w:r w:rsidRPr="00F35313">
        <w:t xml:space="preserve"> Designed target sequence for gRNA in CRISPR Cas9 plasmid.</w:t>
      </w:r>
      <w:bookmarkEnd w:id="2"/>
    </w:p>
    <w:p w14:paraId="26474BC5" w14:textId="77777777" w:rsidR="00CA2D9E" w:rsidRDefault="00CA2D9E" w:rsidP="00441780">
      <w:pPr>
        <w:pStyle w:val="Heading3"/>
        <w:rPr>
          <w:color w:val="000000" w:themeColor="text1"/>
        </w:rPr>
      </w:pPr>
      <w:bookmarkStart w:id="3" w:name="_Toc521051831"/>
    </w:p>
    <w:p w14:paraId="443EFAF0" w14:textId="5E5BE594" w:rsidR="00CA2D9E" w:rsidRPr="00F35313" w:rsidRDefault="00CA2D9E" w:rsidP="00CA2D9E">
      <w:pPr>
        <w:pStyle w:val="Heading3"/>
      </w:pPr>
      <w:bookmarkStart w:id="4" w:name="_Toc521051808"/>
      <w:bookmarkEnd w:id="3"/>
      <w:r>
        <w:t xml:space="preserve">Measurement and calculation of </w:t>
      </w:r>
      <w:r w:rsidRPr="00F35313">
        <w:t>TIPS pentacene encapsulation</w:t>
      </w:r>
      <w:bookmarkEnd w:id="4"/>
    </w:p>
    <w:p w14:paraId="3F2D9CE2" w14:textId="2C4119AA" w:rsidR="00CA2D9E" w:rsidRPr="00F35313" w:rsidRDefault="00CA2D9E" w:rsidP="00900163">
      <w:pPr>
        <w:ind w:firstLine="360"/>
        <w:rPr>
          <w:color w:val="000000" w:themeColor="text1"/>
        </w:rPr>
      </w:pPr>
      <w:r w:rsidRPr="00F35313">
        <w:rPr>
          <w:color w:val="000000" w:themeColor="text1"/>
        </w:rPr>
        <w:t xml:space="preserve">The targeted TIPS pentacene loading of 1.5 wt% was based on the mass of TIPS pentacene and PLGA dissolved in the solvent mixture used for fabrication. As with the NMR measurements, NPs for the TIPS pentacene composition measurements were freeze dried without trehalose cryoprotectant. </w:t>
      </w:r>
      <w:r w:rsidR="00717C65">
        <w:rPr>
          <w:color w:val="000000" w:themeColor="text1"/>
        </w:rPr>
        <w:t xml:space="preserve">The freeze </w:t>
      </w:r>
      <w:r w:rsidR="00B61EB7" w:rsidRPr="00F35313">
        <w:rPr>
          <w:color w:val="000000" w:themeColor="text1"/>
        </w:rPr>
        <w:t>dried nanoparticles were then dissolved in THF at concentrations of 0.2 and 0.5 mg/mL with vortex mixing and no sonication, again to protect TIPS pentacene from thermal degradation. TIPS exhibits a local absorbance maximum at 641 nm (</w:t>
      </w:r>
      <w:r w:rsidR="00B61EB7">
        <w:rPr>
          <w:b/>
          <w:color w:val="000000" w:themeColor="text1"/>
        </w:rPr>
        <w:t>Fig. 1b</w:t>
      </w:r>
      <w:r w:rsidR="00B61EB7" w:rsidRPr="00F35313">
        <w:rPr>
          <w:color w:val="000000" w:themeColor="text1"/>
        </w:rPr>
        <w:t>) where PLGA and Pluronic F127 do not absorb at all and so the absorbance at this wavelength was used to quantify TIPS pentacene loading. The absorbances of these solutions were compared to an absorbance vs. TIPS pentacene concentration calibration curve (</w:t>
      </w:r>
      <w:r w:rsidR="00B61EB7">
        <w:rPr>
          <w:b/>
          <w:color w:val="000000" w:themeColor="text1"/>
        </w:rPr>
        <w:t>Fig. 1c</w:t>
      </w:r>
      <w:r w:rsidR="00B61EB7" w:rsidRPr="00F35313">
        <w:rPr>
          <w:color w:val="000000" w:themeColor="text1"/>
        </w:rPr>
        <w:t>) to determine the TIPS pentacene concentration in the NP solution</w:t>
      </w:r>
      <w:r w:rsidR="005C741B">
        <w:rPr>
          <w:color w:val="000000" w:themeColor="text1"/>
        </w:rPr>
        <w:t>, C</w:t>
      </w:r>
      <w:r w:rsidR="005C741B" w:rsidRPr="009413CF">
        <w:rPr>
          <w:color w:val="000000" w:themeColor="text1"/>
          <w:vertAlign w:val="subscript"/>
        </w:rPr>
        <w:t>TIPS pentacene</w:t>
      </w:r>
      <w:r w:rsidR="00B61EB7" w:rsidRPr="009413CF">
        <w:rPr>
          <w:color w:val="000000" w:themeColor="text1"/>
          <w:vertAlign w:val="subscript"/>
        </w:rPr>
        <w:t xml:space="preserve"> </w:t>
      </w:r>
      <w:r w:rsidR="009A17E4">
        <w:rPr>
          <w:color w:val="000000" w:themeColor="text1"/>
          <w:vertAlign w:val="subscript"/>
        </w:rPr>
        <w:t xml:space="preserve"> </w:t>
      </w:r>
      <w:r w:rsidR="009A17E4">
        <w:rPr>
          <w:color w:val="000000" w:themeColor="text1"/>
        </w:rPr>
        <w:t>according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gridCol w:w="738"/>
      </w:tblGrid>
      <w:tr w:rsidR="00CA2D9E" w:rsidRPr="00F35313" w14:paraId="5DC2321C" w14:textId="77777777" w:rsidTr="00073FA4">
        <w:tc>
          <w:tcPr>
            <w:tcW w:w="8838" w:type="dxa"/>
          </w:tcPr>
          <w:p w14:paraId="53E85FD2" w14:textId="0C1378E2" w:rsidR="00CA2D9E" w:rsidRPr="005C741B" w:rsidRDefault="005C741B" w:rsidP="00073FA4">
            <w:pPr>
              <w:rPr>
                <w:color w:val="000000" w:themeColor="text1"/>
              </w:rPr>
            </w:pPr>
            <m:oMathPara>
              <m:oMath>
                <m:r>
                  <m:rPr>
                    <m:sty m:val="p"/>
                  </m:rPr>
                  <w:rPr>
                    <w:rFonts w:ascii="Cambria Math" w:hAnsi="Cambria Math"/>
                    <w:color w:val="000000" w:themeColor="text1"/>
                  </w:rPr>
                  <m:t>Absorbance=29.084*</m:t>
                </m:r>
                <m:sSub>
                  <m:sSubPr>
                    <m:ctrlPr>
                      <w:rPr>
                        <w:rFonts w:ascii="Cambria Math" w:hAnsi="Cambria Math"/>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TIPS pentacene</m:t>
                    </m:r>
                  </m:sub>
                </m:sSub>
                <m:r>
                  <m:rPr>
                    <m:sty m:val="p"/>
                  </m:rPr>
                  <w:rPr>
                    <w:rFonts w:ascii="Cambria Math" w:hAnsi="Cambria Math"/>
                    <w:color w:val="000000" w:themeColor="text1"/>
                  </w:rPr>
                  <m:t>+0.0021</m:t>
                </m:r>
              </m:oMath>
            </m:oMathPara>
          </w:p>
        </w:tc>
        <w:tc>
          <w:tcPr>
            <w:tcW w:w="738" w:type="dxa"/>
          </w:tcPr>
          <w:p w14:paraId="14B0CD57" w14:textId="7DE23495" w:rsidR="00CA2D9E" w:rsidRPr="00F35313" w:rsidRDefault="00CA2D9E" w:rsidP="00073FA4">
            <w:pPr>
              <w:rPr>
                <w:color w:val="000000" w:themeColor="text1"/>
              </w:rPr>
            </w:pPr>
            <w:r>
              <w:rPr>
                <w:color w:val="000000" w:themeColor="text1"/>
              </w:rPr>
              <w:t>(S</w:t>
            </w:r>
            <w:r w:rsidRPr="00F35313">
              <w:rPr>
                <w:color w:val="000000" w:themeColor="text1"/>
              </w:rPr>
              <w:t>1)</w:t>
            </w:r>
          </w:p>
        </w:tc>
      </w:tr>
    </w:tbl>
    <w:p w14:paraId="55928F88" w14:textId="58825EC8" w:rsidR="00E3147D" w:rsidRPr="00F35313" w:rsidRDefault="00CA2D9E" w:rsidP="009413CF">
      <w:pPr>
        <w:rPr>
          <w:color w:val="000000" w:themeColor="text1"/>
        </w:rPr>
      </w:pPr>
      <w:r w:rsidRPr="00F35313">
        <w:rPr>
          <w:color w:val="000000" w:themeColor="text1"/>
        </w:rPr>
        <w:t xml:space="preserve">The calculated TIPS concentration was subtracted from the known NP concentration to obtain the polymer concentration in solution and then, using the PLGA/F127 mass ratio of 92/8 determined by NMR (described below), the PLGA concentration was calculated which permitted a calculation of the TIPS pentacene loading relative to the PLGA content. </w:t>
      </w:r>
      <w:r w:rsidR="00E3147D" w:rsidRPr="00F35313">
        <w:rPr>
          <w:color w:val="000000" w:themeColor="text1"/>
        </w:rPr>
        <w:t>The loading was then used to back calculate the encapsulation efficiency defined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6"/>
        <w:gridCol w:w="724"/>
      </w:tblGrid>
      <w:tr w:rsidR="00E3147D" w:rsidRPr="00F35313" w14:paraId="3A8E84AF" w14:textId="77777777" w:rsidTr="003F6D16">
        <w:tc>
          <w:tcPr>
            <w:tcW w:w="8636" w:type="dxa"/>
            <w:vAlign w:val="center"/>
          </w:tcPr>
          <w:p w14:paraId="72993B21" w14:textId="77777777" w:rsidR="00E3147D" w:rsidRPr="00F35313" w:rsidRDefault="00E3147D" w:rsidP="003F6D16">
            <w:pPr>
              <w:jc w:val="center"/>
              <w:rPr>
                <w:color w:val="000000" w:themeColor="text1"/>
              </w:rPr>
            </w:pPr>
            <m:oMathPara>
              <m:oMath>
                <m:r>
                  <w:rPr>
                    <w:rFonts w:ascii="Cambria Math" w:hAnsi="Cambria Math"/>
                    <w:color w:val="000000" w:themeColor="text1"/>
                  </w:rPr>
                  <w:lastRenderedPageBreak/>
                  <m:t xml:space="preserve">EE= </m:t>
                </m:r>
                <m:f>
                  <m:fPr>
                    <m:ctrlPr>
                      <w:rPr>
                        <w:rFonts w:ascii="Cambria Math" w:hAnsi="Cambria Math"/>
                        <w:i/>
                        <w:color w:val="000000" w:themeColor="text1"/>
                      </w:rPr>
                    </m:ctrlPr>
                  </m:fPr>
                  <m:num>
                    <m:r>
                      <w:rPr>
                        <w:rFonts w:ascii="Cambria Math" w:hAnsi="Cambria Math"/>
                        <w:color w:val="000000" w:themeColor="text1"/>
                      </w:rPr>
                      <m:t>wt% TIPS pentacene determined by absorbance measurement</m:t>
                    </m:r>
                  </m:num>
                  <m:den>
                    <m:r>
                      <w:rPr>
                        <w:rFonts w:ascii="Cambria Math" w:hAnsi="Cambria Math"/>
                        <w:color w:val="000000" w:themeColor="text1"/>
                      </w:rPr>
                      <m:t>wt% TIPS pentacene targeted during fabrication</m:t>
                    </m:r>
                  </m:den>
                </m:f>
              </m:oMath>
            </m:oMathPara>
          </w:p>
        </w:tc>
        <w:tc>
          <w:tcPr>
            <w:tcW w:w="724" w:type="dxa"/>
            <w:vAlign w:val="center"/>
          </w:tcPr>
          <w:p w14:paraId="7B7E6250" w14:textId="77777777" w:rsidR="00E3147D" w:rsidRPr="00F35313" w:rsidRDefault="00E3147D" w:rsidP="003F6D16">
            <w:pPr>
              <w:jc w:val="center"/>
              <w:rPr>
                <w:color w:val="000000" w:themeColor="text1"/>
              </w:rPr>
            </w:pPr>
            <w:r>
              <w:rPr>
                <w:color w:val="000000" w:themeColor="text1"/>
              </w:rPr>
              <w:t>(S</w:t>
            </w:r>
            <w:r w:rsidRPr="00F35313">
              <w:rPr>
                <w:color w:val="000000" w:themeColor="text1"/>
              </w:rPr>
              <w:t>2)</w:t>
            </w:r>
          </w:p>
        </w:tc>
      </w:tr>
    </w:tbl>
    <w:p w14:paraId="24DA7894" w14:textId="77777777" w:rsidR="00E3147D" w:rsidRDefault="00E3147D" w:rsidP="00CA2D9E">
      <w:pPr>
        <w:rPr>
          <w:color w:val="000000" w:themeColor="text1"/>
        </w:rPr>
      </w:pPr>
    </w:p>
    <w:p w14:paraId="7E093C27" w14:textId="0641C976" w:rsidR="00CA2D9E" w:rsidRPr="00F35313" w:rsidRDefault="00CA2D9E" w:rsidP="00CA2D9E">
      <w:pPr>
        <w:rPr>
          <w:color w:val="000000" w:themeColor="text1"/>
        </w:rPr>
      </w:pPr>
      <w:r w:rsidRPr="00F35313">
        <w:rPr>
          <w:color w:val="000000" w:themeColor="text1"/>
        </w:rPr>
        <w:t>For example, a 0.2 mg/mL concentration of NP dissolved in THF had an absorbance of 0.075 so that:</w:t>
      </w:r>
    </w:p>
    <w:p w14:paraId="43559828" w14:textId="77777777" w:rsidR="00CA2D9E" w:rsidRPr="00F35313" w:rsidRDefault="00CA2D9E" w:rsidP="00CA2D9E">
      <w:pPr>
        <w:rPr>
          <w:color w:val="000000" w:themeColor="text1"/>
        </w:rPr>
      </w:pPr>
      <m:oMathPara>
        <m:oMath>
          <m:r>
            <m:rPr>
              <m:sty m:val="p"/>
            </m:rPr>
            <w:rPr>
              <w:rFonts w:ascii="Cambria Math" w:hAnsi="Cambria Math"/>
              <w:color w:val="000000" w:themeColor="text1"/>
            </w:rPr>
            <m:t>TIPS pentacene concentration=</m:t>
          </m:r>
          <m:f>
            <m:fPr>
              <m:ctrlPr>
                <w:rPr>
                  <w:rFonts w:ascii="Cambria Math" w:hAnsi="Cambria Math"/>
                  <w:color w:val="000000" w:themeColor="text1"/>
                </w:rPr>
              </m:ctrlPr>
            </m:fPr>
            <m:num>
              <m:r>
                <m:rPr>
                  <m:sty m:val="p"/>
                </m:rPr>
                <w:rPr>
                  <w:rFonts w:ascii="Cambria Math" w:hAnsi="Cambria Math"/>
                  <w:color w:val="000000" w:themeColor="text1"/>
                </w:rPr>
                <m:t>Absorbance+0.0021</m:t>
              </m:r>
            </m:num>
            <m:den>
              <m:r>
                <m:rPr>
                  <m:sty m:val="p"/>
                </m:rPr>
                <w:rPr>
                  <w:rFonts w:ascii="Cambria Math" w:hAnsi="Cambria Math"/>
                  <w:color w:val="000000" w:themeColor="text1"/>
                </w:rPr>
                <m:t>29.084</m:t>
              </m:r>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0.075+0.0021</m:t>
              </m:r>
            </m:num>
            <m:den>
              <m:r>
                <m:rPr>
                  <m:sty m:val="p"/>
                </m:rPr>
                <w:rPr>
                  <w:rFonts w:ascii="Cambria Math" w:hAnsi="Cambria Math"/>
                  <w:color w:val="000000" w:themeColor="text1"/>
                </w:rPr>
                <m:t>29.084</m:t>
              </m:r>
            </m:den>
          </m:f>
          <m:r>
            <m:rPr>
              <m:sty m:val="p"/>
            </m:rPr>
            <w:rPr>
              <w:rFonts w:ascii="Cambria Math" w:hAnsi="Cambria Math"/>
              <w:color w:val="000000" w:themeColor="text1"/>
            </w:rPr>
            <m:t>=0.0025</m:t>
          </m:r>
          <m:f>
            <m:fPr>
              <m:ctrlPr>
                <w:rPr>
                  <w:rFonts w:ascii="Cambria Math" w:hAnsi="Cambria Math"/>
                  <w:color w:val="000000" w:themeColor="text1"/>
                </w:rPr>
              </m:ctrlPr>
            </m:fPr>
            <m:num>
              <m:r>
                <m:rPr>
                  <m:sty m:val="p"/>
                </m:rPr>
                <w:rPr>
                  <w:rFonts w:ascii="Cambria Math" w:hAnsi="Cambria Math"/>
                  <w:color w:val="000000" w:themeColor="text1"/>
                </w:rPr>
                <m:t>mg</m:t>
              </m:r>
            </m:num>
            <m:den>
              <m:r>
                <m:rPr>
                  <m:sty m:val="p"/>
                </m:rPr>
                <w:rPr>
                  <w:rFonts w:ascii="Cambria Math" w:hAnsi="Cambria Math"/>
                  <w:color w:val="000000" w:themeColor="text1"/>
                </w:rPr>
                <m:t>mL</m:t>
              </m:r>
            </m:den>
          </m:f>
        </m:oMath>
      </m:oMathPara>
    </w:p>
    <w:p w14:paraId="2734871E" w14:textId="77777777" w:rsidR="008C3AD4" w:rsidRDefault="008C3AD4" w:rsidP="00CA2D9E">
      <w:pPr>
        <w:rPr>
          <w:color w:val="000000" w:themeColor="text1"/>
        </w:rPr>
      </w:pPr>
    </w:p>
    <w:p w14:paraId="45BB1743" w14:textId="799012F7" w:rsidR="00CA2D9E" w:rsidRPr="00F35313" w:rsidRDefault="00CA2D9E" w:rsidP="00CA2D9E">
      <w:pPr>
        <w:rPr>
          <w:color w:val="000000" w:themeColor="text1"/>
        </w:rPr>
      </w:pPr>
      <w:r w:rsidRPr="00F35313">
        <w:rPr>
          <w:color w:val="000000" w:themeColor="text1"/>
        </w:rPr>
        <w:t>The TIPS pentacene loading, defined as (TIPS mass/PLGA mass) is given by:</w:t>
      </w:r>
    </w:p>
    <w:p w14:paraId="35785249" w14:textId="77777777" w:rsidR="00CA2D9E" w:rsidRPr="00F35313" w:rsidRDefault="00CA2D9E" w:rsidP="00CA2D9E">
      <w:pPr>
        <w:rPr>
          <w:color w:val="000000" w:themeColor="text1"/>
        </w:rPr>
      </w:pPr>
      <m:oMathPara>
        <m:oMath>
          <m:r>
            <m:rPr>
              <m:sty m:val="p"/>
            </m:rPr>
            <w:rPr>
              <w:rFonts w:ascii="Cambria Math" w:hAnsi="Cambria Math"/>
              <w:color w:val="000000" w:themeColor="text1"/>
            </w:rPr>
            <m:t>TIPS pentacene loading=</m:t>
          </m:r>
          <m:f>
            <m:fPr>
              <m:ctrlPr>
                <w:rPr>
                  <w:rFonts w:ascii="Cambria Math" w:hAnsi="Cambria Math"/>
                  <w:color w:val="000000" w:themeColor="text1"/>
                </w:rPr>
              </m:ctrlPr>
            </m:fPr>
            <m:num>
              <m:r>
                <m:rPr>
                  <m:sty m:val="p"/>
                </m:rPr>
                <w:rPr>
                  <w:rFonts w:ascii="Cambria Math" w:hAnsi="Cambria Math"/>
                  <w:color w:val="000000" w:themeColor="text1"/>
                </w:rPr>
                <m:t>0.0025</m:t>
              </m:r>
            </m:num>
            <m:den>
              <m:d>
                <m:dPr>
                  <m:ctrlPr>
                    <w:rPr>
                      <w:rFonts w:ascii="Cambria Math" w:hAnsi="Cambria Math"/>
                      <w:color w:val="000000" w:themeColor="text1"/>
                    </w:rPr>
                  </m:ctrlPr>
                </m:dPr>
                <m:e>
                  <m:r>
                    <m:rPr>
                      <m:sty m:val="p"/>
                    </m:rPr>
                    <w:rPr>
                      <w:rFonts w:ascii="Cambria Math" w:hAnsi="Cambria Math"/>
                      <w:color w:val="000000" w:themeColor="text1"/>
                    </w:rPr>
                    <m:t>0.2-0.0025</m:t>
                  </m:r>
                </m:e>
              </m:d>
              <m:r>
                <m:rPr>
                  <m:sty m:val="p"/>
                </m:rPr>
                <w:rPr>
                  <w:rFonts w:ascii="Cambria Math" w:hAnsi="Cambria Math"/>
                  <w:color w:val="000000" w:themeColor="text1"/>
                </w:rPr>
                <m:t>*92% PLGA</m:t>
              </m:r>
            </m:den>
          </m:f>
          <m:r>
            <m:rPr>
              <m:sty m:val="p"/>
            </m:rPr>
            <w:rPr>
              <w:rFonts w:ascii="Cambria Math" w:hAnsi="Cambria Math"/>
              <w:color w:val="000000" w:themeColor="text1"/>
            </w:rPr>
            <m:t>x100%=1.38 ±0.11 wt%</m:t>
          </m:r>
        </m:oMath>
      </m:oMathPara>
    </w:p>
    <w:p w14:paraId="482ACC7A" w14:textId="77777777" w:rsidR="008C3AD4" w:rsidRDefault="008C3AD4" w:rsidP="00CA2D9E">
      <w:pPr>
        <w:rPr>
          <w:color w:val="000000" w:themeColor="text1"/>
        </w:rPr>
      </w:pPr>
    </w:p>
    <w:p w14:paraId="63F99867" w14:textId="25304744" w:rsidR="00CA2D9E" w:rsidRPr="00F35313" w:rsidRDefault="00CA2D9E" w:rsidP="00CA2D9E">
      <w:pPr>
        <w:rPr>
          <w:color w:val="000000" w:themeColor="text1"/>
        </w:rPr>
      </w:pPr>
      <w:r w:rsidRPr="00F35313">
        <w:rPr>
          <w:color w:val="000000" w:themeColor="text1"/>
        </w:rPr>
        <w:t>and the TIPS encapsulation efficiency, EE,</w:t>
      </w:r>
      <w:r w:rsidR="00900163">
        <w:rPr>
          <w:color w:val="000000" w:themeColor="text1"/>
        </w:rPr>
        <w:t xml:space="preserve"> relative to the PLGA</w:t>
      </w:r>
      <w:r w:rsidRPr="00F35313">
        <w:rPr>
          <w:color w:val="000000" w:themeColor="text1"/>
        </w:rPr>
        <w:t xml:space="preserve"> is:</w:t>
      </w:r>
    </w:p>
    <w:p w14:paraId="7958981B" w14:textId="77777777" w:rsidR="00CA2D9E" w:rsidRPr="00F35313" w:rsidRDefault="00CA2D9E" w:rsidP="00CA2D9E">
      <w:pPr>
        <w:rPr>
          <w:color w:val="000000" w:themeColor="text1"/>
        </w:rPr>
      </w:pPr>
      <m:oMathPara>
        <m:oMath>
          <m:r>
            <m:rPr>
              <m:sty m:val="p"/>
            </m:rPr>
            <w:rPr>
              <w:rFonts w:ascii="Cambria Math" w:hAnsi="Cambria Math"/>
              <w:color w:val="000000" w:themeColor="text1"/>
            </w:rPr>
            <m:t xml:space="preserve">EE= </m:t>
          </m:r>
          <m:f>
            <m:fPr>
              <m:ctrlPr>
                <w:rPr>
                  <w:rFonts w:ascii="Cambria Math" w:hAnsi="Cambria Math"/>
                  <w:color w:val="000000" w:themeColor="text1"/>
                </w:rPr>
              </m:ctrlPr>
            </m:fPr>
            <m:num>
              <m:r>
                <m:rPr>
                  <m:sty m:val="p"/>
                </m:rPr>
                <w:rPr>
                  <w:rFonts w:ascii="Cambria Math" w:hAnsi="Cambria Math"/>
                  <w:color w:val="000000" w:themeColor="text1"/>
                </w:rPr>
                <m:t>wt% TIPS pentacene calculated</m:t>
              </m:r>
            </m:num>
            <m:den>
              <m:r>
                <m:rPr>
                  <m:sty m:val="p"/>
                </m:rPr>
                <w:rPr>
                  <w:rFonts w:ascii="Cambria Math" w:hAnsi="Cambria Math"/>
                  <w:color w:val="000000" w:themeColor="text1"/>
                </w:rPr>
                <m:t>wt% TIPS pentacene targeted during fabrication</m:t>
              </m:r>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1.38 wt%</m:t>
              </m:r>
            </m:num>
            <m:den>
              <m:r>
                <m:rPr>
                  <m:sty m:val="p"/>
                </m:rPr>
                <w:rPr>
                  <w:rFonts w:ascii="Cambria Math" w:hAnsi="Cambria Math"/>
                  <w:color w:val="000000" w:themeColor="text1"/>
                </w:rPr>
                <m:t>1.5 wt%</m:t>
              </m:r>
            </m:den>
          </m:f>
          <m:r>
            <m:rPr>
              <m:sty m:val="p"/>
            </m:rPr>
            <w:rPr>
              <w:rFonts w:ascii="Cambria Math" w:hAnsi="Cambria Math"/>
              <w:color w:val="000000" w:themeColor="text1"/>
            </w:rPr>
            <m:t>=92% EE</m:t>
          </m:r>
        </m:oMath>
      </m:oMathPara>
    </w:p>
    <w:p w14:paraId="56D04B34" w14:textId="77777777" w:rsidR="00CA2D9E" w:rsidRPr="00F35313" w:rsidRDefault="00CA2D9E" w:rsidP="00CA2D9E">
      <w:pPr>
        <w:rPr>
          <w:i/>
          <w:color w:val="000000" w:themeColor="text1"/>
        </w:rPr>
      </w:pPr>
    </w:p>
    <w:p w14:paraId="0FE1EC6D" w14:textId="77777777" w:rsidR="00CA2D9E" w:rsidRPr="00F35313" w:rsidRDefault="00CA2D9E" w:rsidP="00CA2D9E">
      <w:pPr>
        <w:rPr>
          <w:color w:val="000000" w:themeColor="text1"/>
        </w:rPr>
      </w:pPr>
      <w:r w:rsidRPr="00F35313">
        <w:rPr>
          <w:color w:val="000000" w:themeColor="text1"/>
        </w:rPr>
        <w:t xml:space="preserve">The major source of uncertainty comes from the propagation of uncertainty in the PLGA composition given the NMR measurements. This analysis shows that almost all of the TIPS pentacene was encapsulated which is consistent with the highly hydrophobic nature of the small molecule fluorophore. </w:t>
      </w:r>
    </w:p>
    <w:p w14:paraId="1AF1AB22" w14:textId="77777777" w:rsidR="00CA2D9E" w:rsidRPr="00F35313" w:rsidRDefault="00CA2D9E" w:rsidP="00441780">
      <w:pPr>
        <w:rPr>
          <w:color w:val="000000" w:themeColor="text1"/>
        </w:rPr>
      </w:pPr>
    </w:p>
    <w:p w14:paraId="63A51A68" w14:textId="72FFD778" w:rsidR="00CA2D9E" w:rsidRPr="00CA2D9E" w:rsidRDefault="00CA2D9E" w:rsidP="00CA2D9E">
      <w:pPr>
        <w:rPr>
          <w:i/>
          <w:color w:val="000000" w:themeColor="text1"/>
        </w:rPr>
      </w:pPr>
      <w:r>
        <w:rPr>
          <w:i/>
          <w:color w:val="000000" w:themeColor="text1"/>
        </w:rPr>
        <w:t>Determining NP:trehalose r</w:t>
      </w:r>
      <w:r w:rsidR="000023F9">
        <w:rPr>
          <w:i/>
          <w:color w:val="000000" w:themeColor="text1"/>
        </w:rPr>
        <w:t>atio using TIPS pentacene</w:t>
      </w:r>
    </w:p>
    <w:p w14:paraId="2C1F922A" w14:textId="4CCFD3FF" w:rsidR="00CA2D9E" w:rsidRPr="00F35313" w:rsidRDefault="00CA2D9E" w:rsidP="00CA2D9E">
      <w:pPr>
        <w:ind w:firstLine="720"/>
        <w:rPr>
          <w:color w:val="000000" w:themeColor="text1"/>
        </w:rPr>
      </w:pPr>
      <w:r w:rsidRPr="00F35313">
        <w:rPr>
          <w:color w:val="000000" w:themeColor="text1"/>
        </w:rPr>
        <w:t>From the 3 tubes of 0.5 mL reserve suspension that were freeze dried without trehalose, the NP concentration of</w:t>
      </w:r>
      <w:r>
        <w:rPr>
          <w:color w:val="000000" w:themeColor="text1"/>
        </w:rPr>
        <w:t xml:space="preserve"> the reserve suspension (eq. (</w:t>
      </w:r>
      <w:r w:rsidR="000023F9">
        <w:rPr>
          <w:color w:val="000000" w:themeColor="text1"/>
        </w:rPr>
        <w:t>S</w:t>
      </w:r>
      <w:r w:rsidRPr="00F35313">
        <w:rPr>
          <w:color w:val="000000" w:themeColor="text1"/>
        </w:rPr>
        <w:t>3)) was determined using the TIPS pentacene calibration curve and the calculated TIPS pentacene loading.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gridCol w:w="738"/>
      </w:tblGrid>
      <w:tr w:rsidR="00CA2D9E" w:rsidRPr="00F35313" w14:paraId="74F9F7DF" w14:textId="77777777" w:rsidTr="00073FA4">
        <w:tc>
          <w:tcPr>
            <w:tcW w:w="8838" w:type="dxa"/>
            <w:vAlign w:val="center"/>
          </w:tcPr>
          <w:p w14:paraId="5237274E" w14:textId="19425991" w:rsidR="00CA2D9E" w:rsidRPr="008C3AD4" w:rsidRDefault="001D6D97" w:rsidP="00073FA4">
            <w:pPr>
              <w:jc w:val="center"/>
              <w:rPr>
                <w:color w:val="000000" w:themeColor="text1"/>
              </w:rPr>
            </w:pPr>
            <m:oMathPara>
              <m:oMath>
                <m:sSub>
                  <m:sSubPr>
                    <m:ctrlPr>
                      <w:rPr>
                        <w:rFonts w:ascii="Cambria Math" w:hAnsi="Cambria Math"/>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NP reserve</m:t>
                    </m:r>
                  </m:sub>
                </m:sSub>
                <m:r>
                  <m:rPr>
                    <m:sty m:val="p"/>
                  </m:rPr>
                  <w:rPr>
                    <w:rFonts w:ascii="Cambria Math" w:hAnsi="Cambria Math"/>
                    <w:color w:val="000000" w:themeColor="text1"/>
                  </w:rPr>
                  <m:t xml:space="preserve">= </m:t>
                </m:r>
                <m:f>
                  <m:fPr>
                    <m:ctrlPr>
                      <w:rPr>
                        <w:rFonts w:ascii="Cambria Math" w:hAnsi="Cambria Math"/>
                        <w:color w:val="000000" w:themeColor="text1"/>
                      </w:rPr>
                    </m:ctrlPr>
                  </m:fPr>
                  <m:num>
                    <m:sSub>
                      <m:sSubPr>
                        <m:ctrlPr>
                          <w:rPr>
                            <w:rFonts w:ascii="Cambria Math" w:hAnsi="Cambria Math"/>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TIPS tube</m:t>
                        </m:r>
                      </m:sub>
                    </m:sSub>
                  </m:num>
                  <m:den>
                    <m:sSub>
                      <m:sSubPr>
                        <m:ctrlPr>
                          <w:rPr>
                            <w:rFonts w:ascii="Cambria Math" w:hAnsi="Cambria Math"/>
                            <w:color w:val="000000" w:themeColor="text1"/>
                          </w:rPr>
                        </m:ctrlPr>
                      </m:sSubPr>
                      <m:e>
                        <m:r>
                          <m:rPr>
                            <m:sty m:val="p"/>
                          </m:rPr>
                          <w:rPr>
                            <w:rFonts w:ascii="Cambria Math" w:hAnsi="Cambria Math"/>
                            <w:color w:val="000000" w:themeColor="text1"/>
                          </w:rPr>
                          <m:t>wt%</m:t>
                        </m:r>
                      </m:e>
                      <m:sub>
                        <m:r>
                          <m:rPr>
                            <m:sty m:val="p"/>
                          </m:rPr>
                          <w:rPr>
                            <w:rFonts w:ascii="Cambria Math" w:hAnsi="Cambria Math"/>
                            <w:color w:val="000000" w:themeColor="text1"/>
                          </w:rPr>
                          <m:t>TIPS(wrtNP)</m:t>
                        </m:r>
                      </m:sub>
                    </m:sSub>
                  </m:den>
                </m:f>
                <m:r>
                  <m:rPr>
                    <m:sty m:val="p"/>
                  </m:rPr>
                  <w:rPr>
                    <w:rFonts w:ascii="Cambria Math" w:hAnsi="Cambria Math"/>
                    <w:color w:val="000000" w:themeColor="text1"/>
                  </w:rPr>
                  <m:t>*100</m:t>
                </m:r>
              </m:oMath>
            </m:oMathPara>
          </w:p>
        </w:tc>
        <w:tc>
          <w:tcPr>
            <w:tcW w:w="738" w:type="dxa"/>
            <w:vAlign w:val="center"/>
          </w:tcPr>
          <w:p w14:paraId="28EBB135" w14:textId="77591B26" w:rsidR="00CA2D9E" w:rsidRPr="00F35313" w:rsidRDefault="00CA2D9E" w:rsidP="00073FA4">
            <w:pPr>
              <w:jc w:val="center"/>
              <w:rPr>
                <w:color w:val="000000" w:themeColor="text1"/>
              </w:rPr>
            </w:pPr>
            <w:r>
              <w:rPr>
                <w:color w:val="000000" w:themeColor="text1"/>
              </w:rPr>
              <w:t>(S</w:t>
            </w:r>
            <w:r w:rsidRPr="00F35313">
              <w:rPr>
                <w:color w:val="000000" w:themeColor="text1"/>
              </w:rPr>
              <w:t>3)</w:t>
            </w:r>
          </w:p>
        </w:tc>
      </w:tr>
    </w:tbl>
    <w:p w14:paraId="34A71A00" w14:textId="4F0746F2" w:rsidR="00CA2D9E" w:rsidRPr="00F35313" w:rsidRDefault="00CA2D9E" w:rsidP="00CA2D9E">
      <w:pPr>
        <w:rPr>
          <w:color w:val="000000" w:themeColor="text1"/>
        </w:rPr>
      </w:pPr>
      <w:r w:rsidRPr="00F35313">
        <w:rPr>
          <w:color w:val="000000" w:themeColor="text1"/>
        </w:rPr>
        <w:t>where C</w:t>
      </w:r>
      <w:r w:rsidRPr="00F35313">
        <w:rPr>
          <w:color w:val="000000" w:themeColor="text1"/>
          <w:vertAlign w:val="subscript"/>
        </w:rPr>
        <w:t>NP</w:t>
      </w:r>
      <w:r w:rsidR="008C3AD4">
        <w:rPr>
          <w:color w:val="000000" w:themeColor="text1"/>
          <w:vertAlign w:val="subscript"/>
        </w:rPr>
        <w:t xml:space="preserve"> </w:t>
      </w:r>
      <w:r w:rsidRPr="00F35313">
        <w:rPr>
          <w:color w:val="000000" w:themeColor="text1"/>
          <w:vertAlign w:val="subscript"/>
        </w:rPr>
        <w:t>reserve</w:t>
      </w:r>
      <w:r w:rsidRPr="00F35313">
        <w:rPr>
          <w:color w:val="000000" w:themeColor="text1"/>
        </w:rPr>
        <w:t xml:space="preserve"> is the NP concentration in the reserve suspension, C</w:t>
      </w:r>
      <w:r w:rsidRPr="00F35313">
        <w:rPr>
          <w:color w:val="000000" w:themeColor="text1"/>
          <w:vertAlign w:val="subscript"/>
        </w:rPr>
        <w:t>TIP</w:t>
      </w:r>
      <w:r w:rsidR="008C3AD4">
        <w:rPr>
          <w:color w:val="000000" w:themeColor="text1"/>
          <w:vertAlign w:val="subscript"/>
        </w:rPr>
        <w:t xml:space="preserve"> </w:t>
      </w:r>
      <w:r w:rsidRPr="00F35313">
        <w:rPr>
          <w:color w:val="000000" w:themeColor="text1"/>
          <w:vertAlign w:val="subscript"/>
        </w:rPr>
        <w:t>tube</w:t>
      </w:r>
      <w:r w:rsidRPr="00F35313">
        <w:rPr>
          <w:color w:val="000000" w:themeColor="text1"/>
        </w:rPr>
        <w:t xml:space="preserve"> is the concentration of TIPS pentacene in the dissolved NP samples from the freeze dried tubes, and wt%</w:t>
      </w:r>
      <w:r w:rsidRPr="00F35313">
        <w:rPr>
          <w:color w:val="000000" w:themeColor="text1"/>
          <w:vertAlign w:val="subscript"/>
        </w:rPr>
        <w:t>TIPS(wrtNP)</w:t>
      </w:r>
      <w:r w:rsidRPr="00F35313">
        <w:rPr>
          <w:color w:val="000000" w:themeColor="text1"/>
        </w:rPr>
        <w:t xml:space="preserve"> is the wt% TIPS pentacene with respect to the entire NP</w:t>
      </w:r>
      <w:r w:rsidR="007A6E2B">
        <w:rPr>
          <w:color w:val="000000" w:themeColor="text1"/>
        </w:rPr>
        <w:t xml:space="preserve"> (PLGA + Pluronic F127)</w:t>
      </w:r>
      <w:r w:rsidRPr="00F35313">
        <w:rPr>
          <w:color w:val="000000" w:themeColor="text1"/>
        </w:rPr>
        <w:t xml:space="preserve"> as measured from UV-Vis spectrophotometry of a known mass of NP (not to be confused with the wt% TIPS calculated with respect to PLGA as done during the EE calculations) (wt%</w:t>
      </w:r>
      <w:r w:rsidRPr="00F35313">
        <w:rPr>
          <w:color w:val="000000" w:themeColor="text1"/>
          <w:vertAlign w:val="subscript"/>
        </w:rPr>
        <w:t>TIPS(wrtNP)</w:t>
      </w:r>
      <w:r>
        <w:rPr>
          <w:color w:val="000000" w:themeColor="text1"/>
        </w:rPr>
        <w:t xml:space="preserve"> = 1.25). </w:t>
      </w:r>
      <w:r w:rsidR="007A6E2B">
        <w:rPr>
          <w:color w:val="000000" w:themeColor="text1"/>
        </w:rPr>
        <w:t xml:space="preserve">For </w:t>
      </w:r>
      <w:r>
        <w:rPr>
          <w:color w:val="000000" w:themeColor="text1"/>
        </w:rPr>
        <w:t>Eq. (</w:t>
      </w:r>
      <w:r w:rsidR="000023F9">
        <w:rPr>
          <w:color w:val="000000" w:themeColor="text1"/>
        </w:rPr>
        <w:t>S</w:t>
      </w:r>
      <w:r w:rsidRPr="00F35313">
        <w:rPr>
          <w:color w:val="000000" w:themeColor="text1"/>
        </w:rPr>
        <w:t>3)</w:t>
      </w:r>
      <w:r w:rsidR="007A6E2B">
        <w:rPr>
          <w:color w:val="000000" w:themeColor="text1"/>
        </w:rPr>
        <w:t>, it is</w:t>
      </w:r>
      <w:r w:rsidRPr="00F35313">
        <w:rPr>
          <w:color w:val="000000" w:themeColor="text1"/>
        </w:rPr>
        <w:t xml:space="preserve"> also </w:t>
      </w:r>
      <w:r w:rsidR="007A6E2B" w:rsidRPr="00F35313">
        <w:rPr>
          <w:color w:val="000000" w:themeColor="text1"/>
        </w:rPr>
        <w:t>assume</w:t>
      </w:r>
      <w:r w:rsidR="007A6E2B">
        <w:rPr>
          <w:color w:val="000000" w:themeColor="text1"/>
        </w:rPr>
        <w:t>d that</w:t>
      </w:r>
      <w:r w:rsidR="007A6E2B" w:rsidRPr="00F35313">
        <w:rPr>
          <w:color w:val="000000" w:themeColor="text1"/>
        </w:rPr>
        <w:t xml:space="preserve"> </w:t>
      </w:r>
      <w:r w:rsidRPr="00F35313">
        <w:rPr>
          <w:color w:val="000000" w:themeColor="text1"/>
        </w:rPr>
        <w:t>the freeze</w:t>
      </w:r>
      <w:r>
        <w:rPr>
          <w:color w:val="000000" w:themeColor="text1"/>
        </w:rPr>
        <w:t>-</w:t>
      </w:r>
      <w:r w:rsidRPr="00F35313">
        <w:rPr>
          <w:color w:val="000000" w:themeColor="text1"/>
        </w:rPr>
        <w:t xml:space="preserve">dried particles were dissolved in the same volume of THF as </w:t>
      </w:r>
      <w:r w:rsidR="007A6E2B">
        <w:rPr>
          <w:color w:val="000000" w:themeColor="text1"/>
        </w:rPr>
        <w:t xml:space="preserve">the </w:t>
      </w:r>
      <w:r w:rsidRPr="00F35313">
        <w:rPr>
          <w:color w:val="000000" w:themeColor="text1"/>
        </w:rPr>
        <w:t>volume of reserve suspension added to the tube (0.5 mL).</w:t>
      </w:r>
    </w:p>
    <w:p w14:paraId="099D52BC" w14:textId="6A742B23" w:rsidR="00CA2D9E" w:rsidRPr="00F35313" w:rsidRDefault="00425CF2" w:rsidP="00CA2D9E">
      <w:pPr>
        <w:ind w:firstLine="720"/>
        <w:rPr>
          <w:color w:val="000000" w:themeColor="text1"/>
        </w:rPr>
      </w:pPr>
      <w:r>
        <w:rPr>
          <w:color w:val="000000" w:themeColor="text1"/>
        </w:rPr>
        <w:t xml:space="preserve">To calculate the mass of NPs added, the reserve </w:t>
      </w:r>
      <w:r w:rsidR="00CA2D9E" w:rsidRPr="00F35313">
        <w:rPr>
          <w:color w:val="000000" w:themeColor="text1"/>
        </w:rPr>
        <w:t>concentration was multiplied by the volume of suspension added to the trehalose tube</w:t>
      </w:r>
      <w:r w:rsidR="00725064">
        <w:rPr>
          <w:color w:val="000000" w:themeColor="text1"/>
        </w:rPr>
        <w:t>. This mass was</w:t>
      </w:r>
      <w:r w:rsidR="00CA2D9E" w:rsidRPr="00F35313">
        <w:rPr>
          <w:color w:val="000000" w:themeColor="text1"/>
        </w:rPr>
        <w:t xml:space="preserve"> compared to the 200 mg trehalose added per batch to determine the final NP:trehalose mass ratio which ranged from 1:25 to 1:42. </w:t>
      </w:r>
    </w:p>
    <w:p w14:paraId="2D5F2C4B" w14:textId="77777777" w:rsidR="00C4781E" w:rsidRDefault="001D6D97"/>
    <w:p w14:paraId="2052AF96" w14:textId="77777777" w:rsidR="000023F9" w:rsidRPr="00F35313" w:rsidRDefault="000023F9" w:rsidP="000023F9">
      <w:pPr>
        <w:pStyle w:val="Heading3"/>
      </w:pPr>
      <w:bookmarkStart w:id="5" w:name="_Toc521051820"/>
      <w:r w:rsidRPr="00F35313">
        <w:t>Measuring DNA loading by PicoGreen assay</w:t>
      </w:r>
      <w:bookmarkEnd w:id="5"/>
    </w:p>
    <w:p w14:paraId="1F26CB63" w14:textId="77777777" w:rsidR="000023F9" w:rsidRPr="00F35313" w:rsidRDefault="000023F9" w:rsidP="000023F9">
      <w:pPr>
        <w:ind w:firstLine="720"/>
        <w:rPr>
          <w:color w:val="000000" w:themeColor="text1"/>
        </w:rPr>
      </w:pPr>
      <w:r w:rsidRPr="00F35313">
        <w:rPr>
          <w:color w:val="000000" w:themeColor="text1"/>
        </w:rPr>
        <w:t xml:space="preserve">To determine the DNA loading of the particles, the free DNA concentration in the supernatant that was not encapsulated into the particles was measured using the PicoGreen dsDNA assay. After the particles were centrifuged during fabrication, the supernatants were decanted into new 50 mL centrifuge tubes. The supernatant was diluted 10-fold into 1 mL aliquots for the measurement. </w:t>
      </w:r>
      <w:r>
        <w:rPr>
          <w:color w:val="000000" w:themeColor="text1"/>
        </w:rPr>
        <w:t xml:space="preserve">The samples were measured as per instruction of the assay and compared to a set of lambda DNA solutions ranging 0-2000 ng/mL. The assay was read on black 96-well plates using a plate </w:t>
      </w:r>
      <w:r w:rsidRPr="00F35313">
        <w:rPr>
          <w:color w:val="000000" w:themeColor="text1"/>
        </w:rPr>
        <w:t xml:space="preserve">reader (BioTek, SynergyMx) </w:t>
      </w:r>
      <w:r>
        <w:rPr>
          <w:color w:val="000000" w:themeColor="text1"/>
        </w:rPr>
        <w:t>w</w:t>
      </w:r>
      <w:r w:rsidRPr="00F35313">
        <w:rPr>
          <w:color w:val="000000" w:themeColor="text1"/>
        </w:rPr>
        <w:t xml:space="preserve">ith the sensitivity adjusted so that the 2000 ng/mL signal was below the saturation level of the detector. The DNA concentration of the </w:t>
      </w:r>
      <w:r w:rsidRPr="00F35313">
        <w:rPr>
          <w:color w:val="000000" w:themeColor="text1"/>
        </w:rPr>
        <w:lastRenderedPageBreak/>
        <w:t xml:space="preserve">supernatant was back calculated assuming 21 mL volume (20 mL F127 solution + 1 mL organic solution) and 0.41 mg DNA added in the 1 mL organic during particle formation. </w:t>
      </w:r>
    </w:p>
    <w:p w14:paraId="5BF9FC58" w14:textId="77777777" w:rsidR="000023F9" w:rsidRDefault="000023F9"/>
    <w:p w14:paraId="5E94DD02" w14:textId="77777777" w:rsidR="00CA2D9E" w:rsidRPr="00F35313" w:rsidRDefault="00CA2D9E" w:rsidP="00CA2D9E">
      <w:pPr>
        <w:pStyle w:val="Heading3"/>
        <w:rPr>
          <w:color w:val="000000" w:themeColor="text1"/>
        </w:rPr>
      </w:pPr>
      <w:r w:rsidRPr="00F35313">
        <w:rPr>
          <w:color w:val="000000" w:themeColor="text1"/>
        </w:rPr>
        <w:t>Estimation of the number of plasmid copies per particle</w:t>
      </w:r>
    </w:p>
    <w:p w14:paraId="0FEF87C5" w14:textId="404FBA43" w:rsidR="00CA2D9E" w:rsidRPr="00F35313" w:rsidRDefault="00CA2D9E" w:rsidP="00CA2D9E">
      <w:pPr>
        <w:rPr>
          <w:color w:val="000000" w:themeColor="text1"/>
        </w:rPr>
      </w:pPr>
      <w:r w:rsidRPr="00F35313">
        <w:rPr>
          <w:color w:val="000000" w:themeColor="text1"/>
        </w:rPr>
        <w:t xml:space="preserve">Estimating the number of plasmid copies per particle starts with the hydrodynamic diameter as measured by DLS. The </w:t>
      </w:r>
      <w:r w:rsidR="000C0D7E">
        <w:rPr>
          <w:color w:val="000000" w:themeColor="text1"/>
        </w:rPr>
        <w:t xml:space="preserve">individual </w:t>
      </w:r>
      <w:r w:rsidRPr="00F35313">
        <w:rPr>
          <w:color w:val="000000" w:themeColor="text1"/>
        </w:rPr>
        <w:t xml:space="preserve">PEG chains from the Pluronic F127 that coat the surface of the particles </w:t>
      </w:r>
      <w:r w:rsidR="000E7707">
        <w:rPr>
          <w:color w:val="000000" w:themeColor="text1"/>
        </w:rPr>
        <w:t xml:space="preserve">have a molecular weight of ~ 4400 g/mole and </w:t>
      </w:r>
      <w:r w:rsidRPr="00F35313">
        <w:rPr>
          <w:color w:val="000000" w:themeColor="text1"/>
        </w:rPr>
        <w:t>are assumed to be ~15 nm as assumed by Pansare et al. in their own fluorescence per nanoparticle calculations.</w:t>
      </w:r>
      <w:r w:rsidRPr="00F35313">
        <w:rPr>
          <w:color w:val="000000" w:themeColor="text1"/>
        </w:rPr>
        <w:fldChar w:fldCharType="begin">
          <w:fldData xml:space="preserve">PEVuZE5vdGU+PENpdGU+PEF1dGhvcj5QYW5zYXJlPC9BdXRob3I+PFllYXI+MjAxNDwvWWVhcj48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=
</w:fldData>
        </w:fldChar>
      </w:r>
      <w:r w:rsidRPr="00F35313">
        <w:rPr>
          <w:color w:val="000000" w:themeColor="text1"/>
        </w:rPr>
        <w:instrText xml:space="preserve"> ADDIN EN.CITE </w:instrText>
      </w:r>
      <w:r w:rsidRPr="00F35313">
        <w:rPr>
          <w:color w:val="000000" w:themeColor="text1"/>
        </w:rPr>
        <w:fldChar w:fldCharType="begin">
          <w:fldData xml:space="preserve">PEVuZE5vdGU+PENpdGU+PEF1dGhvcj5QYW5zYXJlPC9BdXRob3I+PFllYXI+MjAxNDwvWWVhcj48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=
</w:fldData>
        </w:fldChar>
      </w:r>
      <w:r w:rsidRPr="00F35313">
        <w:rPr>
          <w:color w:val="000000" w:themeColor="text1"/>
        </w:rPr>
        <w:instrText xml:space="preserve"> ADDIN EN.CITE.DATA </w:instrText>
      </w:r>
      <w:r w:rsidRPr="00F35313">
        <w:rPr>
          <w:color w:val="000000" w:themeColor="text1"/>
        </w:rPr>
      </w:r>
      <w:r w:rsidRPr="00F35313">
        <w:rPr>
          <w:color w:val="000000" w:themeColor="text1"/>
        </w:rPr>
        <w:fldChar w:fldCharType="end"/>
      </w:r>
      <w:r w:rsidRPr="00F35313">
        <w:rPr>
          <w:color w:val="000000" w:themeColor="text1"/>
        </w:rPr>
      </w:r>
      <w:r w:rsidRPr="00F35313">
        <w:rPr>
          <w:color w:val="000000" w:themeColor="text1"/>
        </w:rPr>
        <w:fldChar w:fldCharType="separate"/>
      </w:r>
      <w:r w:rsidRPr="00F35313">
        <w:rPr>
          <w:noProof/>
          <w:color w:val="000000" w:themeColor="text1"/>
          <w:vertAlign w:val="superscript"/>
        </w:rPr>
        <w:t>33</w:t>
      </w:r>
      <w:r w:rsidRPr="00F35313">
        <w:rPr>
          <w:color w:val="000000" w:themeColor="text1"/>
        </w:rPr>
        <w:fldChar w:fldCharType="end"/>
      </w:r>
      <w:r w:rsidRPr="00F35313">
        <w:rPr>
          <w:color w:val="000000" w:themeColor="text1"/>
        </w:rPr>
        <w:t xml:space="preserve"> With the known wt% DNA with respect to PLGA as measured by picoGreen and NMR, we can calculate the approximate plasmid copies per particle with the following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gridCol w:w="738"/>
      </w:tblGrid>
      <w:tr w:rsidR="00CA2D9E" w:rsidRPr="00F35313" w14:paraId="1ECFE2EE" w14:textId="77777777" w:rsidTr="00073FA4">
        <w:tc>
          <w:tcPr>
            <w:tcW w:w="8838" w:type="dxa"/>
            <w:vAlign w:val="center"/>
          </w:tcPr>
          <w:p w14:paraId="73385593" w14:textId="77777777" w:rsidR="00CA2D9E" w:rsidRPr="00F35313" w:rsidRDefault="001D6D97" w:rsidP="00073FA4">
            <w:pPr>
              <w:jc w:val="center"/>
              <w:rPr>
                <w:color w:val="000000" w:themeColor="text1"/>
              </w:rPr>
            </w:pPr>
            <m:oMathPara>
              <m:oMath>
                <m:f>
                  <m:fPr>
                    <m:ctrlPr>
                      <w:rPr>
                        <w:rFonts w:ascii="Cambria Math" w:hAnsi="Cambria Math"/>
                        <w:color w:val="000000" w:themeColor="text1"/>
                      </w:rPr>
                    </m:ctrlPr>
                  </m:fPr>
                  <m:num>
                    <m:r>
                      <m:rPr>
                        <m:sty m:val="p"/>
                      </m:rPr>
                      <w:rPr>
                        <w:rFonts w:ascii="Cambria Math" w:hAnsi="Cambria Math"/>
                        <w:color w:val="000000" w:themeColor="text1"/>
                      </w:rPr>
                      <m:t>#plasmids</m:t>
                    </m:r>
                  </m:num>
                  <m:den>
                    <m:r>
                      <m:rPr>
                        <m:sty m:val="p"/>
                      </m:rPr>
                      <w:rPr>
                        <w:rFonts w:ascii="Cambria Math" w:hAnsi="Cambria Math"/>
                        <w:color w:val="000000" w:themeColor="text1"/>
                      </w:rPr>
                      <m:t>NP</m:t>
                    </m:r>
                  </m:den>
                </m:f>
                <m:r>
                  <m:rPr>
                    <m:sty m:val="p"/>
                  </m:rPr>
                  <w:rPr>
                    <w:rFonts w:ascii="Cambria Math" w:hAnsi="Cambria Math"/>
                    <w:color w:val="000000" w:themeColor="text1"/>
                  </w:rPr>
                  <m:t xml:space="preserve">= </m:t>
                </m:r>
                <m:f>
                  <m:fPr>
                    <m:ctrlPr>
                      <w:rPr>
                        <w:rFonts w:ascii="Cambria Math" w:hAnsi="Cambria Math"/>
                        <w:color w:val="000000" w:themeColor="text1"/>
                      </w:rPr>
                    </m:ctrlPr>
                  </m:fPr>
                  <m:num>
                    <m:r>
                      <m:rPr>
                        <m:sty m:val="p"/>
                      </m:rPr>
                      <w:rPr>
                        <w:rFonts w:ascii="Cambria Math" w:hAnsi="Cambria Math"/>
                        <w:color w:val="000000" w:themeColor="text1"/>
                      </w:rPr>
                      <m:t>π</m:t>
                    </m:r>
                    <m:sSup>
                      <m:sSupPr>
                        <m:ctrlPr>
                          <w:rPr>
                            <w:rFonts w:ascii="Cambria Math" w:hAnsi="Cambria Math"/>
                            <w:color w:val="000000" w:themeColor="text1"/>
                          </w:rPr>
                        </m:ctrlPr>
                      </m:sSupPr>
                      <m:e>
                        <m:sSub>
                          <m:sSubPr>
                            <m:ctrlPr>
                              <w:rPr>
                                <w:rFonts w:ascii="Cambria Math" w:hAnsi="Cambria Math"/>
                                <w:color w:val="000000" w:themeColor="text1"/>
                              </w:rPr>
                            </m:ctrlPr>
                          </m:sSubPr>
                          <m:e>
                            <m:r>
                              <m:rPr>
                                <m:sty m:val="p"/>
                              </m:rPr>
                              <w:rPr>
                                <w:rFonts w:ascii="Cambria Math" w:hAnsi="Cambria Math"/>
                                <w:color w:val="000000" w:themeColor="text1"/>
                              </w:rPr>
                              <m:t>(d</m:t>
                            </m:r>
                          </m:e>
                          <m:sub>
                            <m:r>
                              <m:rPr>
                                <m:sty m:val="p"/>
                              </m:rPr>
                              <w:rPr>
                                <w:rFonts w:ascii="Cambria Math" w:hAnsi="Cambria Math"/>
                                <w:color w:val="000000" w:themeColor="text1"/>
                              </w:rPr>
                              <m:t>core</m:t>
                            </m:r>
                          </m:sub>
                        </m:sSub>
                        <m:r>
                          <m:rPr>
                            <m:sty m:val="p"/>
                          </m:rPr>
                          <w:rPr>
                            <w:rFonts w:ascii="Cambria Math" w:hAnsi="Cambria Math"/>
                            <w:color w:val="000000" w:themeColor="text1"/>
                          </w:rPr>
                          <m:t>)</m:t>
                        </m:r>
                      </m:e>
                      <m:sup>
                        <m:r>
                          <m:rPr>
                            <m:sty m:val="p"/>
                          </m:rPr>
                          <w:rPr>
                            <w:rFonts w:ascii="Cambria Math" w:hAnsi="Cambria Math"/>
                            <w:color w:val="000000" w:themeColor="text1"/>
                          </w:rPr>
                          <m:t>3</m:t>
                        </m:r>
                      </m:sup>
                    </m:sSup>
                    <m:sSub>
                      <m:sSubPr>
                        <m:ctrlPr>
                          <w:rPr>
                            <w:rFonts w:ascii="Cambria Math" w:hAnsi="Cambria Math"/>
                            <w:color w:val="000000" w:themeColor="text1"/>
                          </w:rPr>
                        </m:ctrlPr>
                      </m:sSubPr>
                      <m:e>
                        <m:r>
                          <m:rPr>
                            <m:sty m:val="p"/>
                          </m:rPr>
                          <w:rPr>
                            <w:rFonts w:ascii="Cambria Math" w:hAnsi="Cambria Math"/>
                            <w:color w:val="000000" w:themeColor="text1"/>
                          </w:rPr>
                          <m:t>ρ</m:t>
                        </m:r>
                      </m:e>
                      <m:sub>
                        <m:r>
                          <m:rPr>
                            <m:sty m:val="p"/>
                          </m:rPr>
                          <w:rPr>
                            <w:rFonts w:ascii="Cambria Math" w:hAnsi="Cambria Math"/>
                            <w:color w:val="000000" w:themeColor="text1"/>
                          </w:rPr>
                          <m:t>PLGA</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wt%</m:t>
                        </m:r>
                      </m:e>
                      <m:sub>
                        <m:r>
                          <m:rPr>
                            <m:sty m:val="p"/>
                          </m:rPr>
                          <w:rPr>
                            <w:rFonts w:ascii="Cambria Math" w:hAnsi="Cambria Math"/>
                            <w:color w:val="000000" w:themeColor="text1"/>
                          </w:rPr>
                          <m:t>DNA</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N</m:t>
                        </m:r>
                      </m:e>
                      <m:sub>
                        <m:r>
                          <m:rPr>
                            <m:sty m:val="p"/>
                          </m:rPr>
                          <w:rPr>
                            <w:rFonts w:ascii="Cambria Math" w:hAnsi="Cambria Math"/>
                            <w:color w:val="000000" w:themeColor="text1"/>
                          </w:rPr>
                          <m:t>A</m:t>
                        </m:r>
                      </m:sub>
                    </m:sSub>
                  </m:num>
                  <m:den>
                    <m:sSub>
                      <m:sSubPr>
                        <m:ctrlPr>
                          <w:rPr>
                            <w:rFonts w:ascii="Cambria Math" w:hAnsi="Cambria Math"/>
                            <w:color w:val="000000" w:themeColor="text1"/>
                          </w:rPr>
                        </m:ctrlPr>
                      </m:sSubPr>
                      <m:e>
                        <m:r>
                          <m:rPr>
                            <m:sty m:val="p"/>
                          </m:rPr>
                          <w:rPr>
                            <w:rFonts w:ascii="Cambria Math" w:hAnsi="Cambria Math"/>
                            <w:color w:val="000000" w:themeColor="text1"/>
                          </w:rPr>
                          <m:t>MW</m:t>
                        </m:r>
                      </m:e>
                      <m:sub>
                        <m:r>
                          <m:rPr>
                            <m:sty m:val="p"/>
                          </m:rPr>
                          <w:rPr>
                            <w:rFonts w:ascii="Cambria Math" w:hAnsi="Cambria Math"/>
                            <w:color w:val="000000" w:themeColor="text1"/>
                          </w:rPr>
                          <m:t>DNA</m:t>
                        </m:r>
                      </m:sub>
                    </m:sSub>
                  </m:den>
                </m:f>
              </m:oMath>
            </m:oMathPara>
          </w:p>
        </w:tc>
        <w:tc>
          <w:tcPr>
            <w:tcW w:w="738" w:type="dxa"/>
            <w:vAlign w:val="center"/>
          </w:tcPr>
          <w:p w14:paraId="5337CD68" w14:textId="3C1A4EDC" w:rsidR="00CA2D9E" w:rsidRPr="00F35313" w:rsidRDefault="00CA2D9E" w:rsidP="00073FA4">
            <w:pPr>
              <w:jc w:val="center"/>
              <w:rPr>
                <w:color w:val="000000" w:themeColor="text1"/>
              </w:rPr>
            </w:pPr>
            <w:r>
              <w:rPr>
                <w:color w:val="000000" w:themeColor="text1"/>
              </w:rPr>
              <w:t>(S4</w:t>
            </w:r>
            <w:r w:rsidRPr="00F35313">
              <w:rPr>
                <w:color w:val="000000" w:themeColor="text1"/>
              </w:rPr>
              <w:t>)</w:t>
            </w:r>
          </w:p>
        </w:tc>
      </w:tr>
    </w:tbl>
    <w:p w14:paraId="28417744" w14:textId="77777777" w:rsidR="00CA2D9E" w:rsidRPr="00F35313" w:rsidRDefault="00CA2D9E" w:rsidP="00CA2D9E">
      <w:pPr>
        <w:rPr>
          <w:color w:val="000000" w:themeColor="text1"/>
        </w:rPr>
      </w:pPr>
      <w:r w:rsidRPr="00F35313">
        <w:rPr>
          <w:color w:val="000000" w:themeColor="text1"/>
        </w:rPr>
        <w:t>where d</w:t>
      </w:r>
      <w:r w:rsidRPr="00F35313">
        <w:rPr>
          <w:color w:val="000000" w:themeColor="text1"/>
          <w:vertAlign w:val="subscript"/>
        </w:rPr>
        <w:t>core</w:t>
      </w:r>
      <w:r w:rsidRPr="00F35313">
        <w:rPr>
          <w:color w:val="000000" w:themeColor="text1"/>
        </w:rPr>
        <w:t xml:space="preserve"> is the estimated diameter of the hydrophobic PLGA core [cm], </w:t>
      </w:r>
      <w:r w:rsidRPr="00F35313">
        <w:rPr>
          <w:rFonts w:ascii="Symbol" w:hAnsi="Symbol"/>
          <w:color w:val="000000" w:themeColor="text1"/>
        </w:rPr>
        <w:t></w:t>
      </w:r>
      <w:r w:rsidRPr="00F35313">
        <w:rPr>
          <w:color w:val="000000" w:themeColor="text1"/>
          <w:vertAlign w:val="subscript"/>
        </w:rPr>
        <w:t>PLGA</w:t>
      </w:r>
      <w:r w:rsidRPr="00F35313">
        <w:rPr>
          <w:color w:val="000000" w:themeColor="text1"/>
        </w:rPr>
        <w:t xml:space="preserve"> is the density of bulk PLGA [1.34 g/cm</w:t>
      </w:r>
      <w:r w:rsidRPr="00F35313">
        <w:rPr>
          <w:color w:val="000000" w:themeColor="text1"/>
          <w:vertAlign w:val="superscript"/>
        </w:rPr>
        <w:t>3</w:t>
      </w:r>
      <w:r w:rsidRPr="00F35313">
        <w:rPr>
          <w:color w:val="000000" w:themeColor="text1"/>
        </w:rPr>
        <w:t>]</w:t>
      </w:r>
      <w:r w:rsidRPr="00F35313">
        <w:rPr>
          <w:color w:val="000000" w:themeColor="text1"/>
        </w:rPr>
        <w:fldChar w:fldCharType="begin"/>
      </w:r>
      <w:r w:rsidRPr="00F35313">
        <w:rPr>
          <w:color w:val="000000" w:themeColor="text1"/>
        </w:rPr>
        <w:instrText xml:space="preserve"> ADDIN EN.CITE &lt;EndNote&gt;&lt;Cite&gt;&lt;Author&gt;Arnold&lt;/Author&gt;&lt;Year&gt;2007&lt;/Year&gt;&lt;RecNum&gt;2378&lt;/RecNum&gt;&lt;DisplayText&gt;&lt;style face="superscript"&gt;34&lt;/style&gt;&lt;/DisplayText&gt;&lt;record&gt;&lt;rec-number&gt;2378&lt;/rec-number&gt;&lt;foreign-keys&gt;&lt;key app="EN" db-id="fvzafdrrk9fe5ceeaza5wxfafw590wxzdzrd" timestamp="1533046500"&gt;2378&lt;/key&gt;&lt;/foreign-keys&gt;&lt;ref-type name="Journal Article"&gt;17&lt;/ref-type&gt;&lt;contributors&gt;&lt;authors&gt;&lt;author&gt;Arnold, M. M.&lt;/author&gt;&lt;author&gt;Gorman, E. M.&lt;/author&gt;&lt;author&gt;Schieber, L. J.&lt;/author&gt;&lt;author&gt;Munson, E. J.&lt;/author&gt;&lt;author&gt;Berkland, C.&lt;/author&gt;&lt;/authors&gt;&lt;/contributors&gt;&lt;auth-address&gt;Department of Chemical and Petroleum Engineering, The University of Kansas, Lawrence, KS 66047, United States.&lt;/auth-address&gt;&lt;titles&gt;&lt;title&gt;NanoCipro encapsulation in monodisperse large porous PLGA microparticles&lt;/title&gt;&lt;secondary-title&gt;J Control Release&lt;/secondary-title&gt;&lt;/titles&gt;&lt;periodical&gt;&lt;full-title&gt;Journal of Controlled Release&lt;/full-title&gt;&lt;abbr-1&gt;J Control Release&lt;/abbr-1&gt;&lt;/periodical&gt;&lt;pages&gt;100-9&lt;/pages&gt;&lt;volume&gt;121&lt;/volume&gt;&lt;number&gt;1-2&lt;/number&gt;&lt;edition&gt;2007/07/03&lt;/edition&gt;&lt;keywords&gt;&lt;keyword&gt;Aerosols&lt;/keyword&gt;&lt;keyword&gt;Anti-Infective Agents/*chemistry&lt;/keyword&gt;&lt;keyword&gt;Capsules/chemistry&lt;/keyword&gt;&lt;keyword&gt;Ciprofloxacin/*chemistry&lt;/keyword&gt;&lt;keyword&gt;Delayed-Action Preparations&lt;/keyword&gt;&lt;keyword&gt;Lactic Acid/*chemistry&lt;/keyword&gt;&lt;keyword&gt;Lung/metabolism&lt;/keyword&gt;&lt;keyword&gt;Microspheres&lt;/keyword&gt;&lt;keyword&gt;Nanoparticles/*chemistry/ultrastructure&lt;/keyword&gt;&lt;keyword&gt;Nanotechnology/*methods&lt;/keyword&gt;&lt;keyword&gt;Particle Size&lt;/keyword&gt;&lt;keyword&gt;Polyglycolic Acid/*chemistry&lt;/keyword&gt;&lt;keyword&gt;Polymers/*chemistry&lt;/keyword&gt;&lt;keyword&gt;Porosity&lt;/keyword&gt;&lt;/keywords&gt;&lt;dates&gt;&lt;year&gt;2007&lt;/year&gt;&lt;pub-dates&gt;&lt;date&gt;Aug 16&lt;/date&gt;&lt;/pub-dates&gt;&lt;/dates&gt;&lt;isbn&gt;1873-4995 (Electronic)&amp;#xD;0168-3659 (Linking)&lt;/isbn&gt;&lt;accession-num&gt;17604870&lt;/accession-num&gt;&lt;urls&gt;&lt;related-urls&gt;&lt;url&gt;https://www.ncbi.nlm.nih.gov/pubmed/17604870&lt;/url&gt;&lt;/related-urls&gt;&lt;/urls&gt;&lt;custom2&gt;PMC2041842&lt;/custom2&gt;&lt;electronic-resource-num&gt;10.1016/j.jconrel.2007.05.039&lt;/electronic-resource-num&gt;&lt;/record&gt;&lt;/Cite&gt;&lt;/EndNote&gt;</w:instrText>
      </w:r>
      <w:r w:rsidRPr="00F35313">
        <w:rPr>
          <w:color w:val="000000" w:themeColor="text1"/>
        </w:rPr>
        <w:fldChar w:fldCharType="separate"/>
      </w:r>
      <w:r w:rsidRPr="00F35313">
        <w:rPr>
          <w:noProof/>
          <w:color w:val="000000" w:themeColor="text1"/>
          <w:vertAlign w:val="superscript"/>
        </w:rPr>
        <w:t>34</w:t>
      </w:r>
      <w:r w:rsidRPr="00F35313">
        <w:rPr>
          <w:color w:val="000000" w:themeColor="text1"/>
        </w:rPr>
        <w:fldChar w:fldCharType="end"/>
      </w:r>
      <w:r w:rsidRPr="00F35313">
        <w:rPr>
          <w:color w:val="000000" w:themeColor="text1"/>
        </w:rPr>
        <w:t>, wt%</w:t>
      </w:r>
      <w:r w:rsidRPr="00F35313">
        <w:rPr>
          <w:color w:val="000000" w:themeColor="text1"/>
          <w:vertAlign w:val="subscript"/>
        </w:rPr>
        <w:t>DNA</w:t>
      </w:r>
      <w:r w:rsidRPr="00F35313">
        <w:rPr>
          <w:color w:val="000000" w:themeColor="text1"/>
        </w:rPr>
        <w:t xml:space="preserve"> is the measured loading of DNA with respect to PLGA, N</w:t>
      </w:r>
      <w:r w:rsidRPr="00F35313">
        <w:rPr>
          <w:color w:val="000000" w:themeColor="text1"/>
          <w:vertAlign w:val="subscript"/>
        </w:rPr>
        <w:t>A</w:t>
      </w:r>
      <w:r w:rsidRPr="00F35313">
        <w:rPr>
          <w:color w:val="000000" w:themeColor="text1"/>
          <w:vertAlign w:val="subscript"/>
        </w:rPr>
        <w:softHyphen/>
      </w:r>
      <w:r w:rsidRPr="00F35313">
        <w:rPr>
          <w:color w:val="000000" w:themeColor="text1"/>
          <w:vertAlign w:val="subscript"/>
        </w:rPr>
        <w:softHyphen/>
      </w:r>
      <w:r w:rsidRPr="00F35313">
        <w:rPr>
          <w:color w:val="000000" w:themeColor="text1"/>
        </w:rPr>
        <w:t xml:space="preserve"> is Avogadro’s number, and MW</w:t>
      </w:r>
      <w:r w:rsidRPr="00F35313">
        <w:rPr>
          <w:color w:val="000000" w:themeColor="text1"/>
          <w:vertAlign w:val="subscript"/>
        </w:rPr>
        <w:t>DNA</w:t>
      </w:r>
      <w:r w:rsidRPr="00F35313">
        <w:rPr>
          <w:color w:val="000000" w:themeColor="text1"/>
          <w:vertAlign w:val="subscript"/>
        </w:rPr>
        <w:softHyphen/>
        <w:t xml:space="preserve"> </w:t>
      </w:r>
      <w:r w:rsidRPr="00F35313">
        <w:rPr>
          <w:color w:val="000000" w:themeColor="text1"/>
        </w:rPr>
        <w:t xml:space="preserve">is the molecular mass of the 8500 bp plasmid [g/mol] assuming 650 g/mol base pair. </w:t>
      </w:r>
    </w:p>
    <w:p w14:paraId="72892505" w14:textId="77777777" w:rsidR="00CA2D9E" w:rsidRPr="00F35313" w:rsidRDefault="00CA2D9E" w:rsidP="00CA2D9E">
      <w:pPr>
        <w:rPr>
          <w:color w:val="000000" w:themeColor="text1"/>
        </w:rPr>
      </w:pPr>
    </w:p>
    <w:p w14:paraId="125E2F4C" w14:textId="77777777" w:rsidR="00CA2D9E" w:rsidRPr="00F35313" w:rsidRDefault="00CA2D9E" w:rsidP="00CA2D9E">
      <w:pPr>
        <w:pStyle w:val="Heading3"/>
        <w:rPr>
          <w:color w:val="000000" w:themeColor="text1"/>
        </w:rPr>
      </w:pPr>
      <w:bookmarkStart w:id="6" w:name="_Toc521051832"/>
      <w:r w:rsidRPr="00F35313">
        <w:rPr>
          <w:color w:val="000000" w:themeColor="text1"/>
        </w:rPr>
        <w:t>Calculations of DNA loading with respect to PLGA</w:t>
      </w:r>
      <w:bookmarkEnd w:id="6"/>
    </w:p>
    <w:p w14:paraId="42494177" w14:textId="05A7DA8D" w:rsidR="00CA2D9E" w:rsidRPr="00F35313" w:rsidRDefault="00CA2D9E" w:rsidP="00CA2D9E">
      <w:pPr>
        <w:rPr>
          <w:color w:val="000000" w:themeColor="text1"/>
        </w:rPr>
      </w:pPr>
      <w:r w:rsidRPr="00F35313">
        <w:rPr>
          <w:color w:val="000000" w:themeColor="text1"/>
        </w:rPr>
        <w:tab/>
        <w:t xml:space="preserve">The wt% DNA with respect to PLGA values that make up the y-axis for </w:t>
      </w:r>
      <w:r>
        <w:rPr>
          <w:b/>
          <w:color w:val="000000" w:themeColor="text1"/>
        </w:rPr>
        <w:t>Fig</w:t>
      </w:r>
      <w:r w:rsidR="00547136">
        <w:rPr>
          <w:b/>
          <w:color w:val="000000" w:themeColor="text1"/>
        </w:rPr>
        <w:t>.</w:t>
      </w:r>
      <w:r>
        <w:rPr>
          <w:b/>
          <w:color w:val="000000" w:themeColor="text1"/>
        </w:rPr>
        <w:t xml:space="preserve"> </w:t>
      </w:r>
      <w:r w:rsidRPr="00F35313">
        <w:rPr>
          <w:b/>
          <w:color w:val="000000" w:themeColor="text1"/>
        </w:rPr>
        <w:t>5</w:t>
      </w:r>
      <w:r w:rsidRPr="00F35313">
        <w:rPr>
          <w:color w:val="000000" w:themeColor="text1"/>
        </w:rPr>
        <w:t xml:space="preserve"> </w:t>
      </w:r>
      <w:r>
        <w:rPr>
          <w:color w:val="000000" w:themeColor="text1"/>
        </w:rPr>
        <w:t xml:space="preserve">in the main text </w:t>
      </w:r>
      <w:r w:rsidRPr="00F35313">
        <w:rPr>
          <w:color w:val="000000" w:themeColor="text1"/>
        </w:rPr>
        <w:t xml:space="preserve">was calculated from picoGreen assays of the DNA concentrations in the supernatant during the release studies at known NP concentrations.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gridCol w:w="738"/>
      </w:tblGrid>
      <w:tr w:rsidR="00CA2D9E" w:rsidRPr="00F35313" w14:paraId="079FFD4C" w14:textId="77777777" w:rsidTr="00073FA4">
        <w:tc>
          <w:tcPr>
            <w:tcW w:w="8838" w:type="dxa"/>
            <w:vAlign w:val="center"/>
          </w:tcPr>
          <w:p w14:paraId="0F613751" w14:textId="1377F7DE" w:rsidR="00CA2D9E" w:rsidRPr="00F35313" w:rsidRDefault="001D6D97" w:rsidP="00073FA4">
            <w:pPr>
              <w:jc w:val="center"/>
              <w:rPr>
                <w:color w:val="000000" w:themeColor="text1"/>
              </w:rPr>
            </w:pPr>
            <m:oMathPara>
              <m:oMath>
                <m:sSub>
                  <m:sSubPr>
                    <m:ctrlPr>
                      <w:rPr>
                        <w:rFonts w:ascii="Cambria Math" w:hAnsi="Cambria Math"/>
                        <w:color w:val="000000" w:themeColor="text1"/>
                      </w:rPr>
                    </m:ctrlPr>
                  </m:sSubPr>
                  <m:e>
                    <m:r>
                      <m:rPr>
                        <m:sty m:val="p"/>
                      </m:rPr>
                      <w:rPr>
                        <w:rFonts w:ascii="Cambria Math" w:hAnsi="Cambria Math"/>
                        <w:color w:val="000000" w:themeColor="text1"/>
                      </w:rPr>
                      <m:t>wt%</m:t>
                    </m:r>
                  </m:e>
                  <m:sub>
                    <m:r>
                      <m:rPr>
                        <m:sty m:val="p"/>
                      </m:rPr>
                      <w:rPr>
                        <w:rFonts w:ascii="Cambria Math" w:hAnsi="Cambria Math"/>
                        <w:color w:val="000000" w:themeColor="text1"/>
                      </w:rPr>
                      <m:t>DNA</m:t>
                    </m:r>
                  </m:sub>
                </m:sSub>
                <m:r>
                  <m:rPr>
                    <m:sty m:val="p"/>
                  </m:rPr>
                  <w:rPr>
                    <w:rFonts w:ascii="Cambria Math" w:hAnsi="Cambria Math"/>
                    <w:color w:val="000000" w:themeColor="text1"/>
                  </w:rPr>
                  <m:t xml:space="preserve">= </m:t>
                </m:r>
                <m:f>
                  <m:fPr>
                    <m:ctrlPr>
                      <w:rPr>
                        <w:rFonts w:ascii="Cambria Math" w:hAnsi="Cambria Math"/>
                        <w:color w:val="000000" w:themeColor="text1"/>
                      </w:rPr>
                    </m:ctrlPr>
                  </m:fPr>
                  <m:num>
                    <m:sSub>
                      <m:sSubPr>
                        <m:ctrlPr>
                          <w:rPr>
                            <w:rFonts w:ascii="Cambria Math" w:hAnsi="Cambria Math"/>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DNA picogreen</m:t>
                        </m:r>
                      </m:sub>
                    </m:sSub>
                  </m:num>
                  <m:den>
                    <m:sSub>
                      <m:sSubPr>
                        <m:ctrlPr>
                          <w:rPr>
                            <w:rFonts w:ascii="Cambria Math" w:hAnsi="Cambria Math"/>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NP</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wt%</m:t>
                        </m:r>
                      </m:e>
                      <m:sub>
                        <m:r>
                          <m:rPr>
                            <m:sty m:val="p"/>
                          </m:rPr>
                          <w:rPr>
                            <w:rFonts w:ascii="Cambria Math" w:hAnsi="Cambria Math"/>
                            <w:color w:val="000000" w:themeColor="text1"/>
                          </w:rPr>
                          <m:t>PLGA</m:t>
                        </m:r>
                      </m:sub>
                    </m:sSub>
                  </m:den>
                </m:f>
              </m:oMath>
            </m:oMathPara>
          </w:p>
        </w:tc>
        <w:tc>
          <w:tcPr>
            <w:tcW w:w="738" w:type="dxa"/>
            <w:vAlign w:val="center"/>
          </w:tcPr>
          <w:p w14:paraId="1F93E409" w14:textId="22D85351" w:rsidR="00CA2D9E" w:rsidRPr="00F35313" w:rsidRDefault="00CA2D9E" w:rsidP="00073FA4">
            <w:pPr>
              <w:jc w:val="center"/>
              <w:rPr>
                <w:color w:val="000000" w:themeColor="text1"/>
              </w:rPr>
            </w:pPr>
            <w:r>
              <w:rPr>
                <w:color w:val="000000" w:themeColor="text1"/>
              </w:rPr>
              <w:t>(S5</w:t>
            </w:r>
            <w:r w:rsidRPr="00F35313">
              <w:rPr>
                <w:color w:val="000000" w:themeColor="text1"/>
              </w:rPr>
              <w:t>)</w:t>
            </w:r>
          </w:p>
        </w:tc>
      </w:tr>
    </w:tbl>
    <w:p w14:paraId="1FC4FFCA" w14:textId="59442D06" w:rsidR="00CA2D9E" w:rsidRDefault="00CA2D9E" w:rsidP="00CA2D9E">
      <w:pPr>
        <w:rPr>
          <w:color w:val="000000" w:themeColor="text1"/>
        </w:rPr>
      </w:pPr>
      <w:r w:rsidRPr="00F35313">
        <w:rPr>
          <w:color w:val="000000" w:themeColor="text1"/>
        </w:rPr>
        <w:lastRenderedPageBreak/>
        <w:t xml:space="preserve">where </w:t>
      </w:r>
      <w:r w:rsidR="00000C10" w:rsidRPr="00F35313">
        <w:rPr>
          <w:color w:val="000000" w:themeColor="text1"/>
        </w:rPr>
        <w:t>C</w:t>
      </w:r>
      <w:r w:rsidR="00000C10">
        <w:rPr>
          <w:color w:val="000000" w:themeColor="text1"/>
          <w:vertAlign w:val="subscript"/>
        </w:rPr>
        <w:t>D</w:t>
      </w:r>
      <w:r w:rsidR="00000C10" w:rsidRPr="00F35313">
        <w:rPr>
          <w:color w:val="000000" w:themeColor="text1"/>
          <w:vertAlign w:val="subscript"/>
        </w:rPr>
        <w:t>NA</w:t>
      </w:r>
      <w:r w:rsidR="00000C10">
        <w:rPr>
          <w:color w:val="000000" w:themeColor="text1"/>
          <w:vertAlign w:val="subscript"/>
        </w:rPr>
        <w:t xml:space="preserve"> </w:t>
      </w:r>
      <w:r w:rsidRPr="00F35313">
        <w:rPr>
          <w:color w:val="000000" w:themeColor="text1"/>
          <w:vertAlign w:val="subscript"/>
        </w:rPr>
        <w:t>picogreen</w:t>
      </w:r>
      <w:r w:rsidRPr="00F35313">
        <w:rPr>
          <w:color w:val="000000" w:themeColor="text1"/>
        </w:rPr>
        <w:t xml:space="preserve"> is the DNA concentration as measured by the picoGreen assay, C</w:t>
      </w:r>
      <w:r w:rsidRPr="00F35313">
        <w:rPr>
          <w:color w:val="000000" w:themeColor="text1"/>
          <w:vertAlign w:val="subscript"/>
        </w:rPr>
        <w:t>NP</w:t>
      </w:r>
      <w:r w:rsidRPr="00F35313">
        <w:rPr>
          <w:color w:val="000000" w:themeColor="text1"/>
        </w:rPr>
        <w:t xml:space="preserve"> is the known NP concentration in the suspension, and wt%</w:t>
      </w:r>
      <w:r w:rsidRPr="00F35313">
        <w:rPr>
          <w:color w:val="000000" w:themeColor="text1"/>
          <w:vertAlign w:val="subscript"/>
        </w:rPr>
        <w:t>PLGA</w:t>
      </w:r>
      <w:r w:rsidRPr="00F35313">
        <w:rPr>
          <w:color w:val="000000" w:themeColor="text1"/>
        </w:rPr>
        <w:t xml:space="preserve"> is the percent PLGA that makes up the polymer carrier as determined by NMR analysis. The mass of DNA is not accounted for in the total mass calculation of the denominator because the DNA loadings with respect to the entire nanoparticle is less than 1 wt% and considered negligible. </w:t>
      </w:r>
    </w:p>
    <w:p w14:paraId="4C4B8432" w14:textId="77777777" w:rsidR="00CA2D9E" w:rsidRDefault="00CA2D9E"/>
    <w:sectPr w:rsidR="00CA2D9E" w:rsidSect="00B82D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AAB08" w14:textId="77777777" w:rsidR="001D6D97" w:rsidRDefault="001D6D97" w:rsidP="00FB7AC5">
      <w:pPr>
        <w:spacing w:line="240" w:lineRule="auto"/>
      </w:pPr>
      <w:r>
        <w:separator/>
      </w:r>
    </w:p>
  </w:endnote>
  <w:endnote w:type="continuationSeparator" w:id="0">
    <w:p w14:paraId="25906A21" w14:textId="77777777" w:rsidR="001D6D97" w:rsidRDefault="001D6D97" w:rsidP="00FB7A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3389314"/>
      <w:docPartObj>
        <w:docPartGallery w:val="Page Numbers (Bottom of Page)"/>
        <w:docPartUnique/>
      </w:docPartObj>
    </w:sdtPr>
    <w:sdtEndPr>
      <w:rPr>
        <w:rStyle w:val="PageNumber"/>
      </w:rPr>
    </w:sdtEndPr>
    <w:sdtContent>
      <w:p w14:paraId="57AF7333" w14:textId="2AB7EF83" w:rsidR="00FB7AC5" w:rsidRDefault="00FB7AC5" w:rsidP="00BA79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848A03" w14:textId="77777777" w:rsidR="00FB7AC5" w:rsidRDefault="00FB7AC5" w:rsidP="009413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282824"/>
      <w:docPartObj>
        <w:docPartGallery w:val="Page Numbers (Bottom of Page)"/>
        <w:docPartUnique/>
      </w:docPartObj>
    </w:sdtPr>
    <w:sdtEndPr>
      <w:rPr>
        <w:rStyle w:val="PageNumber"/>
      </w:rPr>
    </w:sdtEndPr>
    <w:sdtContent>
      <w:p w14:paraId="6B72859D" w14:textId="0DAC9D7C" w:rsidR="00FB7AC5" w:rsidRDefault="00FB7AC5" w:rsidP="00BA79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94F472" w14:textId="77777777" w:rsidR="00FB7AC5" w:rsidRDefault="00FB7AC5" w:rsidP="009413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AF4A2" w14:textId="77777777" w:rsidR="001D6D97" w:rsidRDefault="001D6D97" w:rsidP="00FB7AC5">
      <w:pPr>
        <w:spacing w:line="240" w:lineRule="auto"/>
      </w:pPr>
      <w:r>
        <w:separator/>
      </w:r>
    </w:p>
  </w:footnote>
  <w:footnote w:type="continuationSeparator" w:id="0">
    <w:p w14:paraId="3F3C6578" w14:textId="77777777" w:rsidR="001D6D97" w:rsidRDefault="001D6D97" w:rsidP="00FB7A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4"/>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780"/>
    <w:rsid w:val="00000C10"/>
    <w:rsid w:val="000023F9"/>
    <w:rsid w:val="000069E5"/>
    <w:rsid w:val="00010393"/>
    <w:rsid w:val="00021932"/>
    <w:rsid w:val="00096CE9"/>
    <w:rsid w:val="000B0CEA"/>
    <w:rsid w:val="000B1936"/>
    <w:rsid w:val="000C0384"/>
    <w:rsid w:val="000C0D7E"/>
    <w:rsid w:val="000E7707"/>
    <w:rsid w:val="00113026"/>
    <w:rsid w:val="001164C7"/>
    <w:rsid w:val="001277B9"/>
    <w:rsid w:val="001343E7"/>
    <w:rsid w:val="00165B20"/>
    <w:rsid w:val="00184E9B"/>
    <w:rsid w:val="001D6D97"/>
    <w:rsid w:val="00211346"/>
    <w:rsid w:val="002200ED"/>
    <w:rsid w:val="002365DB"/>
    <w:rsid w:val="0025414A"/>
    <w:rsid w:val="0026085F"/>
    <w:rsid w:val="002E5328"/>
    <w:rsid w:val="00314942"/>
    <w:rsid w:val="00314D24"/>
    <w:rsid w:val="00333FB5"/>
    <w:rsid w:val="0035523B"/>
    <w:rsid w:val="003E3C24"/>
    <w:rsid w:val="00425CF2"/>
    <w:rsid w:val="00441780"/>
    <w:rsid w:val="00512884"/>
    <w:rsid w:val="00521834"/>
    <w:rsid w:val="00547136"/>
    <w:rsid w:val="00576FBB"/>
    <w:rsid w:val="00592B09"/>
    <w:rsid w:val="00593547"/>
    <w:rsid w:val="005A7258"/>
    <w:rsid w:val="005C741B"/>
    <w:rsid w:val="005E5AB3"/>
    <w:rsid w:val="006017F7"/>
    <w:rsid w:val="00612677"/>
    <w:rsid w:val="00625848"/>
    <w:rsid w:val="00651710"/>
    <w:rsid w:val="00651C4C"/>
    <w:rsid w:val="00664CC9"/>
    <w:rsid w:val="00671149"/>
    <w:rsid w:val="0069025A"/>
    <w:rsid w:val="006C1F88"/>
    <w:rsid w:val="006F7B13"/>
    <w:rsid w:val="0071578B"/>
    <w:rsid w:val="00717C65"/>
    <w:rsid w:val="00725064"/>
    <w:rsid w:val="0078638A"/>
    <w:rsid w:val="007A0928"/>
    <w:rsid w:val="007A6E2B"/>
    <w:rsid w:val="0080532C"/>
    <w:rsid w:val="00831D18"/>
    <w:rsid w:val="00861556"/>
    <w:rsid w:val="00861DD6"/>
    <w:rsid w:val="008B0B97"/>
    <w:rsid w:val="008C3AD4"/>
    <w:rsid w:val="00900163"/>
    <w:rsid w:val="009413CF"/>
    <w:rsid w:val="009622D5"/>
    <w:rsid w:val="009705B7"/>
    <w:rsid w:val="00974F8F"/>
    <w:rsid w:val="00995555"/>
    <w:rsid w:val="009A17E4"/>
    <w:rsid w:val="009B0321"/>
    <w:rsid w:val="009B1A4D"/>
    <w:rsid w:val="009F2026"/>
    <w:rsid w:val="00A10C36"/>
    <w:rsid w:val="00A13160"/>
    <w:rsid w:val="00A93475"/>
    <w:rsid w:val="00A96EC8"/>
    <w:rsid w:val="00AC3A4A"/>
    <w:rsid w:val="00AC593A"/>
    <w:rsid w:val="00AF040B"/>
    <w:rsid w:val="00B20D60"/>
    <w:rsid w:val="00B332EA"/>
    <w:rsid w:val="00B43DEE"/>
    <w:rsid w:val="00B61EB7"/>
    <w:rsid w:val="00B64C3D"/>
    <w:rsid w:val="00B67B1D"/>
    <w:rsid w:val="00B71AEF"/>
    <w:rsid w:val="00B82D82"/>
    <w:rsid w:val="00BF0224"/>
    <w:rsid w:val="00BF4021"/>
    <w:rsid w:val="00C02EF2"/>
    <w:rsid w:val="00C06B5C"/>
    <w:rsid w:val="00C21D01"/>
    <w:rsid w:val="00C26A9D"/>
    <w:rsid w:val="00C3642B"/>
    <w:rsid w:val="00C472D4"/>
    <w:rsid w:val="00C7016B"/>
    <w:rsid w:val="00C707C3"/>
    <w:rsid w:val="00CA2D9E"/>
    <w:rsid w:val="00CD6A6D"/>
    <w:rsid w:val="00CD78B0"/>
    <w:rsid w:val="00CF4000"/>
    <w:rsid w:val="00D161DA"/>
    <w:rsid w:val="00D20AB6"/>
    <w:rsid w:val="00D23D7A"/>
    <w:rsid w:val="00D42BF2"/>
    <w:rsid w:val="00D81615"/>
    <w:rsid w:val="00D94DA7"/>
    <w:rsid w:val="00DF5230"/>
    <w:rsid w:val="00E3147D"/>
    <w:rsid w:val="00E33BC6"/>
    <w:rsid w:val="00E41059"/>
    <w:rsid w:val="00E61D15"/>
    <w:rsid w:val="00E9745D"/>
    <w:rsid w:val="00EA70D9"/>
    <w:rsid w:val="00EA70DB"/>
    <w:rsid w:val="00EC24AD"/>
    <w:rsid w:val="00EE246A"/>
    <w:rsid w:val="00F11734"/>
    <w:rsid w:val="00F149FC"/>
    <w:rsid w:val="00F21F6E"/>
    <w:rsid w:val="00F31F6E"/>
    <w:rsid w:val="00F36821"/>
    <w:rsid w:val="00F700EE"/>
    <w:rsid w:val="00F90AE0"/>
    <w:rsid w:val="00FB4F3C"/>
    <w:rsid w:val="00FB7AC5"/>
    <w:rsid w:val="00FC1F0A"/>
    <w:rsid w:val="00FC2B21"/>
    <w:rsid w:val="00FC4007"/>
    <w:rsid w:val="00FC40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73FD36"/>
  <w15:docId w15:val="{133FC5D2-B993-1746-9AC2-D77C132E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780"/>
    <w:pPr>
      <w:spacing w:line="480" w:lineRule="auto"/>
      <w:jc w:val="both"/>
    </w:pPr>
    <w:rPr>
      <w:rFonts w:ascii="Times New Roman" w:eastAsia="Times New Roman" w:hAnsi="Times New Roman" w:cs="Times New Roman"/>
      <w:lang w:eastAsia="en-US"/>
    </w:rPr>
  </w:style>
  <w:style w:type="paragraph" w:styleId="Heading2">
    <w:name w:val="heading 2"/>
    <w:basedOn w:val="Normal"/>
    <w:next w:val="Normal"/>
    <w:link w:val="Heading2Char"/>
    <w:autoRedefine/>
    <w:uiPriority w:val="9"/>
    <w:unhideWhenUsed/>
    <w:qFormat/>
    <w:rsid w:val="00441780"/>
    <w:pPr>
      <w:keepNext/>
      <w:spacing w:after="60" w:line="360" w:lineRule="auto"/>
      <w:outlineLvl w:val="1"/>
    </w:pPr>
    <w:rPr>
      <w:rFonts w:eastAsia="Malgun Gothic"/>
      <w:b/>
      <w:bCs/>
      <w:iCs/>
      <w:szCs w:val="28"/>
    </w:rPr>
  </w:style>
  <w:style w:type="paragraph" w:styleId="Heading3">
    <w:name w:val="heading 3"/>
    <w:basedOn w:val="Normal"/>
    <w:next w:val="Normal"/>
    <w:link w:val="Heading3Char"/>
    <w:autoRedefine/>
    <w:uiPriority w:val="9"/>
    <w:unhideWhenUsed/>
    <w:qFormat/>
    <w:rsid w:val="00441780"/>
    <w:pPr>
      <w:keepNext/>
      <w:outlineLvl w:val="2"/>
    </w:pPr>
    <w:rPr>
      <w:rFonts w:eastAsia="Malgun Gothic"/>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1780"/>
    <w:rPr>
      <w:rFonts w:ascii="Times New Roman" w:eastAsia="Malgun Gothic" w:hAnsi="Times New Roman" w:cs="Times New Roman"/>
      <w:b/>
      <w:bCs/>
      <w:iCs/>
      <w:szCs w:val="28"/>
      <w:lang w:eastAsia="en-US"/>
    </w:rPr>
  </w:style>
  <w:style w:type="character" w:customStyle="1" w:styleId="Heading3Char">
    <w:name w:val="Heading 3 Char"/>
    <w:basedOn w:val="DefaultParagraphFont"/>
    <w:link w:val="Heading3"/>
    <w:uiPriority w:val="9"/>
    <w:rsid w:val="00441780"/>
    <w:rPr>
      <w:rFonts w:ascii="Times New Roman" w:eastAsia="Malgun Gothic" w:hAnsi="Times New Roman" w:cs="Times New Roman"/>
      <w:bCs/>
      <w:i/>
      <w:szCs w:val="26"/>
      <w:lang w:eastAsia="en-US"/>
    </w:rPr>
  </w:style>
  <w:style w:type="table" w:styleId="TableGrid">
    <w:name w:val="Table Grid"/>
    <w:basedOn w:val="TableNormal"/>
    <w:uiPriority w:val="59"/>
    <w:rsid w:val="00441780"/>
    <w:rPr>
      <w:rFonts w:ascii="Calibri" w:eastAsia="Malgun Gothic"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s">
    <w:name w:val="Figures"/>
    <w:basedOn w:val="Caption"/>
    <w:next w:val="Normal"/>
    <w:autoRedefine/>
    <w:qFormat/>
    <w:rsid w:val="009413CF"/>
    <w:pPr>
      <w:keepNext/>
      <w:spacing w:after="100" w:afterAutospacing="1"/>
    </w:pPr>
    <w:rPr>
      <w:rFonts w:eastAsia="Malgun Gothic"/>
      <w:bCs/>
      <w:i w:val="0"/>
      <w:iCs w:val="0"/>
      <w:color w:val="auto"/>
      <w:sz w:val="24"/>
    </w:rPr>
  </w:style>
  <w:style w:type="paragraph" w:styleId="Caption">
    <w:name w:val="caption"/>
    <w:basedOn w:val="Normal"/>
    <w:next w:val="Normal"/>
    <w:uiPriority w:val="35"/>
    <w:semiHidden/>
    <w:unhideWhenUsed/>
    <w:qFormat/>
    <w:rsid w:val="00441780"/>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651710"/>
    <w:rPr>
      <w:sz w:val="16"/>
      <w:szCs w:val="16"/>
    </w:rPr>
  </w:style>
  <w:style w:type="paragraph" w:styleId="CommentText">
    <w:name w:val="annotation text"/>
    <w:basedOn w:val="Normal"/>
    <w:link w:val="CommentTextChar"/>
    <w:uiPriority w:val="99"/>
    <w:semiHidden/>
    <w:unhideWhenUsed/>
    <w:rsid w:val="00651710"/>
    <w:pPr>
      <w:spacing w:line="240" w:lineRule="auto"/>
    </w:pPr>
    <w:rPr>
      <w:sz w:val="20"/>
      <w:szCs w:val="20"/>
    </w:rPr>
  </w:style>
  <w:style w:type="character" w:customStyle="1" w:styleId="CommentTextChar">
    <w:name w:val="Comment Text Char"/>
    <w:basedOn w:val="DefaultParagraphFont"/>
    <w:link w:val="CommentText"/>
    <w:uiPriority w:val="99"/>
    <w:semiHidden/>
    <w:rsid w:val="00651710"/>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51710"/>
    <w:rPr>
      <w:b/>
      <w:bCs/>
    </w:rPr>
  </w:style>
  <w:style w:type="character" w:customStyle="1" w:styleId="CommentSubjectChar">
    <w:name w:val="Comment Subject Char"/>
    <w:basedOn w:val="CommentTextChar"/>
    <w:link w:val="CommentSubject"/>
    <w:uiPriority w:val="99"/>
    <w:semiHidden/>
    <w:rsid w:val="00651710"/>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6517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710"/>
    <w:rPr>
      <w:rFonts w:ascii="Segoe UI" w:eastAsia="Times New Roman" w:hAnsi="Segoe UI" w:cs="Segoe UI"/>
      <w:sz w:val="18"/>
      <w:szCs w:val="18"/>
      <w:lang w:eastAsia="en-US"/>
    </w:rPr>
  </w:style>
  <w:style w:type="paragraph" w:styleId="Footer">
    <w:name w:val="footer"/>
    <w:basedOn w:val="Normal"/>
    <w:link w:val="FooterChar"/>
    <w:uiPriority w:val="99"/>
    <w:unhideWhenUsed/>
    <w:rsid w:val="00FB7AC5"/>
    <w:pPr>
      <w:tabs>
        <w:tab w:val="center" w:pos="4680"/>
        <w:tab w:val="right" w:pos="9360"/>
      </w:tabs>
      <w:spacing w:line="240" w:lineRule="auto"/>
    </w:pPr>
  </w:style>
  <w:style w:type="character" w:customStyle="1" w:styleId="FooterChar">
    <w:name w:val="Footer Char"/>
    <w:basedOn w:val="DefaultParagraphFont"/>
    <w:link w:val="Footer"/>
    <w:uiPriority w:val="99"/>
    <w:rsid w:val="00FB7AC5"/>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FB7AC5"/>
  </w:style>
  <w:style w:type="paragraph" w:styleId="Revision">
    <w:name w:val="Revision"/>
    <w:hidden/>
    <w:uiPriority w:val="99"/>
    <w:semiHidden/>
    <w:rsid w:val="009413CF"/>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Jo</dc:creator>
  <cp:keywords/>
  <dc:description/>
  <cp:lastModifiedBy>Richey M Davis</cp:lastModifiedBy>
  <cp:revision>27</cp:revision>
  <cp:lastPrinted>2018-10-16T16:47:00Z</cp:lastPrinted>
  <dcterms:created xsi:type="dcterms:W3CDTF">2018-10-16T16:07:00Z</dcterms:created>
  <dcterms:modified xsi:type="dcterms:W3CDTF">2019-04-15T02:37:00Z</dcterms:modified>
</cp:coreProperties>
</file>