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440" w:rsidRDefault="00BC3440" w:rsidP="00BC3440">
      <w:pPr>
        <w:pStyle w:val="Heading1"/>
      </w:pPr>
      <w:r>
        <w:t>List of Supplementary Files</w:t>
      </w:r>
    </w:p>
    <w:p w:rsidR="00BC3440" w:rsidRPr="00BC3440" w:rsidRDefault="00BC3440" w:rsidP="00BC3440">
      <w:pPr>
        <w:spacing w:after="120" w:line="480" w:lineRule="auto"/>
        <w:rPr>
          <w:rFonts w:ascii="Times New Roman" w:hAnsi="Times New Roman" w:cs="Times New Roman"/>
          <w:i/>
          <w:sz w:val="24"/>
          <w:szCs w:val="24"/>
        </w:rPr>
      </w:pPr>
    </w:p>
    <w:p w:rsidR="006E0929" w:rsidRPr="006E0929" w:rsidRDefault="006E0929" w:rsidP="006E0929">
      <w:pPr>
        <w:spacing w:after="120" w:line="480" w:lineRule="auto"/>
        <w:rPr>
          <w:rFonts w:ascii="Times New Roman" w:hAnsi="Times New Roman" w:cs="Times New Roman"/>
          <w:i/>
          <w:sz w:val="24"/>
          <w:szCs w:val="24"/>
        </w:rPr>
      </w:pPr>
      <w:r w:rsidRPr="006E0929">
        <w:rPr>
          <w:rFonts w:ascii="Times New Roman" w:hAnsi="Times New Roman" w:cs="Times New Roman"/>
          <w:i/>
          <w:sz w:val="24"/>
          <w:szCs w:val="24"/>
        </w:rPr>
        <w:t>Supplementary Table 1. Matrix of ICC scores of four readers who contributed to the data; each MRI was evaluated by two readers</w:t>
      </w:r>
    </w:p>
    <w:p w:rsidR="006E0929" w:rsidRPr="006E0929" w:rsidRDefault="006E0929" w:rsidP="006E0929">
      <w:pPr>
        <w:spacing w:after="120" w:line="480" w:lineRule="auto"/>
        <w:rPr>
          <w:rFonts w:ascii="Times New Roman" w:hAnsi="Times New Roman" w:cs="Times New Roman"/>
          <w:i/>
          <w:sz w:val="24"/>
          <w:szCs w:val="24"/>
        </w:rPr>
      </w:pPr>
    </w:p>
    <w:p w:rsidR="006E0929" w:rsidRPr="006E0929" w:rsidRDefault="006E0929" w:rsidP="006E0929">
      <w:pPr>
        <w:spacing w:after="120" w:line="480" w:lineRule="auto"/>
        <w:rPr>
          <w:rFonts w:ascii="Times New Roman" w:hAnsi="Times New Roman" w:cs="Times New Roman"/>
          <w:i/>
          <w:sz w:val="24"/>
          <w:szCs w:val="24"/>
        </w:rPr>
      </w:pPr>
      <w:r w:rsidRPr="006E0929">
        <w:rPr>
          <w:rFonts w:ascii="Times New Roman" w:hAnsi="Times New Roman" w:cs="Times New Roman"/>
          <w:i/>
          <w:sz w:val="24"/>
          <w:szCs w:val="24"/>
        </w:rPr>
        <w:t>Supplementary Table 2. Characteristics of the matched symptom-free persons</w:t>
      </w:r>
    </w:p>
    <w:p w:rsidR="006E0929" w:rsidRPr="006E0929" w:rsidRDefault="006E0929" w:rsidP="006E0929">
      <w:pPr>
        <w:spacing w:after="120" w:line="480" w:lineRule="auto"/>
        <w:rPr>
          <w:rFonts w:ascii="Times New Roman" w:hAnsi="Times New Roman" w:cs="Times New Roman"/>
          <w:i/>
          <w:sz w:val="24"/>
          <w:szCs w:val="24"/>
        </w:rPr>
      </w:pPr>
    </w:p>
    <w:p w:rsidR="006E0929" w:rsidRPr="006E0929" w:rsidRDefault="006E0929" w:rsidP="006E0929">
      <w:pPr>
        <w:spacing w:after="120" w:line="480" w:lineRule="auto"/>
        <w:rPr>
          <w:rFonts w:ascii="Times New Roman" w:hAnsi="Times New Roman" w:cs="Times New Roman"/>
          <w:i/>
          <w:sz w:val="24"/>
          <w:szCs w:val="24"/>
        </w:rPr>
      </w:pPr>
      <w:r w:rsidRPr="006E0929">
        <w:rPr>
          <w:rFonts w:ascii="Times New Roman" w:hAnsi="Times New Roman" w:cs="Times New Roman"/>
          <w:i/>
          <w:sz w:val="24"/>
          <w:szCs w:val="24"/>
        </w:rPr>
        <w:t xml:space="preserve">Supplementary Table 3. Comparison of </w:t>
      </w:r>
      <w:r w:rsidR="00EB6B5A">
        <w:rPr>
          <w:rFonts w:ascii="Times New Roman" w:hAnsi="Times New Roman" w:cs="Times New Roman"/>
          <w:i/>
          <w:sz w:val="24"/>
          <w:szCs w:val="24"/>
        </w:rPr>
        <w:t xml:space="preserve">mean </w:t>
      </w:r>
      <w:r w:rsidRPr="006E0929">
        <w:rPr>
          <w:rFonts w:ascii="Times New Roman" w:hAnsi="Times New Roman" w:cs="Times New Roman"/>
          <w:i/>
          <w:sz w:val="24"/>
          <w:szCs w:val="24"/>
        </w:rPr>
        <w:t xml:space="preserve">MRI-inflammation scores of patients meeting the EULAR definition of arthralgia suspicious for progression to rheumatoid arthritis versus symptom-free persons </w:t>
      </w:r>
    </w:p>
    <w:p w:rsidR="006E0929" w:rsidRPr="006E0929" w:rsidRDefault="006E0929" w:rsidP="006E0929">
      <w:pPr>
        <w:spacing w:after="120" w:line="480" w:lineRule="auto"/>
        <w:rPr>
          <w:rFonts w:ascii="Times New Roman" w:hAnsi="Times New Roman" w:cs="Times New Roman"/>
          <w:i/>
          <w:sz w:val="24"/>
          <w:szCs w:val="24"/>
        </w:rPr>
      </w:pPr>
    </w:p>
    <w:p w:rsidR="006E0929" w:rsidRPr="006E0929" w:rsidRDefault="006E0929" w:rsidP="006E0929">
      <w:pPr>
        <w:spacing w:after="120" w:line="480" w:lineRule="auto"/>
        <w:rPr>
          <w:rFonts w:ascii="Times New Roman" w:hAnsi="Times New Roman" w:cs="Times New Roman"/>
          <w:i/>
          <w:sz w:val="24"/>
          <w:szCs w:val="24"/>
        </w:rPr>
      </w:pPr>
      <w:r w:rsidRPr="006E0929">
        <w:rPr>
          <w:rFonts w:ascii="Times New Roman" w:hAnsi="Times New Roman" w:cs="Times New Roman"/>
          <w:i/>
          <w:sz w:val="24"/>
          <w:szCs w:val="24"/>
        </w:rPr>
        <w:t>Supplementary Methods. MRI scanning and scoring protocol</w:t>
      </w:r>
    </w:p>
    <w:p w:rsidR="006E0929" w:rsidRPr="006E0929" w:rsidRDefault="006E0929" w:rsidP="006E0929">
      <w:pPr>
        <w:spacing w:after="120" w:line="480" w:lineRule="auto"/>
        <w:rPr>
          <w:rFonts w:ascii="Times New Roman" w:hAnsi="Times New Roman" w:cs="Times New Roman"/>
          <w:i/>
          <w:sz w:val="24"/>
          <w:szCs w:val="24"/>
        </w:rPr>
      </w:pPr>
    </w:p>
    <w:p w:rsidR="006E0929" w:rsidRPr="006E0929" w:rsidRDefault="006E0929" w:rsidP="006E0929">
      <w:pPr>
        <w:spacing w:after="120" w:line="480" w:lineRule="auto"/>
        <w:rPr>
          <w:rFonts w:ascii="Times New Roman" w:hAnsi="Times New Roman" w:cs="Times New Roman"/>
          <w:i/>
          <w:sz w:val="24"/>
          <w:szCs w:val="24"/>
        </w:rPr>
      </w:pPr>
      <w:r w:rsidRPr="006E0929">
        <w:rPr>
          <w:rFonts w:ascii="Times New Roman" w:hAnsi="Times New Roman" w:cs="Times New Roman"/>
          <w:i/>
          <w:sz w:val="24"/>
          <w:szCs w:val="24"/>
        </w:rPr>
        <w:t xml:space="preserve">Supplementary Figure 1. </w:t>
      </w:r>
      <w:r w:rsidR="00EB6B5A">
        <w:rPr>
          <w:rFonts w:ascii="Times New Roman" w:hAnsi="Times New Roman" w:cs="Times New Roman"/>
          <w:i/>
          <w:sz w:val="24"/>
          <w:szCs w:val="24"/>
        </w:rPr>
        <w:t>Mean s</w:t>
      </w:r>
      <w:r w:rsidRPr="006E0929">
        <w:rPr>
          <w:rFonts w:ascii="Times New Roman" w:hAnsi="Times New Roman" w:cs="Times New Roman"/>
          <w:i/>
          <w:sz w:val="24"/>
          <w:szCs w:val="24"/>
        </w:rPr>
        <w:t xml:space="preserve">cores of MRI-detected inflammatory features (Tenosynovitis, Synovitis, Bone Marrow </w:t>
      </w:r>
      <w:proofErr w:type="spellStart"/>
      <w:r w:rsidRPr="006E0929">
        <w:rPr>
          <w:rFonts w:ascii="Times New Roman" w:hAnsi="Times New Roman" w:cs="Times New Roman"/>
          <w:i/>
          <w:sz w:val="24"/>
          <w:szCs w:val="24"/>
        </w:rPr>
        <w:t>Edema</w:t>
      </w:r>
      <w:proofErr w:type="spellEnd"/>
      <w:r w:rsidRPr="006E0929">
        <w:rPr>
          <w:rFonts w:ascii="Times New Roman" w:hAnsi="Times New Roman" w:cs="Times New Roman"/>
          <w:i/>
          <w:sz w:val="24"/>
          <w:szCs w:val="24"/>
        </w:rPr>
        <w:t>) over time for patients with and without resolution of symptoms</w:t>
      </w:r>
    </w:p>
    <w:p w:rsidR="00BC3440" w:rsidRDefault="00BC3440" w:rsidP="0011677A">
      <w:pPr>
        <w:spacing w:after="120" w:line="480" w:lineRule="auto"/>
        <w:rPr>
          <w:rFonts w:ascii="Times New Roman" w:hAnsi="Times New Roman" w:cs="Times New Roman"/>
          <w:b/>
          <w:sz w:val="24"/>
        </w:rPr>
        <w:sectPr w:rsidR="00BC3440" w:rsidSect="0011677A">
          <w:footerReference w:type="default" r:id="rId7"/>
          <w:pgSz w:w="11906" w:h="16838"/>
          <w:pgMar w:top="1440" w:right="1440" w:bottom="1440" w:left="1440" w:header="709" w:footer="709" w:gutter="0"/>
          <w:lnNumType w:countBy="1"/>
          <w:cols w:space="708"/>
          <w:docGrid w:linePitch="360"/>
        </w:sectPr>
      </w:pPr>
      <w:r w:rsidRPr="00BC3440">
        <w:rPr>
          <w:rFonts w:ascii="Times New Roman" w:hAnsi="Times New Roman" w:cs="Times New Roman"/>
          <w:i/>
          <w:sz w:val="24"/>
          <w:szCs w:val="24"/>
        </w:rPr>
        <w:br w:type="page"/>
      </w:r>
    </w:p>
    <w:p w:rsidR="00BC3440" w:rsidRPr="00BC3440" w:rsidRDefault="00BC3440" w:rsidP="00BC3440">
      <w:pPr>
        <w:pStyle w:val="Heading2"/>
      </w:pPr>
      <w:r w:rsidRPr="00BC3440">
        <w:lastRenderedPageBreak/>
        <w:t xml:space="preserve">Supplementary Table </w:t>
      </w:r>
      <w:r w:rsidR="0011677A">
        <w:t>1</w:t>
      </w:r>
      <w:r w:rsidRPr="00BC3440">
        <w:t>. Matrix of ICC scores of four readers who contributed to the data; each MRI was evaluated by two readers.</w:t>
      </w:r>
    </w:p>
    <w:p w:rsidR="00BC3440" w:rsidRPr="00577DAA" w:rsidRDefault="00BC3440" w:rsidP="00BC3440">
      <w:pPr>
        <w:spacing w:line="480" w:lineRule="auto"/>
        <w:rPr>
          <w:rFonts w:ascii="Times New Roman" w:hAnsi="Times New Roman" w:cs="Times New Roman"/>
          <w:i/>
          <w:sz w:val="24"/>
        </w:rPr>
      </w:pPr>
      <w:proofErr w:type="spellStart"/>
      <w:r w:rsidRPr="00577DAA">
        <w:rPr>
          <w:rFonts w:ascii="Times New Roman" w:hAnsi="Times New Roman" w:cs="Times New Roman"/>
          <w:i/>
          <w:sz w:val="24"/>
        </w:rPr>
        <w:t>Interreader</w:t>
      </w:r>
      <w:proofErr w:type="spellEnd"/>
      <w:r w:rsidRPr="00577DAA">
        <w:rPr>
          <w:rFonts w:ascii="Times New Roman" w:hAnsi="Times New Roman" w:cs="Times New Roman"/>
          <w:i/>
          <w:sz w:val="24"/>
        </w:rPr>
        <w:t xml:space="preserve"> intraclass correlation coefficients </w:t>
      </w:r>
    </w:p>
    <w:tbl>
      <w:tblPr>
        <w:tblStyle w:val="TableGrid"/>
        <w:tblW w:w="0" w:type="auto"/>
        <w:tblLook w:val="04A0" w:firstRow="1" w:lastRow="0" w:firstColumn="1" w:lastColumn="0" w:noHBand="0" w:noVBand="1"/>
      </w:tblPr>
      <w:tblGrid>
        <w:gridCol w:w="1585"/>
        <w:gridCol w:w="1578"/>
        <w:gridCol w:w="1558"/>
        <w:gridCol w:w="1563"/>
        <w:gridCol w:w="1563"/>
      </w:tblGrid>
      <w:tr w:rsidR="00BC3440" w:rsidRPr="00577DAA" w:rsidTr="002B5231">
        <w:tc>
          <w:tcPr>
            <w:tcW w:w="1585" w:type="dxa"/>
          </w:tcPr>
          <w:p w:rsidR="00BC3440" w:rsidRPr="00577DAA" w:rsidRDefault="00BC3440" w:rsidP="002B5231">
            <w:pPr>
              <w:spacing w:after="200" w:line="276" w:lineRule="auto"/>
              <w:rPr>
                <w:rFonts w:ascii="Times New Roman" w:hAnsi="Times New Roman" w:cs="Times New Roman"/>
                <w:b/>
                <w:sz w:val="24"/>
              </w:rPr>
            </w:pPr>
            <w:r w:rsidRPr="00577DAA">
              <w:rPr>
                <w:rFonts w:ascii="Times New Roman" w:hAnsi="Times New Roman" w:cs="Times New Roman"/>
                <w:b/>
                <w:sz w:val="24"/>
              </w:rPr>
              <w:t>Reader</w:t>
            </w:r>
          </w:p>
        </w:tc>
        <w:tc>
          <w:tcPr>
            <w:tcW w:w="1578" w:type="dxa"/>
          </w:tcPr>
          <w:p w:rsidR="00BC3440" w:rsidRPr="00577DAA" w:rsidRDefault="00BC3440" w:rsidP="002B5231">
            <w:pPr>
              <w:spacing w:after="200" w:line="276" w:lineRule="auto"/>
              <w:rPr>
                <w:rFonts w:ascii="Times New Roman" w:hAnsi="Times New Roman" w:cs="Times New Roman"/>
                <w:b/>
                <w:sz w:val="24"/>
              </w:rPr>
            </w:pPr>
            <w:r w:rsidRPr="00577DAA">
              <w:rPr>
                <w:rFonts w:ascii="Times New Roman" w:hAnsi="Times New Roman" w:cs="Times New Roman"/>
                <w:b/>
                <w:sz w:val="24"/>
              </w:rPr>
              <w:t>1</w:t>
            </w:r>
          </w:p>
        </w:tc>
        <w:tc>
          <w:tcPr>
            <w:tcW w:w="1558" w:type="dxa"/>
          </w:tcPr>
          <w:p w:rsidR="00BC3440" w:rsidRPr="00577DAA" w:rsidRDefault="00BC3440" w:rsidP="002B5231">
            <w:pPr>
              <w:spacing w:after="200" w:line="276" w:lineRule="auto"/>
              <w:rPr>
                <w:rFonts w:ascii="Times New Roman" w:hAnsi="Times New Roman" w:cs="Times New Roman"/>
                <w:b/>
                <w:sz w:val="24"/>
              </w:rPr>
            </w:pPr>
            <w:r w:rsidRPr="00577DAA">
              <w:rPr>
                <w:rFonts w:ascii="Times New Roman" w:hAnsi="Times New Roman" w:cs="Times New Roman"/>
                <w:b/>
                <w:sz w:val="24"/>
              </w:rPr>
              <w:t>2</w:t>
            </w:r>
          </w:p>
        </w:tc>
        <w:tc>
          <w:tcPr>
            <w:tcW w:w="1563" w:type="dxa"/>
          </w:tcPr>
          <w:p w:rsidR="00BC3440" w:rsidRPr="00577DAA" w:rsidRDefault="00BC3440" w:rsidP="002B5231">
            <w:pPr>
              <w:spacing w:after="200" w:line="276" w:lineRule="auto"/>
              <w:rPr>
                <w:rFonts w:ascii="Times New Roman" w:hAnsi="Times New Roman" w:cs="Times New Roman"/>
                <w:b/>
                <w:sz w:val="24"/>
              </w:rPr>
            </w:pPr>
            <w:r w:rsidRPr="00577DAA">
              <w:rPr>
                <w:rFonts w:ascii="Times New Roman" w:hAnsi="Times New Roman" w:cs="Times New Roman"/>
                <w:b/>
                <w:sz w:val="24"/>
              </w:rPr>
              <w:t>3</w:t>
            </w:r>
          </w:p>
        </w:tc>
        <w:tc>
          <w:tcPr>
            <w:tcW w:w="1563" w:type="dxa"/>
          </w:tcPr>
          <w:p w:rsidR="00BC3440" w:rsidRPr="00577DAA" w:rsidRDefault="00BC3440" w:rsidP="002B5231">
            <w:pPr>
              <w:rPr>
                <w:rFonts w:ascii="Times New Roman" w:hAnsi="Times New Roman" w:cs="Times New Roman"/>
                <w:b/>
                <w:sz w:val="24"/>
              </w:rPr>
            </w:pPr>
            <w:r w:rsidRPr="00577DAA">
              <w:rPr>
                <w:rFonts w:ascii="Times New Roman" w:hAnsi="Times New Roman" w:cs="Times New Roman"/>
                <w:b/>
                <w:sz w:val="24"/>
              </w:rPr>
              <w:t>4</w:t>
            </w:r>
          </w:p>
        </w:tc>
      </w:tr>
      <w:tr w:rsidR="00BC3440" w:rsidRPr="00577DAA" w:rsidTr="002B5231">
        <w:tc>
          <w:tcPr>
            <w:tcW w:w="1585" w:type="dxa"/>
          </w:tcPr>
          <w:p w:rsidR="00BC3440" w:rsidRPr="00577DAA" w:rsidRDefault="00BC3440" w:rsidP="002B5231">
            <w:pPr>
              <w:spacing w:after="200" w:line="276" w:lineRule="auto"/>
              <w:rPr>
                <w:rFonts w:ascii="Times New Roman" w:hAnsi="Times New Roman" w:cs="Times New Roman"/>
                <w:b/>
                <w:sz w:val="24"/>
              </w:rPr>
            </w:pPr>
            <w:r w:rsidRPr="00577DAA">
              <w:rPr>
                <w:rFonts w:ascii="Times New Roman" w:hAnsi="Times New Roman" w:cs="Times New Roman"/>
                <w:b/>
                <w:sz w:val="24"/>
              </w:rPr>
              <w:t>1</w:t>
            </w:r>
          </w:p>
        </w:tc>
        <w:tc>
          <w:tcPr>
            <w:tcW w:w="1578" w:type="dxa"/>
          </w:tcPr>
          <w:p w:rsidR="00BC3440" w:rsidRPr="00577DAA" w:rsidRDefault="00BC3440" w:rsidP="002B5231">
            <w:pPr>
              <w:spacing w:after="200" w:line="276" w:lineRule="auto"/>
              <w:rPr>
                <w:rFonts w:ascii="Times New Roman" w:hAnsi="Times New Roman" w:cs="Times New Roman"/>
                <w:sz w:val="24"/>
              </w:rPr>
            </w:pPr>
            <w:r w:rsidRPr="00577DAA">
              <w:rPr>
                <w:rFonts w:ascii="Times New Roman" w:hAnsi="Times New Roman" w:cs="Times New Roman"/>
                <w:sz w:val="24"/>
              </w:rPr>
              <w:t>x</w:t>
            </w:r>
          </w:p>
        </w:tc>
        <w:tc>
          <w:tcPr>
            <w:tcW w:w="1558" w:type="dxa"/>
          </w:tcPr>
          <w:p w:rsidR="00BC3440" w:rsidRPr="00577DAA" w:rsidRDefault="00BC3440" w:rsidP="002B5231">
            <w:pPr>
              <w:spacing w:after="200" w:line="276" w:lineRule="auto"/>
              <w:rPr>
                <w:rFonts w:ascii="Times New Roman" w:hAnsi="Times New Roman" w:cs="Times New Roman"/>
                <w:sz w:val="24"/>
              </w:rPr>
            </w:pPr>
            <w:r w:rsidRPr="00577DAA">
              <w:rPr>
                <w:rFonts w:ascii="Times New Roman" w:hAnsi="Times New Roman" w:cs="Times New Roman"/>
                <w:sz w:val="24"/>
              </w:rPr>
              <w:t>0.97</w:t>
            </w:r>
          </w:p>
        </w:tc>
        <w:tc>
          <w:tcPr>
            <w:tcW w:w="1563" w:type="dxa"/>
          </w:tcPr>
          <w:p w:rsidR="00BC3440" w:rsidRPr="00577DAA" w:rsidRDefault="00BC3440" w:rsidP="002B5231">
            <w:pPr>
              <w:spacing w:after="200" w:line="276" w:lineRule="auto"/>
              <w:rPr>
                <w:rFonts w:ascii="Times New Roman" w:hAnsi="Times New Roman" w:cs="Times New Roman"/>
                <w:sz w:val="24"/>
              </w:rPr>
            </w:pPr>
            <w:r w:rsidRPr="00577DAA">
              <w:rPr>
                <w:rFonts w:ascii="Times New Roman" w:hAnsi="Times New Roman" w:cs="Times New Roman"/>
                <w:sz w:val="24"/>
              </w:rPr>
              <w:t>0.97</w:t>
            </w:r>
          </w:p>
        </w:tc>
        <w:tc>
          <w:tcPr>
            <w:tcW w:w="1563" w:type="dxa"/>
          </w:tcPr>
          <w:p w:rsidR="00BC3440" w:rsidRPr="00577DAA" w:rsidRDefault="00BC3440" w:rsidP="002B5231">
            <w:pPr>
              <w:rPr>
                <w:rFonts w:ascii="Times New Roman" w:hAnsi="Times New Roman" w:cs="Times New Roman"/>
                <w:sz w:val="24"/>
              </w:rPr>
            </w:pPr>
            <w:r w:rsidRPr="00577DAA">
              <w:rPr>
                <w:rFonts w:ascii="Times New Roman" w:hAnsi="Times New Roman" w:cs="Times New Roman"/>
                <w:sz w:val="24"/>
              </w:rPr>
              <w:t>0.97</w:t>
            </w:r>
          </w:p>
        </w:tc>
      </w:tr>
      <w:tr w:rsidR="00BC3440" w:rsidRPr="00577DAA" w:rsidTr="002B5231">
        <w:tc>
          <w:tcPr>
            <w:tcW w:w="1585" w:type="dxa"/>
          </w:tcPr>
          <w:p w:rsidR="00BC3440" w:rsidRPr="00577DAA" w:rsidRDefault="00BC3440" w:rsidP="002B5231">
            <w:pPr>
              <w:spacing w:after="200" w:line="276" w:lineRule="auto"/>
              <w:rPr>
                <w:rFonts w:ascii="Times New Roman" w:hAnsi="Times New Roman" w:cs="Times New Roman"/>
                <w:b/>
                <w:sz w:val="24"/>
              </w:rPr>
            </w:pPr>
            <w:r w:rsidRPr="00577DAA">
              <w:rPr>
                <w:rFonts w:ascii="Times New Roman" w:hAnsi="Times New Roman" w:cs="Times New Roman"/>
                <w:b/>
                <w:sz w:val="24"/>
              </w:rPr>
              <w:t>2</w:t>
            </w:r>
          </w:p>
        </w:tc>
        <w:tc>
          <w:tcPr>
            <w:tcW w:w="1578" w:type="dxa"/>
          </w:tcPr>
          <w:p w:rsidR="00BC3440" w:rsidRPr="00577DAA" w:rsidRDefault="00BC3440" w:rsidP="002B5231">
            <w:pPr>
              <w:spacing w:after="200" w:line="276" w:lineRule="auto"/>
              <w:rPr>
                <w:rFonts w:ascii="Times New Roman" w:hAnsi="Times New Roman" w:cs="Times New Roman"/>
                <w:sz w:val="24"/>
              </w:rPr>
            </w:pPr>
            <w:r w:rsidRPr="00577DAA">
              <w:rPr>
                <w:rFonts w:ascii="Times New Roman" w:hAnsi="Times New Roman" w:cs="Times New Roman"/>
                <w:sz w:val="24"/>
              </w:rPr>
              <w:t>0.97</w:t>
            </w:r>
          </w:p>
        </w:tc>
        <w:tc>
          <w:tcPr>
            <w:tcW w:w="1558" w:type="dxa"/>
          </w:tcPr>
          <w:p w:rsidR="00BC3440" w:rsidRPr="00577DAA" w:rsidRDefault="00BC3440" w:rsidP="002B5231">
            <w:pPr>
              <w:spacing w:after="200" w:line="276" w:lineRule="auto"/>
              <w:rPr>
                <w:rFonts w:ascii="Times New Roman" w:hAnsi="Times New Roman" w:cs="Times New Roman"/>
                <w:sz w:val="24"/>
              </w:rPr>
            </w:pPr>
            <w:r w:rsidRPr="00577DAA">
              <w:rPr>
                <w:rFonts w:ascii="Times New Roman" w:hAnsi="Times New Roman" w:cs="Times New Roman"/>
                <w:sz w:val="24"/>
              </w:rPr>
              <w:t>x</w:t>
            </w:r>
          </w:p>
        </w:tc>
        <w:tc>
          <w:tcPr>
            <w:tcW w:w="1563" w:type="dxa"/>
          </w:tcPr>
          <w:p w:rsidR="00BC3440" w:rsidRPr="00577DAA" w:rsidRDefault="00BC3440" w:rsidP="002B5231">
            <w:pPr>
              <w:spacing w:after="200" w:line="276" w:lineRule="auto"/>
              <w:rPr>
                <w:rFonts w:ascii="Times New Roman" w:hAnsi="Times New Roman" w:cs="Times New Roman"/>
                <w:sz w:val="24"/>
              </w:rPr>
            </w:pPr>
            <w:r w:rsidRPr="00577DAA">
              <w:rPr>
                <w:rFonts w:ascii="Times New Roman" w:hAnsi="Times New Roman" w:cs="Times New Roman"/>
                <w:sz w:val="24"/>
              </w:rPr>
              <w:t>0.99</w:t>
            </w:r>
          </w:p>
        </w:tc>
        <w:tc>
          <w:tcPr>
            <w:tcW w:w="1563" w:type="dxa"/>
          </w:tcPr>
          <w:p w:rsidR="00BC3440" w:rsidRPr="00577DAA" w:rsidRDefault="00BC3440" w:rsidP="002B5231">
            <w:pPr>
              <w:rPr>
                <w:rFonts w:ascii="Times New Roman" w:hAnsi="Times New Roman" w:cs="Times New Roman"/>
                <w:sz w:val="24"/>
              </w:rPr>
            </w:pPr>
            <w:r w:rsidRPr="00577DAA">
              <w:rPr>
                <w:rFonts w:ascii="Times New Roman" w:hAnsi="Times New Roman" w:cs="Times New Roman"/>
                <w:sz w:val="24"/>
              </w:rPr>
              <w:t>0.95</w:t>
            </w:r>
          </w:p>
        </w:tc>
      </w:tr>
      <w:tr w:rsidR="00BC3440" w:rsidRPr="00577DAA" w:rsidTr="002B5231">
        <w:tc>
          <w:tcPr>
            <w:tcW w:w="1585" w:type="dxa"/>
          </w:tcPr>
          <w:p w:rsidR="00BC3440" w:rsidRPr="00577DAA" w:rsidRDefault="00BC3440" w:rsidP="002B5231">
            <w:pPr>
              <w:spacing w:after="200" w:line="276" w:lineRule="auto"/>
              <w:rPr>
                <w:rFonts w:ascii="Times New Roman" w:hAnsi="Times New Roman" w:cs="Times New Roman"/>
                <w:b/>
                <w:sz w:val="24"/>
              </w:rPr>
            </w:pPr>
            <w:r w:rsidRPr="00577DAA">
              <w:rPr>
                <w:rFonts w:ascii="Times New Roman" w:hAnsi="Times New Roman" w:cs="Times New Roman"/>
                <w:b/>
                <w:sz w:val="24"/>
              </w:rPr>
              <w:t>3</w:t>
            </w:r>
          </w:p>
        </w:tc>
        <w:tc>
          <w:tcPr>
            <w:tcW w:w="1578" w:type="dxa"/>
          </w:tcPr>
          <w:p w:rsidR="00BC3440" w:rsidRPr="00577DAA" w:rsidRDefault="00BC3440" w:rsidP="002B5231">
            <w:pPr>
              <w:spacing w:after="200" w:line="276" w:lineRule="auto"/>
              <w:rPr>
                <w:rFonts w:ascii="Times New Roman" w:hAnsi="Times New Roman" w:cs="Times New Roman"/>
                <w:sz w:val="24"/>
              </w:rPr>
            </w:pPr>
            <w:r w:rsidRPr="00577DAA">
              <w:rPr>
                <w:rFonts w:ascii="Times New Roman" w:hAnsi="Times New Roman" w:cs="Times New Roman"/>
                <w:sz w:val="24"/>
              </w:rPr>
              <w:t>0.97</w:t>
            </w:r>
          </w:p>
        </w:tc>
        <w:tc>
          <w:tcPr>
            <w:tcW w:w="1558" w:type="dxa"/>
          </w:tcPr>
          <w:p w:rsidR="00BC3440" w:rsidRPr="00577DAA" w:rsidRDefault="00BC3440" w:rsidP="002B5231">
            <w:pPr>
              <w:spacing w:after="200" w:line="276" w:lineRule="auto"/>
              <w:rPr>
                <w:rFonts w:ascii="Times New Roman" w:hAnsi="Times New Roman" w:cs="Times New Roman"/>
                <w:sz w:val="24"/>
                <w:lang w:val="nl-NL"/>
              </w:rPr>
            </w:pPr>
            <w:r w:rsidRPr="00577DAA">
              <w:rPr>
                <w:rFonts w:ascii="Times New Roman" w:hAnsi="Times New Roman" w:cs="Times New Roman"/>
                <w:sz w:val="24"/>
                <w:lang w:val="nl-NL"/>
              </w:rPr>
              <w:t>0.99</w:t>
            </w:r>
          </w:p>
        </w:tc>
        <w:tc>
          <w:tcPr>
            <w:tcW w:w="1563" w:type="dxa"/>
          </w:tcPr>
          <w:p w:rsidR="00BC3440" w:rsidRPr="00577DAA" w:rsidRDefault="00BC3440" w:rsidP="002B5231">
            <w:pPr>
              <w:spacing w:after="200" w:line="276" w:lineRule="auto"/>
              <w:rPr>
                <w:rFonts w:ascii="Times New Roman" w:hAnsi="Times New Roman" w:cs="Times New Roman"/>
                <w:sz w:val="24"/>
                <w:lang w:val="nl-NL"/>
              </w:rPr>
            </w:pPr>
            <w:r w:rsidRPr="00577DAA">
              <w:rPr>
                <w:rFonts w:ascii="Times New Roman" w:hAnsi="Times New Roman" w:cs="Times New Roman"/>
                <w:sz w:val="24"/>
                <w:lang w:val="nl-NL"/>
              </w:rPr>
              <w:t>x</w:t>
            </w:r>
          </w:p>
        </w:tc>
        <w:tc>
          <w:tcPr>
            <w:tcW w:w="1563" w:type="dxa"/>
          </w:tcPr>
          <w:p w:rsidR="00BC3440" w:rsidRPr="00577DAA" w:rsidRDefault="00BC3440" w:rsidP="002B5231">
            <w:pPr>
              <w:rPr>
                <w:rFonts w:ascii="Times New Roman" w:hAnsi="Times New Roman" w:cs="Times New Roman"/>
                <w:sz w:val="24"/>
                <w:lang w:val="nl-NL"/>
              </w:rPr>
            </w:pPr>
            <w:r w:rsidRPr="00577DAA">
              <w:rPr>
                <w:rFonts w:ascii="Times New Roman" w:hAnsi="Times New Roman" w:cs="Times New Roman"/>
                <w:sz w:val="24"/>
                <w:lang w:val="nl-NL"/>
              </w:rPr>
              <w:t>0.94</w:t>
            </w:r>
          </w:p>
        </w:tc>
      </w:tr>
      <w:tr w:rsidR="00BC3440" w:rsidRPr="00577DAA" w:rsidTr="002B5231">
        <w:trPr>
          <w:trHeight w:val="501"/>
        </w:trPr>
        <w:tc>
          <w:tcPr>
            <w:tcW w:w="1585" w:type="dxa"/>
          </w:tcPr>
          <w:p w:rsidR="00BC3440" w:rsidRPr="00577DAA" w:rsidRDefault="00BC3440" w:rsidP="002B5231">
            <w:pPr>
              <w:rPr>
                <w:rFonts w:ascii="Times New Roman" w:hAnsi="Times New Roman" w:cs="Times New Roman"/>
                <w:b/>
                <w:sz w:val="24"/>
              </w:rPr>
            </w:pPr>
            <w:r w:rsidRPr="00577DAA">
              <w:rPr>
                <w:rFonts w:ascii="Times New Roman" w:hAnsi="Times New Roman" w:cs="Times New Roman"/>
                <w:b/>
                <w:sz w:val="24"/>
              </w:rPr>
              <w:t>4</w:t>
            </w:r>
          </w:p>
        </w:tc>
        <w:tc>
          <w:tcPr>
            <w:tcW w:w="1578" w:type="dxa"/>
          </w:tcPr>
          <w:p w:rsidR="00BC3440" w:rsidRPr="00577DAA" w:rsidRDefault="00BC3440" w:rsidP="002B5231">
            <w:pPr>
              <w:rPr>
                <w:rFonts w:ascii="Times New Roman" w:hAnsi="Times New Roman" w:cs="Times New Roman"/>
                <w:sz w:val="24"/>
              </w:rPr>
            </w:pPr>
            <w:r w:rsidRPr="00577DAA">
              <w:rPr>
                <w:rFonts w:ascii="Times New Roman" w:hAnsi="Times New Roman" w:cs="Times New Roman"/>
                <w:sz w:val="24"/>
              </w:rPr>
              <w:t>0.97</w:t>
            </w:r>
          </w:p>
        </w:tc>
        <w:tc>
          <w:tcPr>
            <w:tcW w:w="1558" w:type="dxa"/>
          </w:tcPr>
          <w:p w:rsidR="00BC3440" w:rsidRPr="00577DAA" w:rsidRDefault="00BC3440" w:rsidP="002B5231">
            <w:pPr>
              <w:rPr>
                <w:rFonts w:ascii="Times New Roman" w:hAnsi="Times New Roman" w:cs="Times New Roman"/>
                <w:sz w:val="24"/>
                <w:lang w:val="nl-NL"/>
              </w:rPr>
            </w:pPr>
            <w:r w:rsidRPr="00577DAA">
              <w:rPr>
                <w:rFonts w:ascii="Times New Roman" w:hAnsi="Times New Roman" w:cs="Times New Roman"/>
                <w:sz w:val="24"/>
                <w:lang w:val="nl-NL"/>
              </w:rPr>
              <w:t>0.95</w:t>
            </w:r>
          </w:p>
        </w:tc>
        <w:tc>
          <w:tcPr>
            <w:tcW w:w="1563" w:type="dxa"/>
          </w:tcPr>
          <w:p w:rsidR="00BC3440" w:rsidRPr="00577DAA" w:rsidRDefault="00BC3440" w:rsidP="002B5231">
            <w:pPr>
              <w:rPr>
                <w:rFonts w:ascii="Times New Roman" w:hAnsi="Times New Roman" w:cs="Times New Roman"/>
                <w:sz w:val="24"/>
                <w:lang w:val="nl-NL"/>
              </w:rPr>
            </w:pPr>
            <w:r w:rsidRPr="00577DAA">
              <w:rPr>
                <w:rFonts w:ascii="Times New Roman" w:hAnsi="Times New Roman" w:cs="Times New Roman"/>
                <w:sz w:val="24"/>
                <w:lang w:val="nl-NL"/>
              </w:rPr>
              <w:t>0.94</w:t>
            </w:r>
          </w:p>
        </w:tc>
        <w:tc>
          <w:tcPr>
            <w:tcW w:w="1563" w:type="dxa"/>
          </w:tcPr>
          <w:p w:rsidR="00BC3440" w:rsidRPr="00577DAA" w:rsidRDefault="00BC3440" w:rsidP="002B5231">
            <w:pPr>
              <w:rPr>
                <w:rFonts w:ascii="Times New Roman" w:hAnsi="Times New Roman" w:cs="Times New Roman"/>
                <w:sz w:val="24"/>
                <w:lang w:val="nl-NL"/>
              </w:rPr>
            </w:pPr>
            <w:r w:rsidRPr="00577DAA">
              <w:rPr>
                <w:rFonts w:ascii="Times New Roman" w:hAnsi="Times New Roman" w:cs="Times New Roman"/>
                <w:sz w:val="24"/>
                <w:lang w:val="nl-NL"/>
              </w:rPr>
              <w:t>x</w:t>
            </w:r>
          </w:p>
        </w:tc>
      </w:tr>
    </w:tbl>
    <w:p w:rsidR="00BC3440" w:rsidRDefault="00BC3440" w:rsidP="00BC3440">
      <w:pPr>
        <w:rPr>
          <w:rFonts w:ascii="Times New Roman" w:hAnsi="Times New Roman" w:cs="Times New Roman"/>
          <w:b/>
        </w:rPr>
      </w:pPr>
    </w:p>
    <w:p w:rsidR="00BC3440" w:rsidRPr="00577DAA" w:rsidRDefault="00BC3440" w:rsidP="00BC3440">
      <w:pPr>
        <w:rPr>
          <w:rFonts w:ascii="Times New Roman" w:hAnsi="Times New Roman" w:cs="Times New Roman"/>
          <w:i/>
          <w:sz w:val="24"/>
        </w:rPr>
      </w:pPr>
      <w:proofErr w:type="spellStart"/>
      <w:r w:rsidRPr="00577DAA">
        <w:rPr>
          <w:rFonts w:ascii="Times New Roman" w:hAnsi="Times New Roman" w:cs="Times New Roman"/>
          <w:i/>
          <w:sz w:val="24"/>
        </w:rPr>
        <w:t>Intarreader</w:t>
      </w:r>
      <w:proofErr w:type="spellEnd"/>
      <w:r w:rsidRPr="00577DAA">
        <w:rPr>
          <w:rFonts w:ascii="Times New Roman" w:hAnsi="Times New Roman" w:cs="Times New Roman"/>
          <w:i/>
          <w:sz w:val="24"/>
        </w:rPr>
        <w:t xml:space="preserve"> intraclass correlation coefficients </w:t>
      </w:r>
    </w:p>
    <w:tbl>
      <w:tblPr>
        <w:tblStyle w:val="TableGrid"/>
        <w:tblW w:w="0" w:type="auto"/>
        <w:tblLook w:val="04A0" w:firstRow="1" w:lastRow="0" w:firstColumn="1" w:lastColumn="0" w:noHBand="0" w:noVBand="1"/>
      </w:tblPr>
      <w:tblGrid>
        <w:gridCol w:w="1578"/>
        <w:gridCol w:w="1558"/>
        <w:gridCol w:w="1563"/>
        <w:gridCol w:w="1563"/>
      </w:tblGrid>
      <w:tr w:rsidR="00BC3440" w:rsidRPr="00577DAA" w:rsidTr="002B5231">
        <w:tc>
          <w:tcPr>
            <w:tcW w:w="1578" w:type="dxa"/>
          </w:tcPr>
          <w:p w:rsidR="00BC3440" w:rsidRPr="00577DAA" w:rsidRDefault="00BC3440" w:rsidP="002B5231">
            <w:pPr>
              <w:spacing w:after="200" w:line="276" w:lineRule="auto"/>
              <w:rPr>
                <w:rFonts w:ascii="Times New Roman" w:hAnsi="Times New Roman" w:cs="Times New Roman"/>
                <w:b/>
                <w:sz w:val="24"/>
                <w:lang w:val="nl-NL"/>
              </w:rPr>
            </w:pPr>
            <w:r w:rsidRPr="00577DAA">
              <w:rPr>
                <w:rFonts w:ascii="Times New Roman" w:hAnsi="Times New Roman" w:cs="Times New Roman"/>
                <w:b/>
                <w:sz w:val="24"/>
                <w:lang w:val="nl-NL"/>
              </w:rPr>
              <w:t>1</w:t>
            </w:r>
          </w:p>
        </w:tc>
        <w:tc>
          <w:tcPr>
            <w:tcW w:w="1558" w:type="dxa"/>
          </w:tcPr>
          <w:p w:rsidR="00BC3440" w:rsidRPr="00577DAA" w:rsidRDefault="00BC3440" w:rsidP="002B5231">
            <w:pPr>
              <w:spacing w:after="200" w:line="276" w:lineRule="auto"/>
              <w:rPr>
                <w:rFonts w:ascii="Times New Roman" w:hAnsi="Times New Roman" w:cs="Times New Roman"/>
                <w:b/>
                <w:sz w:val="24"/>
                <w:lang w:val="nl-NL"/>
              </w:rPr>
            </w:pPr>
            <w:r w:rsidRPr="00577DAA">
              <w:rPr>
                <w:rFonts w:ascii="Times New Roman" w:hAnsi="Times New Roman" w:cs="Times New Roman"/>
                <w:b/>
                <w:sz w:val="24"/>
                <w:lang w:val="nl-NL"/>
              </w:rPr>
              <w:t>2</w:t>
            </w:r>
          </w:p>
        </w:tc>
        <w:tc>
          <w:tcPr>
            <w:tcW w:w="1563" w:type="dxa"/>
          </w:tcPr>
          <w:p w:rsidR="00BC3440" w:rsidRPr="00577DAA" w:rsidRDefault="00BC3440" w:rsidP="002B5231">
            <w:pPr>
              <w:spacing w:after="200" w:line="276" w:lineRule="auto"/>
              <w:rPr>
                <w:rFonts w:ascii="Times New Roman" w:hAnsi="Times New Roman" w:cs="Times New Roman"/>
                <w:b/>
                <w:sz w:val="24"/>
                <w:lang w:val="nl-NL"/>
              </w:rPr>
            </w:pPr>
            <w:r w:rsidRPr="00577DAA">
              <w:rPr>
                <w:rFonts w:ascii="Times New Roman" w:hAnsi="Times New Roman" w:cs="Times New Roman"/>
                <w:b/>
                <w:sz w:val="24"/>
                <w:lang w:val="nl-NL"/>
              </w:rPr>
              <w:t>3</w:t>
            </w:r>
          </w:p>
        </w:tc>
        <w:tc>
          <w:tcPr>
            <w:tcW w:w="1563" w:type="dxa"/>
          </w:tcPr>
          <w:p w:rsidR="00BC3440" w:rsidRPr="00577DAA" w:rsidRDefault="00BC3440" w:rsidP="002B5231">
            <w:pPr>
              <w:rPr>
                <w:rFonts w:ascii="Times New Roman" w:hAnsi="Times New Roman" w:cs="Times New Roman"/>
                <w:b/>
                <w:sz w:val="24"/>
                <w:lang w:val="nl-NL"/>
              </w:rPr>
            </w:pPr>
            <w:r w:rsidRPr="00577DAA">
              <w:rPr>
                <w:rFonts w:ascii="Times New Roman" w:hAnsi="Times New Roman" w:cs="Times New Roman"/>
                <w:b/>
                <w:sz w:val="24"/>
                <w:lang w:val="nl-NL"/>
              </w:rPr>
              <w:t>4</w:t>
            </w:r>
          </w:p>
        </w:tc>
      </w:tr>
      <w:tr w:rsidR="00BC3440" w:rsidRPr="00577DAA" w:rsidTr="002B5231">
        <w:tc>
          <w:tcPr>
            <w:tcW w:w="1578" w:type="dxa"/>
          </w:tcPr>
          <w:p w:rsidR="00BC3440" w:rsidRPr="00577DAA" w:rsidRDefault="00BC3440" w:rsidP="002B5231">
            <w:pPr>
              <w:spacing w:after="200" w:line="276" w:lineRule="auto"/>
              <w:rPr>
                <w:rFonts w:ascii="Times New Roman" w:hAnsi="Times New Roman" w:cs="Times New Roman"/>
                <w:sz w:val="24"/>
                <w:lang w:val="nl-NL"/>
              </w:rPr>
            </w:pPr>
            <w:r w:rsidRPr="00577DAA">
              <w:rPr>
                <w:rFonts w:ascii="Times New Roman" w:hAnsi="Times New Roman" w:cs="Times New Roman"/>
                <w:sz w:val="24"/>
                <w:lang w:val="nl-NL"/>
              </w:rPr>
              <w:t>0.99</w:t>
            </w:r>
          </w:p>
        </w:tc>
        <w:tc>
          <w:tcPr>
            <w:tcW w:w="1558" w:type="dxa"/>
          </w:tcPr>
          <w:p w:rsidR="00BC3440" w:rsidRPr="00577DAA" w:rsidRDefault="00BC3440" w:rsidP="002B5231">
            <w:pPr>
              <w:spacing w:after="200" w:line="276" w:lineRule="auto"/>
              <w:rPr>
                <w:rFonts w:ascii="Times New Roman" w:hAnsi="Times New Roman" w:cs="Times New Roman"/>
                <w:sz w:val="24"/>
                <w:lang w:val="nl-NL"/>
              </w:rPr>
            </w:pPr>
            <w:r w:rsidRPr="00577DAA">
              <w:rPr>
                <w:rFonts w:ascii="Times New Roman" w:hAnsi="Times New Roman" w:cs="Times New Roman"/>
                <w:sz w:val="24"/>
                <w:lang w:val="nl-NL"/>
              </w:rPr>
              <w:t>0.99</w:t>
            </w:r>
          </w:p>
        </w:tc>
        <w:tc>
          <w:tcPr>
            <w:tcW w:w="1563" w:type="dxa"/>
          </w:tcPr>
          <w:p w:rsidR="00BC3440" w:rsidRPr="00577DAA" w:rsidRDefault="00BC3440" w:rsidP="002B5231">
            <w:pPr>
              <w:spacing w:after="200" w:line="276" w:lineRule="auto"/>
              <w:rPr>
                <w:rFonts w:ascii="Times New Roman" w:hAnsi="Times New Roman" w:cs="Times New Roman"/>
                <w:sz w:val="24"/>
                <w:lang w:val="nl-NL"/>
              </w:rPr>
            </w:pPr>
            <w:r w:rsidRPr="00577DAA">
              <w:rPr>
                <w:rFonts w:ascii="Times New Roman" w:hAnsi="Times New Roman" w:cs="Times New Roman"/>
                <w:sz w:val="24"/>
                <w:lang w:val="nl-NL"/>
              </w:rPr>
              <w:t>0.98</w:t>
            </w:r>
          </w:p>
        </w:tc>
        <w:tc>
          <w:tcPr>
            <w:tcW w:w="1563" w:type="dxa"/>
          </w:tcPr>
          <w:p w:rsidR="00BC3440" w:rsidRPr="00577DAA" w:rsidRDefault="00BC3440" w:rsidP="002B5231">
            <w:pPr>
              <w:rPr>
                <w:rFonts w:ascii="Times New Roman" w:hAnsi="Times New Roman" w:cs="Times New Roman"/>
                <w:sz w:val="24"/>
                <w:lang w:val="nl-NL"/>
              </w:rPr>
            </w:pPr>
            <w:r w:rsidRPr="00577DAA">
              <w:rPr>
                <w:rFonts w:ascii="Times New Roman" w:hAnsi="Times New Roman" w:cs="Times New Roman"/>
                <w:sz w:val="24"/>
                <w:lang w:val="nl-NL"/>
              </w:rPr>
              <w:t>0.96</w:t>
            </w:r>
          </w:p>
        </w:tc>
      </w:tr>
    </w:tbl>
    <w:p w:rsidR="00BC3440" w:rsidRDefault="00BC3440" w:rsidP="00BC3440">
      <w:pPr>
        <w:spacing w:line="480" w:lineRule="auto"/>
        <w:rPr>
          <w:rFonts w:ascii="Times New Roman" w:hAnsi="Times New Roman" w:cs="Times New Roman"/>
          <w:b/>
          <w:sz w:val="24"/>
        </w:rPr>
      </w:pPr>
    </w:p>
    <w:p w:rsidR="00BC3440" w:rsidRDefault="00BC3440" w:rsidP="00BC3440">
      <w:pPr>
        <w:rPr>
          <w:rFonts w:ascii="Times New Roman" w:hAnsi="Times New Roman" w:cs="Times New Roman"/>
          <w:b/>
          <w:sz w:val="24"/>
        </w:rPr>
      </w:pPr>
      <w:r>
        <w:rPr>
          <w:rFonts w:ascii="Times New Roman" w:hAnsi="Times New Roman" w:cs="Times New Roman"/>
          <w:b/>
          <w:sz w:val="24"/>
        </w:rPr>
        <w:br w:type="page"/>
      </w:r>
    </w:p>
    <w:p w:rsidR="00BC3440" w:rsidRDefault="00BC3440" w:rsidP="00BC3440">
      <w:pPr>
        <w:rPr>
          <w:rFonts w:ascii="Times New Roman" w:hAnsi="Times New Roman" w:cs="Times New Roman"/>
          <w:i/>
          <w:sz w:val="24"/>
        </w:rPr>
        <w:sectPr w:rsidR="00BC3440" w:rsidSect="005E2029">
          <w:pgSz w:w="11906" w:h="16838"/>
          <w:pgMar w:top="1440" w:right="1440" w:bottom="1440" w:left="1440" w:header="708" w:footer="708" w:gutter="0"/>
          <w:lnNumType w:countBy="1"/>
          <w:cols w:space="708"/>
          <w:docGrid w:linePitch="360"/>
        </w:sectPr>
      </w:pPr>
    </w:p>
    <w:p w:rsidR="00BC3440" w:rsidRPr="005D6EC8" w:rsidRDefault="00BC3440" w:rsidP="00BC3440">
      <w:pPr>
        <w:pStyle w:val="Heading2"/>
        <w:spacing w:after="120"/>
        <w:rPr>
          <w:kern w:val="2"/>
          <w:szCs w:val="24"/>
        </w:rPr>
      </w:pPr>
      <w:r w:rsidRPr="005D6EC8">
        <w:lastRenderedPageBreak/>
        <w:t xml:space="preserve">Supplementary Table </w:t>
      </w:r>
      <w:r w:rsidR="00A04666">
        <w:t>2</w:t>
      </w:r>
      <w:r w:rsidRPr="005D6EC8">
        <w:t xml:space="preserve">. Characteristics of the </w:t>
      </w:r>
      <w:r w:rsidR="007C02E4">
        <w:t xml:space="preserve">matched </w:t>
      </w:r>
      <w:r w:rsidRPr="005D6EC8">
        <w:t>symptom-free persons</w:t>
      </w:r>
    </w:p>
    <w:p w:rsidR="00BC3440" w:rsidRDefault="00BC3440" w:rsidP="00BC3440">
      <w:pPr>
        <w:spacing w:after="0" w:line="240" w:lineRule="auto"/>
        <w:rPr>
          <w:rFonts w:ascii="Times New Roman" w:hAnsi="Times New Roman" w:cs="Times New Roman"/>
          <w:i/>
          <w:kern w:val="2"/>
          <w:sz w:val="24"/>
          <w:szCs w:val="24"/>
        </w:rPr>
      </w:pPr>
    </w:p>
    <w:tbl>
      <w:tblPr>
        <w:tblW w:w="1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4" w:type="dxa"/>
        </w:tblCellMar>
        <w:tblLook w:val="04A0" w:firstRow="1" w:lastRow="0" w:firstColumn="1" w:lastColumn="0" w:noHBand="0" w:noVBand="1"/>
      </w:tblPr>
      <w:tblGrid>
        <w:gridCol w:w="6096"/>
        <w:gridCol w:w="1275"/>
        <w:gridCol w:w="1843"/>
        <w:gridCol w:w="1418"/>
        <w:gridCol w:w="1702"/>
      </w:tblGrid>
      <w:tr w:rsidR="00BC3440" w:rsidRPr="00CF46E2" w:rsidTr="002B5231">
        <w:trPr>
          <w:trHeight w:val="570"/>
        </w:trPr>
        <w:tc>
          <w:tcPr>
            <w:tcW w:w="6096" w:type="dxa"/>
            <w:tcBorders>
              <w:top w:val="single" w:sz="24" w:space="0" w:color="auto"/>
              <w:left w:val="nil"/>
              <w:bottom w:val="single" w:sz="6" w:space="0" w:color="auto"/>
              <w:right w:val="nil"/>
            </w:tcBorders>
            <w:shd w:val="clear" w:color="auto" w:fill="auto"/>
            <w:vAlign w:val="center"/>
          </w:tcPr>
          <w:p w:rsidR="00BC3440" w:rsidRPr="00CF46E2" w:rsidRDefault="00BC3440" w:rsidP="002B5231">
            <w:pPr>
              <w:spacing w:before="120"/>
              <w:rPr>
                <w:rFonts w:ascii="Times New Roman" w:hAnsi="Times New Roman" w:cs="Times New Roman"/>
                <w:sz w:val="24"/>
                <w:szCs w:val="24"/>
                <w:lang w:val="en-US"/>
              </w:rPr>
            </w:pPr>
            <w:r w:rsidRPr="00CF46E2">
              <w:rPr>
                <w:rFonts w:ascii="Times New Roman" w:hAnsi="Times New Roman" w:cs="Times New Roman"/>
                <w:sz w:val="24"/>
                <w:szCs w:val="24"/>
                <w:lang w:val="en-US"/>
              </w:rPr>
              <w:t xml:space="preserve">Patient characteristic </w:t>
            </w:r>
          </w:p>
        </w:tc>
        <w:tc>
          <w:tcPr>
            <w:tcW w:w="3118" w:type="dxa"/>
            <w:gridSpan w:val="2"/>
            <w:tcBorders>
              <w:top w:val="single" w:sz="24" w:space="0" w:color="auto"/>
              <w:left w:val="nil"/>
              <w:bottom w:val="single" w:sz="4" w:space="0" w:color="auto"/>
              <w:right w:val="nil"/>
            </w:tcBorders>
            <w:shd w:val="clear" w:color="auto" w:fill="auto"/>
            <w:vAlign w:val="center"/>
          </w:tcPr>
          <w:p w:rsidR="00BC3440" w:rsidRDefault="00BC3440" w:rsidP="002B523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Matched to patients without resolution of symptoms </w:t>
            </w:r>
          </w:p>
          <w:p w:rsidR="00BC3440" w:rsidRPr="00CF46E2" w:rsidRDefault="00BC3440" w:rsidP="002B5231">
            <w:pPr>
              <w:spacing w:after="0"/>
              <w:rPr>
                <w:rFonts w:ascii="Times New Roman" w:hAnsi="Times New Roman" w:cs="Times New Roman"/>
                <w:sz w:val="24"/>
                <w:szCs w:val="24"/>
                <w:lang w:val="en-US"/>
              </w:rPr>
            </w:pPr>
            <w:r>
              <w:rPr>
                <w:rFonts w:ascii="Times New Roman" w:hAnsi="Times New Roman" w:cs="Times New Roman"/>
                <w:sz w:val="24"/>
                <w:szCs w:val="24"/>
                <w:lang w:val="en-US"/>
              </w:rPr>
              <w:t>(n=66)</w:t>
            </w:r>
          </w:p>
        </w:tc>
        <w:tc>
          <w:tcPr>
            <w:tcW w:w="3120" w:type="dxa"/>
            <w:gridSpan w:val="2"/>
            <w:tcBorders>
              <w:top w:val="single" w:sz="24" w:space="0" w:color="auto"/>
              <w:left w:val="nil"/>
              <w:bottom w:val="single" w:sz="4" w:space="0" w:color="auto"/>
              <w:right w:val="nil"/>
            </w:tcBorders>
            <w:vAlign w:val="center"/>
          </w:tcPr>
          <w:p w:rsidR="00BC3440" w:rsidRDefault="00BC3440" w:rsidP="002B523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Matched to patients with resolution of symptoms </w:t>
            </w:r>
          </w:p>
          <w:p w:rsidR="00BC3440" w:rsidRPr="00CF46E2" w:rsidRDefault="00BC3440" w:rsidP="002B5231">
            <w:pPr>
              <w:spacing w:after="0"/>
              <w:rPr>
                <w:rFonts w:ascii="Times New Roman" w:hAnsi="Times New Roman" w:cs="Times New Roman"/>
                <w:sz w:val="24"/>
                <w:szCs w:val="24"/>
                <w:lang w:val="en-US"/>
              </w:rPr>
            </w:pPr>
            <w:r>
              <w:rPr>
                <w:rFonts w:ascii="Times New Roman" w:hAnsi="Times New Roman" w:cs="Times New Roman"/>
                <w:sz w:val="24"/>
                <w:szCs w:val="24"/>
                <w:lang w:val="en-US"/>
              </w:rPr>
              <w:t>(n=32)</w:t>
            </w:r>
          </w:p>
        </w:tc>
      </w:tr>
      <w:tr w:rsidR="00BC3440" w:rsidRPr="00CF46E2" w:rsidTr="002B5231">
        <w:trPr>
          <w:trHeight w:val="226"/>
        </w:trPr>
        <w:tc>
          <w:tcPr>
            <w:tcW w:w="6096" w:type="dxa"/>
            <w:tcBorders>
              <w:top w:val="single" w:sz="6" w:space="0" w:color="auto"/>
              <w:left w:val="nil"/>
              <w:bottom w:val="nil"/>
              <w:right w:val="nil"/>
            </w:tcBorders>
            <w:vAlign w:val="center"/>
          </w:tcPr>
          <w:p w:rsidR="00BC3440" w:rsidRPr="00CF46E2" w:rsidRDefault="00BC3440" w:rsidP="002B5231">
            <w:pPr>
              <w:spacing w:line="240" w:lineRule="auto"/>
              <w:rPr>
                <w:rFonts w:ascii="Times New Roman" w:hAnsi="Times New Roman" w:cs="Times New Roman"/>
                <w:sz w:val="24"/>
                <w:szCs w:val="24"/>
                <w:lang w:val="en-US"/>
              </w:rPr>
            </w:pPr>
          </w:p>
        </w:tc>
        <w:tc>
          <w:tcPr>
            <w:tcW w:w="1275" w:type="dxa"/>
            <w:tcBorders>
              <w:top w:val="single" w:sz="4" w:space="0" w:color="auto"/>
              <w:left w:val="nil"/>
              <w:bottom w:val="nil"/>
              <w:right w:val="nil"/>
            </w:tcBorders>
            <w:vAlign w:val="center"/>
          </w:tcPr>
          <w:p w:rsidR="00BC3440" w:rsidRPr="00CF46E2" w:rsidRDefault="00BC3440" w:rsidP="002B5231">
            <w:pPr>
              <w:spacing w:line="240" w:lineRule="auto"/>
              <w:rPr>
                <w:rFonts w:ascii="Times New Roman" w:hAnsi="Times New Roman" w:cs="Times New Roman"/>
                <w:sz w:val="24"/>
                <w:szCs w:val="24"/>
                <w:lang w:val="en-US"/>
              </w:rPr>
            </w:pPr>
          </w:p>
        </w:tc>
        <w:tc>
          <w:tcPr>
            <w:tcW w:w="1843" w:type="dxa"/>
            <w:tcBorders>
              <w:top w:val="single" w:sz="4" w:space="0" w:color="auto"/>
              <w:left w:val="nil"/>
              <w:bottom w:val="nil"/>
              <w:right w:val="nil"/>
            </w:tcBorders>
            <w:vAlign w:val="center"/>
          </w:tcPr>
          <w:p w:rsidR="00BC3440" w:rsidRPr="00CF46E2" w:rsidRDefault="00BC3440" w:rsidP="002B5231">
            <w:pPr>
              <w:spacing w:line="240" w:lineRule="auto"/>
              <w:rPr>
                <w:rFonts w:ascii="Times New Roman" w:hAnsi="Times New Roman" w:cs="Times New Roman"/>
                <w:sz w:val="24"/>
                <w:szCs w:val="24"/>
                <w:lang w:val="en-US"/>
              </w:rPr>
            </w:pPr>
          </w:p>
        </w:tc>
        <w:tc>
          <w:tcPr>
            <w:tcW w:w="1418" w:type="dxa"/>
            <w:tcBorders>
              <w:top w:val="single" w:sz="4" w:space="0" w:color="auto"/>
              <w:left w:val="nil"/>
              <w:bottom w:val="nil"/>
              <w:right w:val="nil"/>
            </w:tcBorders>
          </w:tcPr>
          <w:p w:rsidR="00BC3440" w:rsidRPr="00CF46E2" w:rsidRDefault="00BC3440" w:rsidP="002B5231">
            <w:pPr>
              <w:spacing w:line="240" w:lineRule="auto"/>
              <w:rPr>
                <w:rFonts w:ascii="Times New Roman" w:hAnsi="Times New Roman" w:cs="Times New Roman"/>
                <w:sz w:val="24"/>
                <w:szCs w:val="24"/>
                <w:lang w:val="en-US"/>
              </w:rPr>
            </w:pPr>
          </w:p>
        </w:tc>
        <w:tc>
          <w:tcPr>
            <w:tcW w:w="1702" w:type="dxa"/>
            <w:tcBorders>
              <w:top w:val="single" w:sz="4" w:space="0" w:color="auto"/>
              <w:left w:val="nil"/>
              <w:bottom w:val="nil"/>
              <w:right w:val="nil"/>
            </w:tcBorders>
          </w:tcPr>
          <w:p w:rsidR="00BC3440" w:rsidRPr="00CF46E2" w:rsidRDefault="00BC3440" w:rsidP="002B5231">
            <w:pPr>
              <w:spacing w:line="240" w:lineRule="auto"/>
              <w:rPr>
                <w:rFonts w:ascii="Times New Roman" w:hAnsi="Times New Roman" w:cs="Times New Roman"/>
                <w:sz w:val="24"/>
                <w:szCs w:val="24"/>
                <w:lang w:val="en-US"/>
              </w:rPr>
            </w:pPr>
          </w:p>
        </w:tc>
      </w:tr>
      <w:tr w:rsidR="00BC3440" w:rsidRPr="00CF46E2" w:rsidTr="002B5231">
        <w:trPr>
          <w:trHeight w:val="570"/>
        </w:trPr>
        <w:tc>
          <w:tcPr>
            <w:tcW w:w="6096"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 xml:space="preserve">Age in years, mean (SD) </w:t>
            </w:r>
          </w:p>
        </w:tc>
        <w:tc>
          <w:tcPr>
            <w:tcW w:w="1275"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lang w:val="en-US"/>
              </w:rPr>
            </w:pPr>
            <w:r w:rsidRPr="00CF46E2">
              <w:rPr>
                <w:rFonts w:ascii="Times New Roman" w:hAnsi="Times New Roman" w:cs="Times New Roman"/>
                <w:sz w:val="24"/>
                <w:szCs w:val="24"/>
                <w:lang w:val="en-US"/>
              </w:rPr>
              <w:t>47</w:t>
            </w:r>
          </w:p>
        </w:tc>
        <w:tc>
          <w:tcPr>
            <w:tcW w:w="1843"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(13)</w:t>
            </w:r>
          </w:p>
        </w:tc>
        <w:tc>
          <w:tcPr>
            <w:tcW w:w="1418" w:type="dxa"/>
            <w:tcBorders>
              <w:top w:val="nil"/>
              <w:left w:val="nil"/>
              <w:bottom w:val="nil"/>
              <w:right w:val="nil"/>
            </w:tcBorders>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1702" w:type="dxa"/>
            <w:tcBorders>
              <w:top w:val="nil"/>
              <w:left w:val="nil"/>
              <w:bottom w:val="nil"/>
              <w:right w:val="nil"/>
            </w:tcBorders>
          </w:tcPr>
          <w:p w:rsidR="00BC3440" w:rsidRPr="00CF46E2" w:rsidRDefault="00BC3440" w:rsidP="002B5231">
            <w:pP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BC3440" w:rsidRPr="00CF46E2" w:rsidTr="002B5231">
        <w:trPr>
          <w:trHeight w:val="570"/>
        </w:trPr>
        <w:tc>
          <w:tcPr>
            <w:tcW w:w="6096"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Female sex, N (%)</w:t>
            </w:r>
          </w:p>
        </w:tc>
        <w:tc>
          <w:tcPr>
            <w:tcW w:w="1275" w:type="dxa"/>
            <w:tcBorders>
              <w:top w:val="nil"/>
              <w:left w:val="nil"/>
              <w:bottom w:val="nil"/>
              <w:right w:val="nil"/>
            </w:tcBorders>
            <w:vAlign w:val="center"/>
          </w:tcPr>
          <w:p w:rsidR="00BC3440" w:rsidRPr="008123BC" w:rsidRDefault="00BC3440" w:rsidP="002B5231">
            <w:pPr>
              <w:jc w:val="right"/>
              <w:rPr>
                <w:rFonts w:ascii="Times New Roman" w:hAnsi="Times New Roman" w:cs="Times New Roman"/>
                <w:sz w:val="24"/>
                <w:szCs w:val="24"/>
                <w:lang w:val="en-US"/>
              </w:rPr>
            </w:pPr>
            <w:r w:rsidRPr="008123BC">
              <w:rPr>
                <w:rFonts w:ascii="Times New Roman" w:hAnsi="Times New Roman" w:cs="Times New Roman"/>
                <w:sz w:val="24"/>
                <w:szCs w:val="24"/>
                <w:lang w:val="en-US"/>
              </w:rPr>
              <w:t>53</w:t>
            </w:r>
          </w:p>
        </w:tc>
        <w:tc>
          <w:tcPr>
            <w:tcW w:w="1843" w:type="dxa"/>
            <w:tcBorders>
              <w:top w:val="nil"/>
              <w:left w:val="nil"/>
              <w:bottom w:val="nil"/>
              <w:right w:val="nil"/>
            </w:tcBorders>
            <w:vAlign w:val="center"/>
          </w:tcPr>
          <w:p w:rsidR="00BC3440" w:rsidRPr="008123BC" w:rsidRDefault="00BC3440" w:rsidP="002B5231">
            <w:pPr>
              <w:rPr>
                <w:rFonts w:ascii="Times New Roman" w:hAnsi="Times New Roman" w:cs="Times New Roman"/>
                <w:sz w:val="24"/>
                <w:szCs w:val="24"/>
                <w:lang w:val="en-US"/>
              </w:rPr>
            </w:pPr>
            <w:r w:rsidRPr="008123BC">
              <w:rPr>
                <w:rFonts w:ascii="Times New Roman" w:hAnsi="Times New Roman" w:cs="Times New Roman"/>
                <w:sz w:val="24"/>
                <w:szCs w:val="24"/>
                <w:lang w:val="en-US"/>
              </w:rPr>
              <w:t>(80)</w:t>
            </w:r>
          </w:p>
        </w:tc>
        <w:tc>
          <w:tcPr>
            <w:tcW w:w="1418" w:type="dxa"/>
            <w:tcBorders>
              <w:top w:val="nil"/>
              <w:left w:val="nil"/>
              <w:bottom w:val="nil"/>
              <w:right w:val="nil"/>
            </w:tcBorders>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702" w:type="dxa"/>
            <w:tcBorders>
              <w:top w:val="nil"/>
              <w:left w:val="nil"/>
              <w:bottom w:val="nil"/>
              <w:right w:val="nil"/>
            </w:tcBorders>
          </w:tcPr>
          <w:p w:rsidR="00BC3440" w:rsidRPr="00CF46E2" w:rsidRDefault="00BC3440" w:rsidP="002B5231">
            <w:pPr>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BC3440" w:rsidRPr="00CF46E2" w:rsidTr="002B5231">
        <w:trPr>
          <w:trHeight w:val="570"/>
        </w:trPr>
        <w:tc>
          <w:tcPr>
            <w:tcW w:w="6096"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Symptom duration in weeks, median (IQR)</w:t>
            </w:r>
          </w:p>
        </w:tc>
        <w:tc>
          <w:tcPr>
            <w:tcW w:w="1275"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highlight w:val="yellow"/>
                <w:lang w:val="en-US"/>
              </w:rPr>
            </w:pPr>
            <w:r>
              <w:rPr>
                <w:rFonts w:ascii="Times New Roman" w:hAnsi="Times New Roman" w:cs="Times New Roman"/>
                <w:sz w:val="24"/>
                <w:szCs w:val="24"/>
                <w:lang w:val="en-US"/>
              </w:rPr>
              <w:t>0</w:t>
            </w:r>
          </w:p>
        </w:tc>
        <w:tc>
          <w:tcPr>
            <w:tcW w:w="1843"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w:t>
            </w:r>
            <w:r>
              <w:rPr>
                <w:rFonts w:ascii="Times New Roman" w:hAnsi="Times New Roman" w:cs="Times New Roman"/>
                <w:sz w:val="24"/>
                <w:szCs w:val="24"/>
                <w:lang w:val="en-US"/>
              </w:rPr>
              <w:t>0 – 0</w:t>
            </w:r>
            <w:r w:rsidRPr="00CF46E2">
              <w:rPr>
                <w:rFonts w:ascii="Times New Roman" w:hAnsi="Times New Roman" w:cs="Times New Roman"/>
                <w:sz w:val="24"/>
                <w:szCs w:val="24"/>
                <w:lang w:val="en-US"/>
              </w:rPr>
              <w:t>)</w:t>
            </w:r>
          </w:p>
        </w:tc>
        <w:tc>
          <w:tcPr>
            <w:tcW w:w="1418"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highlight w:val="yellow"/>
                <w:lang w:val="en-US"/>
              </w:rPr>
            </w:pPr>
            <w:r>
              <w:rPr>
                <w:rFonts w:ascii="Times New Roman" w:hAnsi="Times New Roman" w:cs="Times New Roman"/>
                <w:sz w:val="24"/>
                <w:szCs w:val="24"/>
                <w:lang w:val="en-US"/>
              </w:rPr>
              <w:t>0</w:t>
            </w:r>
          </w:p>
        </w:tc>
        <w:tc>
          <w:tcPr>
            <w:tcW w:w="1702"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w:t>
            </w:r>
            <w:r>
              <w:rPr>
                <w:rFonts w:ascii="Times New Roman" w:hAnsi="Times New Roman" w:cs="Times New Roman"/>
                <w:sz w:val="24"/>
                <w:szCs w:val="24"/>
                <w:lang w:val="en-US"/>
              </w:rPr>
              <w:t>0 – 0</w:t>
            </w:r>
            <w:r w:rsidRPr="00CF46E2">
              <w:rPr>
                <w:rFonts w:ascii="Times New Roman" w:hAnsi="Times New Roman" w:cs="Times New Roman"/>
                <w:sz w:val="24"/>
                <w:szCs w:val="24"/>
                <w:lang w:val="en-US"/>
              </w:rPr>
              <w:t>)</w:t>
            </w:r>
          </w:p>
        </w:tc>
      </w:tr>
      <w:tr w:rsidR="00BC3440" w:rsidRPr="00CF46E2" w:rsidTr="002B5231">
        <w:trPr>
          <w:trHeight w:val="570"/>
        </w:trPr>
        <w:tc>
          <w:tcPr>
            <w:tcW w:w="6096"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 xml:space="preserve">68-TJC, median (IQR) </w:t>
            </w:r>
          </w:p>
        </w:tc>
        <w:tc>
          <w:tcPr>
            <w:tcW w:w="1275"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43"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w:t>
            </w:r>
            <w:r>
              <w:rPr>
                <w:rFonts w:ascii="Times New Roman" w:hAnsi="Times New Roman" w:cs="Times New Roman"/>
                <w:sz w:val="24"/>
                <w:szCs w:val="24"/>
                <w:lang w:val="en-US"/>
              </w:rPr>
              <w:t>0</w:t>
            </w:r>
            <w:r w:rsidRPr="00CF46E2">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r w:rsidRPr="00CF46E2">
              <w:rPr>
                <w:rFonts w:ascii="Times New Roman" w:hAnsi="Times New Roman" w:cs="Times New Roman"/>
                <w:sz w:val="24"/>
                <w:szCs w:val="24"/>
                <w:lang w:val="en-US"/>
              </w:rPr>
              <w:t>)</w:t>
            </w:r>
          </w:p>
        </w:tc>
        <w:tc>
          <w:tcPr>
            <w:tcW w:w="1418"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702"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w:t>
            </w:r>
            <w:r>
              <w:rPr>
                <w:rFonts w:ascii="Times New Roman" w:hAnsi="Times New Roman" w:cs="Times New Roman"/>
                <w:sz w:val="24"/>
                <w:szCs w:val="24"/>
                <w:lang w:val="en-US"/>
              </w:rPr>
              <w:t>0</w:t>
            </w:r>
            <w:r w:rsidRPr="00CF46E2">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r w:rsidRPr="00CF46E2">
              <w:rPr>
                <w:rFonts w:ascii="Times New Roman" w:hAnsi="Times New Roman" w:cs="Times New Roman"/>
                <w:sz w:val="24"/>
                <w:szCs w:val="24"/>
                <w:lang w:val="en-US"/>
              </w:rPr>
              <w:t>)</w:t>
            </w:r>
          </w:p>
        </w:tc>
      </w:tr>
      <w:tr w:rsidR="00BC3440" w:rsidRPr="00CF46E2" w:rsidTr="002B5231">
        <w:trPr>
          <w:trHeight w:val="570"/>
        </w:trPr>
        <w:tc>
          <w:tcPr>
            <w:tcW w:w="6096"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Increased CRP (≥5 mg/L), N (%)</w:t>
            </w:r>
          </w:p>
        </w:tc>
        <w:tc>
          <w:tcPr>
            <w:tcW w:w="1275"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1843"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p>
        </w:tc>
        <w:tc>
          <w:tcPr>
            <w:tcW w:w="1418"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1702"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p>
        </w:tc>
      </w:tr>
      <w:tr w:rsidR="00BC3440" w:rsidRPr="00CF46E2" w:rsidTr="002B5231">
        <w:trPr>
          <w:trHeight w:val="570"/>
        </w:trPr>
        <w:tc>
          <w:tcPr>
            <w:tcW w:w="6096"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r w:rsidRPr="00CF46E2">
              <w:rPr>
                <w:rFonts w:ascii="Times New Roman" w:hAnsi="Times New Roman" w:cs="Times New Roman"/>
                <w:sz w:val="24"/>
                <w:szCs w:val="24"/>
                <w:lang w:val="en-US"/>
              </w:rPr>
              <w:t xml:space="preserve">Autoantibody status </w:t>
            </w:r>
          </w:p>
        </w:tc>
        <w:tc>
          <w:tcPr>
            <w:tcW w:w="1275"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highlight w:val="yellow"/>
                <w:lang w:val="en-US"/>
              </w:rPr>
            </w:pPr>
          </w:p>
        </w:tc>
        <w:tc>
          <w:tcPr>
            <w:tcW w:w="1843"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highlight w:val="yellow"/>
                <w:lang w:val="en-US"/>
              </w:rPr>
            </w:pPr>
          </w:p>
        </w:tc>
        <w:tc>
          <w:tcPr>
            <w:tcW w:w="1418"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highlight w:val="yellow"/>
                <w:lang w:val="en-US"/>
              </w:rPr>
            </w:pPr>
          </w:p>
        </w:tc>
        <w:tc>
          <w:tcPr>
            <w:tcW w:w="1702"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highlight w:val="yellow"/>
                <w:lang w:val="en-US"/>
              </w:rPr>
            </w:pPr>
          </w:p>
        </w:tc>
      </w:tr>
      <w:tr w:rsidR="00BC3440" w:rsidRPr="00CF46E2" w:rsidTr="002B5231">
        <w:trPr>
          <w:trHeight w:val="570"/>
        </w:trPr>
        <w:tc>
          <w:tcPr>
            <w:tcW w:w="6096" w:type="dxa"/>
            <w:tcBorders>
              <w:top w:val="nil"/>
              <w:left w:val="nil"/>
              <w:bottom w:val="nil"/>
              <w:right w:val="nil"/>
            </w:tcBorders>
            <w:vAlign w:val="center"/>
          </w:tcPr>
          <w:p w:rsidR="00BC3440" w:rsidRPr="00CF46E2" w:rsidRDefault="00BC3440" w:rsidP="002B5231">
            <w:pPr>
              <w:ind w:left="567"/>
              <w:rPr>
                <w:rFonts w:ascii="Times New Roman" w:hAnsi="Times New Roman" w:cs="Times New Roman"/>
                <w:sz w:val="24"/>
                <w:szCs w:val="24"/>
                <w:lang w:val="en-US"/>
              </w:rPr>
            </w:pPr>
            <w:r w:rsidRPr="00CF46E2">
              <w:rPr>
                <w:rFonts w:ascii="Times New Roman" w:hAnsi="Times New Roman" w:cs="Times New Roman"/>
                <w:sz w:val="24"/>
                <w:szCs w:val="24"/>
                <w:lang w:val="en-US"/>
              </w:rPr>
              <w:t>Negative for IgM-RF and ACPA, N (%)</w:t>
            </w:r>
          </w:p>
        </w:tc>
        <w:tc>
          <w:tcPr>
            <w:tcW w:w="1275"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1843"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p>
        </w:tc>
        <w:tc>
          <w:tcPr>
            <w:tcW w:w="1418" w:type="dxa"/>
            <w:tcBorders>
              <w:top w:val="nil"/>
              <w:left w:val="nil"/>
              <w:bottom w:val="nil"/>
              <w:right w:val="nil"/>
            </w:tcBorders>
            <w:vAlign w:val="center"/>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1702" w:type="dxa"/>
            <w:tcBorders>
              <w:top w:val="nil"/>
              <w:left w:val="nil"/>
              <w:bottom w:val="nil"/>
              <w:right w:val="nil"/>
            </w:tcBorders>
            <w:vAlign w:val="center"/>
          </w:tcPr>
          <w:p w:rsidR="00BC3440" w:rsidRPr="00CF46E2" w:rsidRDefault="00BC3440" w:rsidP="002B5231">
            <w:pPr>
              <w:rPr>
                <w:rFonts w:ascii="Times New Roman" w:hAnsi="Times New Roman" w:cs="Times New Roman"/>
                <w:sz w:val="24"/>
                <w:szCs w:val="24"/>
                <w:lang w:val="en-US"/>
              </w:rPr>
            </w:pPr>
          </w:p>
        </w:tc>
      </w:tr>
      <w:tr w:rsidR="00BC3440" w:rsidRPr="00CF46E2" w:rsidTr="002B5231">
        <w:trPr>
          <w:trHeight w:val="570"/>
        </w:trPr>
        <w:tc>
          <w:tcPr>
            <w:tcW w:w="6096" w:type="dxa"/>
            <w:tcBorders>
              <w:top w:val="nil"/>
              <w:left w:val="nil"/>
              <w:bottom w:val="single" w:sz="24" w:space="0" w:color="auto"/>
              <w:right w:val="nil"/>
            </w:tcBorders>
            <w:vAlign w:val="center"/>
          </w:tcPr>
          <w:p w:rsidR="00BC3440" w:rsidRPr="00CF46E2" w:rsidRDefault="00BC3440" w:rsidP="002B5231">
            <w:pPr>
              <w:ind w:left="567"/>
              <w:rPr>
                <w:rFonts w:ascii="Times New Roman" w:hAnsi="Times New Roman" w:cs="Times New Roman"/>
                <w:sz w:val="24"/>
                <w:szCs w:val="24"/>
                <w:lang w:val="en-US"/>
              </w:rPr>
            </w:pPr>
            <w:r w:rsidRPr="00CF46E2">
              <w:rPr>
                <w:rFonts w:ascii="Times New Roman" w:hAnsi="Times New Roman" w:cs="Times New Roman"/>
                <w:sz w:val="24"/>
                <w:szCs w:val="24"/>
                <w:lang w:val="en-US"/>
              </w:rPr>
              <w:t>ACPA- or RF-positive, n (%)</w:t>
            </w:r>
          </w:p>
        </w:tc>
        <w:tc>
          <w:tcPr>
            <w:tcW w:w="1275" w:type="dxa"/>
            <w:tcBorders>
              <w:top w:val="nil"/>
              <w:left w:val="nil"/>
              <w:bottom w:val="single" w:sz="24" w:space="0" w:color="auto"/>
              <w:right w:val="nil"/>
            </w:tcBorders>
            <w:vAlign w:val="center"/>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1843" w:type="dxa"/>
            <w:tcBorders>
              <w:top w:val="nil"/>
              <w:left w:val="nil"/>
              <w:bottom w:val="single" w:sz="24" w:space="0" w:color="auto"/>
              <w:right w:val="nil"/>
            </w:tcBorders>
            <w:vAlign w:val="center"/>
          </w:tcPr>
          <w:p w:rsidR="00BC3440" w:rsidRPr="00CF46E2" w:rsidRDefault="00BC3440" w:rsidP="002B5231">
            <w:pPr>
              <w:rPr>
                <w:rFonts w:ascii="Times New Roman" w:hAnsi="Times New Roman" w:cs="Times New Roman"/>
                <w:sz w:val="24"/>
                <w:szCs w:val="24"/>
                <w:lang w:val="en-US"/>
              </w:rPr>
            </w:pPr>
          </w:p>
        </w:tc>
        <w:tc>
          <w:tcPr>
            <w:tcW w:w="1418" w:type="dxa"/>
            <w:tcBorders>
              <w:top w:val="nil"/>
              <w:left w:val="nil"/>
              <w:bottom w:val="single" w:sz="24" w:space="0" w:color="auto"/>
              <w:right w:val="nil"/>
            </w:tcBorders>
            <w:vAlign w:val="center"/>
          </w:tcPr>
          <w:p w:rsidR="00BC3440" w:rsidRPr="00CF46E2" w:rsidRDefault="00BC3440" w:rsidP="002B5231">
            <w:pPr>
              <w:jc w:val="right"/>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1702" w:type="dxa"/>
            <w:tcBorders>
              <w:top w:val="nil"/>
              <w:left w:val="nil"/>
              <w:bottom w:val="single" w:sz="24" w:space="0" w:color="auto"/>
              <w:right w:val="nil"/>
            </w:tcBorders>
            <w:vAlign w:val="center"/>
          </w:tcPr>
          <w:p w:rsidR="00BC3440" w:rsidRPr="00CF46E2" w:rsidRDefault="00BC3440" w:rsidP="002B5231">
            <w:pPr>
              <w:rPr>
                <w:rFonts w:ascii="Times New Roman" w:hAnsi="Times New Roman" w:cs="Times New Roman"/>
                <w:sz w:val="24"/>
                <w:szCs w:val="24"/>
                <w:lang w:val="en-US"/>
              </w:rPr>
            </w:pPr>
          </w:p>
        </w:tc>
      </w:tr>
    </w:tbl>
    <w:p w:rsidR="00BC3440" w:rsidRDefault="00BC3440" w:rsidP="00BC3440">
      <w:pPr>
        <w:spacing w:after="0"/>
        <w:rPr>
          <w:rFonts w:ascii="Times New Roman" w:hAnsi="Times New Roman" w:cs="Times New Roman"/>
          <w:b/>
          <w:lang w:val="en-US"/>
        </w:rPr>
      </w:pPr>
    </w:p>
    <w:p w:rsidR="00BC3440" w:rsidRPr="007B4F5A" w:rsidRDefault="00BC3440" w:rsidP="00BC3440">
      <w:pPr>
        <w:spacing w:after="0" w:line="360" w:lineRule="auto"/>
        <w:rPr>
          <w:rFonts w:ascii="Times New Roman" w:hAnsi="Times New Roman" w:cs="Times New Roman"/>
          <w:lang w:val="en-US"/>
        </w:rPr>
      </w:pPr>
      <w:r w:rsidRPr="00411D28">
        <w:rPr>
          <w:rFonts w:ascii="Times New Roman" w:hAnsi="Times New Roman" w:cs="Times New Roman"/>
          <w:b/>
          <w:lang w:val="en-US"/>
        </w:rPr>
        <w:t>Legend</w:t>
      </w:r>
      <w:r w:rsidRPr="007B4F5A">
        <w:rPr>
          <w:rFonts w:ascii="Times New Roman" w:hAnsi="Times New Roman" w:cs="Times New Roman"/>
          <w:lang w:val="en-US"/>
        </w:rPr>
        <w:t>:</w:t>
      </w:r>
    </w:p>
    <w:p w:rsidR="00BC3440" w:rsidRDefault="00BC3440" w:rsidP="00E87A5F">
      <w:pPr>
        <w:spacing w:line="360" w:lineRule="auto"/>
        <w:rPr>
          <w:rFonts w:ascii="Times New Roman" w:hAnsi="Times New Roman" w:cs="Times New Roman"/>
          <w:lang w:val="en-US"/>
        </w:rPr>
      </w:pPr>
      <w:r w:rsidRPr="007B4F5A">
        <w:rPr>
          <w:rFonts w:ascii="Times New Roman" w:hAnsi="Times New Roman" w:cs="Times New Roman"/>
          <w:lang w:val="en-US"/>
        </w:rPr>
        <w:t>ACPA = anti-citrullinated peptide antibody</w:t>
      </w:r>
      <w:r>
        <w:rPr>
          <w:rFonts w:ascii="Times New Roman" w:hAnsi="Times New Roman" w:cs="Times New Roman"/>
          <w:lang w:val="en-US"/>
        </w:rPr>
        <w:t xml:space="preserve"> (positive if: ≥</w:t>
      </w:r>
      <w:r w:rsidRPr="007B4F5A">
        <w:rPr>
          <w:rFonts w:ascii="Times New Roman" w:hAnsi="Times New Roman" w:cs="Times New Roman"/>
          <w:lang w:val="en-US"/>
        </w:rPr>
        <w:t>7 U/mL</w:t>
      </w:r>
      <w:r>
        <w:rPr>
          <w:rFonts w:ascii="Times New Roman" w:hAnsi="Times New Roman" w:cs="Times New Roman"/>
          <w:lang w:val="en-US"/>
        </w:rPr>
        <w:t>)</w:t>
      </w:r>
      <w:r w:rsidRPr="007B4F5A">
        <w:rPr>
          <w:rFonts w:ascii="Times New Roman" w:hAnsi="Times New Roman" w:cs="Times New Roman"/>
          <w:lang w:val="en-US"/>
        </w:rPr>
        <w:t>; CRP = C-reactive protein; IgM-RF = immunoglobulin M rheumatoid factor</w:t>
      </w:r>
      <w:r>
        <w:rPr>
          <w:rFonts w:ascii="Times New Roman" w:hAnsi="Times New Roman" w:cs="Times New Roman"/>
          <w:lang w:val="en-US"/>
        </w:rPr>
        <w:t xml:space="preserve"> (</w:t>
      </w:r>
      <w:r w:rsidRPr="007B4F5A">
        <w:rPr>
          <w:rFonts w:ascii="Times New Roman" w:hAnsi="Times New Roman" w:cs="Times New Roman"/>
          <w:lang w:val="en-US"/>
        </w:rPr>
        <w:t>positive</w:t>
      </w:r>
      <w:r>
        <w:rPr>
          <w:rFonts w:ascii="Times New Roman" w:hAnsi="Times New Roman" w:cs="Times New Roman"/>
          <w:lang w:val="en-US"/>
        </w:rPr>
        <w:t xml:space="preserve"> if: ≥</w:t>
      </w:r>
      <w:r w:rsidRPr="007B4F5A">
        <w:rPr>
          <w:rFonts w:ascii="Times New Roman" w:hAnsi="Times New Roman" w:cs="Times New Roman"/>
          <w:lang w:val="en-US"/>
        </w:rPr>
        <w:t>3.5 IU/mL</w:t>
      </w:r>
      <w:r>
        <w:rPr>
          <w:rFonts w:ascii="Times New Roman" w:hAnsi="Times New Roman" w:cs="Times New Roman"/>
          <w:lang w:val="en-US"/>
        </w:rPr>
        <w:t>)</w:t>
      </w:r>
      <w:r w:rsidRPr="007B4F5A">
        <w:rPr>
          <w:rFonts w:ascii="Times New Roman" w:hAnsi="Times New Roman" w:cs="Times New Roman"/>
          <w:lang w:val="en-US"/>
        </w:rPr>
        <w:t xml:space="preserve">; IQR = interquartile range; SD = standard deviation; TJC = tender joint count. </w:t>
      </w:r>
      <w:r w:rsidR="004A7507">
        <w:rPr>
          <w:rFonts w:ascii="Times New Roman" w:hAnsi="Times New Roman" w:cs="Times New Roman"/>
          <w:lang w:val="en-US"/>
        </w:rPr>
        <w:t>N/</w:t>
      </w:r>
      <w:r w:rsidR="00086D9C">
        <w:rPr>
          <w:rFonts w:ascii="Times New Roman" w:hAnsi="Times New Roman" w:cs="Times New Roman"/>
          <w:lang w:val="en-US"/>
        </w:rPr>
        <w:t>A</w:t>
      </w:r>
      <w:r w:rsidR="004A7507">
        <w:rPr>
          <w:rFonts w:ascii="Times New Roman" w:hAnsi="Times New Roman" w:cs="Times New Roman"/>
          <w:lang w:val="en-US"/>
        </w:rPr>
        <w:t xml:space="preserve"> indicates not assessed</w:t>
      </w:r>
      <w:r w:rsidR="00E87A5F">
        <w:rPr>
          <w:rFonts w:ascii="Times New Roman" w:hAnsi="Times New Roman" w:cs="Times New Roman"/>
          <w:lang w:val="en-US"/>
        </w:rPr>
        <w:t xml:space="preserve"> as CRP, IgM-RF and ACPA were not tested in the symptom-free persons</w:t>
      </w:r>
      <w:r w:rsidR="004A7507">
        <w:rPr>
          <w:rFonts w:ascii="Times New Roman" w:hAnsi="Times New Roman" w:cs="Times New Roman"/>
          <w:lang w:val="en-US"/>
        </w:rPr>
        <w:t>.</w:t>
      </w:r>
      <w:r>
        <w:rPr>
          <w:rFonts w:ascii="Times New Roman" w:hAnsi="Times New Roman" w:cs="Times New Roman"/>
          <w:lang w:val="en-US"/>
        </w:rPr>
        <w:br w:type="page"/>
      </w:r>
    </w:p>
    <w:p w:rsidR="00BC3440" w:rsidRDefault="00BC3440" w:rsidP="00BC3440">
      <w:pPr>
        <w:pStyle w:val="Heading2"/>
      </w:pPr>
      <w:r w:rsidRPr="005E18E9">
        <w:lastRenderedPageBreak/>
        <w:t xml:space="preserve">Supplementary Table </w:t>
      </w:r>
      <w:r w:rsidR="00A04666">
        <w:t>3.</w:t>
      </w:r>
      <w:r w:rsidRPr="005E18E9">
        <w:t xml:space="preserve"> Comparison of </w:t>
      </w:r>
      <w:r w:rsidR="00EB6B5A">
        <w:t xml:space="preserve">mean </w:t>
      </w:r>
      <w:r w:rsidRPr="005E18E9">
        <w:t xml:space="preserve">MRI-inflammation scores of patients meeting the EULAR definition of arthralgia suspicious for progression to rheumatoid arthritis versus symptom-free persons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464"/>
        <w:gridCol w:w="2790"/>
        <w:gridCol w:w="2790"/>
        <w:gridCol w:w="2790"/>
      </w:tblGrid>
      <w:tr w:rsidR="00BC3440" w:rsidTr="008F3438">
        <w:tc>
          <w:tcPr>
            <w:tcW w:w="3114" w:type="dxa"/>
            <w:tcBorders>
              <w:top w:val="single" w:sz="24" w:space="0" w:color="auto"/>
            </w:tcBorders>
          </w:tcPr>
          <w:p w:rsidR="00BC3440" w:rsidRDefault="00BC3440" w:rsidP="002B5231">
            <w:pPr>
              <w:spacing w:line="276" w:lineRule="auto"/>
              <w:rPr>
                <w:rFonts w:ascii="Times New Roman" w:hAnsi="Times New Roman" w:cs="Times New Roman"/>
                <w:b/>
                <w:sz w:val="24"/>
              </w:rPr>
            </w:pPr>
          </w:p>
        </w:tc>
        <w:tc>
          <w:tcPr>
            <w:tcW w:w="2464" w:type="dxa"/>
            <w:tcBorders>
              <w:top w:val="single" w:sz="24" w:space="0" w:color="auto"/>
            </w:tcBorders>
          </w:tcPr>
          <w:p w:rsidR="00BC3440" w:rsidRPr="00901439" w:rsidRDefault="00BC3440" w:rsidP="002B5231">
            <w:pPr>
              <w:spacing w:line="276" w:lineRule="auto"/>
              <w:rPr>
                <w:rFonts w:ascii="Times New Roman" w:hAnsi="Times New Roman" w:cs="Times New Roman"/>
                <w:b/>
                <w:sz w:val="24"/>
              </w:rPr>
            </w:pPr>
            <w:r>
              <w:rPr>
                <w:rFonts w:ascii="Times New Roman" w:hAnsi="Times New Roman" w:cs="Times New Roman"/>
                <w:b/>
                <w:sz w:val="24"/>
              </w:rPr>
              <w:t>Patients with resolution of symptoms</w:t>
            </w:r>
          </w:p>
        </w:tc>
        <w:tc>
          <w:tcPr>
            <w:tcW w:w="2790" w:type="dxa"/>
            <w:tcBorders>
              <w:top w:val="single" w:sz="24" w:space="0" w:color="auto"/>
            </w:tcBorders>
          </w:tcPr>
          <w:p w:rsidR="00BC3440" w:rsidRDefault="00BC3440" w:rsidP="002B5231">
            <w:pPr>
              <w:spacing w:line="276" w:lineRule="auto"/>
              <w:rPr>
                <w:rFonts w:ascii="Times New Roman" w:hAnsi="Times New Roman" w:cs="Times New Roman"/>
                <w:b/>
                <w:sz w:val="24"/>
              </w:rPr>
            </w:pPr>
            <w:r>
              <w:rPr>
                <w:rFonts w:ascii="Times New Roman" w:hAnsi="Times New Roman" w:cs="Times New Roman"/>
                <w:b/>
                <w:sz w:val="24"/>
              </w:rPr>
              <w:t>Patients without resolution of symptoms</w:t>
            </w:r>
          </w:p>
          <w:p w:rsidR="00BC3440" w:rsidRPr="00B376C5" w:rsidRDefault="00BC3440" w:rsidP="002B5231">
            <w:pPr>
              <w:spacing w:line="276" w:lineRule="auto"/>
              <w:rPr>
                <w:rFonts w:ascii="Times New Roman" w:hAnsi="Times New Roman" w:cs="Times New Roman"/>
                <w:sz w:val="24"/>
              </w:rPr>
            </w:pPr>
          </w:p>
        </w:tc>
        <w:tc>
          <w:tcPr>
            <w:tcW w:w="2790" w:type="dxa"/>
            <w:tcBorders>
              <w:top w:val="single" w:sz="24" w:space="0" w:color="auto"/>
            </w:tcBorders>
          </w:tcPr>
          <w:p w:rsidR="00BC3440" w:rsidRDefault="00BC3440" w:rsidP="002B5231">
            <w:pPr>
              <w:spacing w:line="276" w:lineRule="auto"/>
              <w:rPr>
                <w:rFonts w:ascii="Times New Roman" w:hAnsi="Times New Roman" w:cs="Times New Roman"/>
                <w:b/>
                <w:sz w:val="24"/>
              </w:rPr>
            </w:pPr>
            <w:r>
              <w:rPr>
                <w:rFonts w:ascii="Times New Roman" w:hAnsi="Times New Roman" w:cs="Times New Roman"/>
                <w:b/>
                <w:sz w:val="24"/>
              </w:rPr>
              <w:t>Symptom-free persons</w:t>
            </w:r>
          </w:p>
          <w:p w:rsidR="00BC3440" w:rsidRPr="00B376C5" w:rsidRDefault="00BC3440" w:rsidP="002B5231">
            <w:pPr>
              <w:spacing w:line="276" w:lineRule="auto"/>
              <w:rPr>
                <w:rFonts w:ascii="Times New Roman" w:hAnsi="Times New Roman" w:cs="Times New Roman"/>
                <w:sz w:val="24"/>
              </w:rPr>
            </w:pPr>
          </w:p>
        </w:tc>
        <w:tc>
          <w:tcPr>
            <w:tcW w:w="2790" w:type="dxa"/>
            <w:tcBorders>
              <w:top w:val="single" w:sz="24" w:space="0" w:color="auto"/>
            </w:tcBorders>
          </w:tcPr>
          <w:p w:rsidR="00BC3440" w:rsidRDefault="00BC3440" w:rsidP="002B5231">
            <w:pPr>
              <w:spacing w:line="276" w:lineRule="auto"/>
              <w:rPr>
                <w:rFonts w:ascii="Times New Roman" w:hAnsi="Times New Roman" w:cs="Times New Roman"/>
                <w:b/>
                <w:sz w:val="24"/>
              </w:rPr>
            </w:pPr>
            <w:r>
              <w:rPr>
                <w:rFonts w:ascii="Times New Roman" w:hAnsi="Times New Roman" w:cs="Times New Roman"/>
                <w:b/>
                <w:sz w:val="24"/>
              </w:rPr>
              <w:t>P-value</w:t>
            </w:r>
          </w:p>
        </w:tc>
      </w:tr>
      <w:tr w:rsidR="00901439" w:rsidTr="008F3438">
        <w:trPr>
          <w:trHeight w:val="486"/>
        </w:trPr>
        <w:tc>
          <w:tcPr>
            <w:tcW w:w="3114" w:type="dxa"/>
          </w:tcPr>
          <w:p w:rsidR="00901439" w:rsidRDefault="00901439" w:rsidP="00901439">
            <w:pPr>
              <w:spacing w:before="240" w:after="120"/>
              <w:rPr>
                <w:rFonts w:ascii="Times New Roman" w:hAnsi="Times New Roman" w:cs="Times New Roman"/>
                <w:b/>
                <w:sz w:val="24"/>
              </w:rPr>
            </w:pPr>
          </w:p>
        </w:tc>
        <w:tc>
          <w:tcPr>
            <w:tcW w:w="2464" w:type="dxa"/>
            <w:tcBorders>
              <w:bottom w:val="single" w:sz="4" w:space="0" w:color="auto"/>
            </w:tcBorders>
          </w:tcPr>
          <w:p w:rsidR="00901439" w:rsidRPr="00E57F46" w:rsidRDefault="00901439" w:rsidP="00901439">
            <w:pPr>
              <w:spacing w:before="240" w:after="120"/>
              <w:rPr>
                <w:rFonts w:ascii="Times New Roman" w:hAnsi="Times New Roman" w:cs="Times New Roman"/>
                <w:sz w:val="24"/>
              </w:rPr>
            </w:pPr>
            <w:r w:rsidRPr="00B376C5">
              <w:rPr>
                <w:rFonts w:ascii="Times New Roman" w:hAnsi="Times New Roman" w:cs="Times New Roman"/>
                <w:sz w:val="24"/>
              </w:rPr>
              <w:t>n=20</w:t>
            </w:r>
          </w:p>
        </w:tc>
        <w:tc>
          <w:tcPr>
            <w:tcW w:w="2790" w:type="dxa"/>
            <w:tcBorders>
              <w:bottom w:val="single" w:sz="4" w:space="0" w:color="auto"/>
            </w:tcBorders>
          </w:tcPr>
          <w:p w:rsidR="00901439" w:rsidRPr="00E57F46" w:rsidRDefault="00901439" w:rsidP="00901439">
            <w:pPr>
              <w:spacing w:before="240" w:after="120"/>
              <w:rPr>
                <w:rFonts w:ascii="Times New Roman" w:hAnsi="Times New Roman" w:cs="Times New Roman"/>
                <w:sz w:val="24"/>
              </w:rPr>
            </w:pPr>
            <w:r w:rsidRPr="00B376C5">
              <w:rPr>
                <w:rFonts w:ascii="Times New Roman" w:hAnsi="Times New Roman" w:cs="Times New Roman"/>
                <w:sz w:val="24"/>
              </w:rPr>
              <w:t>n=34</w:t>
            </w:r>
          </w:p>
        </w:tc>
        <w:tc>
          <w:tcPr>
            <w:tcW w:w="2790" w:type="dxa"/>
            <w:tcBorders>
              <w:bottom w:val="single" w:sz="4" w:space="0" w:color="auto"/>
            </w:tcBorders>
          </w:tcPr>
          <w:p w:rsidR="00901439" w:rsidRPr="00E57F46" w:rsidRDefault="00901439" w:rsidP="00901439">
            <w:pPr>
              <w:spacing w:before="240" w:after="120"/>
              <w:rPr>
                <w:rFonts w:ascii="Times New Roman" w:hAnsi="Times New Roman" w:cs="Times New Roman"/>
                <w:sz w:val="24"/>
              </w:rPr>
            </w:pPr>
            <w:r w:rsidRPr="00B376C5">
              <w:rPr>
                <w:rFonts w:ascii="Times New Roman" w:hAnsi="Times New Roman" w:cs="Times New Roman"/>
                <w:sz w:val="24"/>
              </w:rPr>
              <w:t>n=20 or n=34</w:t>
            </w:r>
            <w:r>
              <w:rPr>
                <w:rFonts w:ascii="Times New Roman" w:hAnsi="Times New Roman" w:cs="Times New Roman"/>
                <w:sz w:val="24"/>
              </w:rPr>
              <w:t>, respectively</w:t>
            </w:r>
          </w:p>
        </w:tc>
        <w:tc>
          <w:tcPr>
            <w:tcW w:w="2790" w:type="dxa"/>
            <w:tcBorders>
              <w:bottom w:val="single" w:sz="4" w:space="0" w:color="auto"/>
            </w:tcBorders>
          </w:tcPr>
          <w:p w:rsidR="00901439" w:rsidRPr="00E57F46" w:rsidRDefault="00901439" w:rsidP="00901439">
            <w:pPr>
              <w:spacing w:before="240" w:after="120"/>
              <w:rPr>
                <w:rFonts w:ascii="Times New Roman" w:hAnsi="Times New Roman" w:cs="Times New Roman"/>
                <w:sz w:val="24"/>
              </w:rPr>
            </w:pPr>
          </w:p>
        </w:tc>
      </w:tr>
      <w:tr w:rsidR="00BC3440" w:rsidTr="008F3438">
        <w:tc>
          <w:tcPr>
            <w:tcW w:w="3114" w:type="dxa"/>
          </w:tcPr>
          <w:p w:rsidR="00BC3440" w:rsidRDefault="00BC3440" w:rsidP="002B5231">
            <w:pPr>
              <w:spacing w:before="240" w:line="276" w:lineRule="auto"/>
              <w:rPr>
                <w:rFonts w:ascii="Times New Roman" w:hAnsi="Times New Roman" w:cs="Times New Roman"/>
                <w:b/>
                <w:sz w:val="24"/>
              </w:rPr>
            </w:pPr>
            <w:r>
              <w:rPr>
                <w:rFonts w:ascii="Times New Roman" w:hAnsi="Times New Roman" w:cs="Times New Roman"/>
                <w:b/>
                <w:sz w:val="24"/>
              </w:rPr>
              <w:t>Baseline score</w:t>
            </w:r>
          </w:p>
        </w:tc>
        <w:tc>
          <w:tcPr>
            <w:tcW w:w="2464" w:type="dxa"/>
            <w:tcBorders>
              <w:top w:val="single" w:sz="4" w:space="0" w:color="auto"/>
            </w:tcBorders>
          </w:tcPr>
          <w:p w:rsidR="00BC3440" w:rsidRPr="00E57F46" w:rsidRDefault="00BC3440" w:rsidP="002B5231">
            <w:pPr>
              <w:spacing w:before="240" w:line="276" w:lineRule="auto"/>
              <w:rPr>
                <w:rFonts w:ascii="Times New Roman" w:hAnsi="Times New Roman" w:cs="Times New Roman"/>
                <w:sz w:val="24"/>
              </w:rPr>
            </w:pPr>
            <w:r w:rsidRPr="00E57F46">
              <w:rPr>
                <w:rFonts w:ascii="Times New Roman" w:hAnsi="Times New Roman" w:cs="Times New Roman"/>
                <w:sz w:val="24"/>
              </w:rPr>
              <w:t>4.6</w:t>
            </w:r>
          </w:p>
        </w:tc>
        <w:tc>
          <w:tcPr>
            <w:tcW w:w="2790" w:type="dxa"/>
            <w:tcBorders>
              <w:top w:val="single" w:sz="4" w:space="0" w:color="auto"/>
            </w:tcBorders>
          </w:tcPr>
          <w:p w:rsidR="00BC3440" w:rsidRPr="00E57F46" w:rsidRDefault="00BC3440" w:rsidP="002B5231">
            <w:pPr>
              <w:spacing w:before="240" w:line="276" w:lineRule="auto"/>
              <w:rPr>
                <w:rFonts w:ascii="Times New Roman" w:hAnsi="Times New Roman" w:cs="Times New Roman"/>
                <w:sz w:val="24"/>
              </w:rPr>
            </w:pPr>
          </w:p>
        </w:tc>
        <w:tc>
          <w:tcPr>
            <w:tcW w:w="2790" w:type="dxa"/>
            <w:tcBorders>
              <w:top w:val="single" w:sz="4" w:space="0" w:color="auto"/>
            </w:tcBorders>
          </w:tcPr>
          <w:p w:rsidR="00BC3440" w:rsidRPr="00E57F46" w:rsidRDefault="00BC3440" w:rsidP="002B5231">
            <w:pPr>
              <w:spacing w:before="240" w:line="276" w:lineRule="auto"/>
              <w:rPr>
                <w:rFonts w:ascii="Times New Roman" w:hAnsi="Times New Roman" w:cs="Times New Roman"/>
                <w:sz w:val="24"/>
              </w:rPr>
            </w:pPr>
            <w:r w:rsidRPr="00E57F46">
              <w:rPr>
                <w:rFonts w:ascii="Times New Roman" w:hAnsi="Times New Roman" w:cs="Times New Roman"/>
                <w:sz w:val="24"/>
              </w:rPr>
              <w:t>2.6</w:t>
            </w:r>
          </w:p>
        </w:tc>
        <w:tc>
          <w:tcPr>
            <w:tcW w:w="2790" w:type="dxa"/>
            <w:tcBorders>
              <w:top w:val="single" w:sz="4" w:space="0" w:color="auto"/>
            </w:tcBorders>
          </w:tcPr>
          <w:p w:rsidR="00BC3440" w:rsidRPr="00E57F46" w:rsidRDefault="00BC3440" w:rsidP="002B5231">
            <w:pPr>
              <w:spacing w:before="240" w:line="276" w:lineRule="auto"/>
              <w:rPr>
                <w:rFonts w:ascii="Times New Roman" w:hAnsi="Times New Roman" w:cs="Times New Roman"/>
                <w:sz w:val="24"/>
              </w:rPr>
            </w:pPr>
            <w:r w:rsidRPr="00E57F46">
              <w:rPr>
                <w:rFonts w:ascii="Times New Roman" w:hAnsi="Times New Roman" w:cs="Times New Roman"/>
                <w:sz w:val="24"/>
              </w:rPr>
              <w:t>0.04</w:t>
            </w:r>
          </w:p>
        </w:tc>
      </w:tr>
      <w:tr w:rsidR="00BC3440" w:rsidTr="002B5231">
        <w:tc>
          <w:tcPr>
            <w:tcW w:w="3114" w:type="dxa"/>
          </w:tcPr>
          <w:p w:rsidR="00BC3440" w:rsidRDefault="00BC3440" w:rsidP="002B5231">
            <w:pPr>
              <w:spacing w:before="240" w:line="276" w:lineRule="auto"/>
              <w:rPr>
                <w:rFonts w:ascii="Times New Roman" w:hAnsi="Times New Roman" w:cs="Times New Roman"/>
                <w:b/>
                <w:sz w:val="24"/>
              </w:rPr>
            </w:pPr>
            <w:r>
              <w:rPr>
                <w:rFonts w:ascii="Times New Roman" w:hAnsi="Times New Roman" w:cs="Times New Roman"/>
                <w:b/>
                <w:sz w:val="24"/>
              </w:rPr>
              <w:t>Score at two-year follow-up</w:t>
            </w:r>
          </w:p>
        </w:tc>
        <w:tc>
          <w:tcPr>
            <w:tcW w:w="2464" w:type="dxa"/>
          </w:tcPr>
          <w:p w:rsidR="00BC3440" w:rsidRPr="00E57F46" w:rsidRDefault="00BC3440" w:rsidP="002B5231">
            <w:pPr>
              <w:spacing w:before="240" w:line="276" w:lineRule="auto"/>
              <w:rPr>
                <w:rFonts w:ascii="Times New Roman" w:hAnsi="Times New Roman" w:cs="Times New Roman"/>
                <w:sz w:val="24"/>
              </w:rPr>
            </w:pPr>
            <w:r w:rsidRPr="00E57F46">
              <w:rPr>
                <w:rFonts w:ascii="Times New Roman" w:hAnsi="Times New Roman" w:cs="Times New Roman"/>
                <w:sz w:val="24"/>
              </w:rPr>
              <w:t>3.1</w:t>
            </w:r>
          </w:p>
        </w:tc>
        <w:tc>
          <w:tcPr>
            <w:tcW w:w="2790" w:type="dxa"/>
          </w:tcPr>
          <w:p w:rsidR="00BC3440" w:rsidRPr="00E57F46" w:rsidRDefault="00BC3440" w:rsidP="002B5231">
            <w:pPr>
              <w:spacing w:before="240" w:line="276" w:lineRule="auto"/>
              <w:rPr>
                <w:rFonts w:ascii="Times New Roman" w:hAnsi="Times New Roman" w:cs="Times New Roman"/>
                <w:sz w:val="24"/>
              </w:rPr>
            </w:pPr>
          </w:p>
        </w:tc>
        <w:tc>
          <w:tcPr>
            <w:tcW w:w="2790" w:type="dxa"/>
          </w:tcPr>
          <w:p w:rsidR="00BC3440" w:rsidRPr="00E57F46" w:rsidRDefault="00BC3440" w:rsidP="002B5231">
            <w:pPr>
              <w:spacing w:before="240" w:line="276" w:lineRule="auto"/>
              <w:rPr>
                <w:rFonts w:ascii="Times New Roman" w:hAnsi="Times New Roman" w:cs="Times New Roman"/>
                <w:sz w:val="24"/>
              </w:rPr>
            </w:pPr>
            <w:r w:rsidRPr="00E57F46">
              <w:rPr>
                <w:rFonts w:ascii="Times New Roman" w:hAnsi="Times New Roman" w:cs="Times New Roman"/>
                <w:sz w:val="24"/>
              </w:rPr>
              <w:t>2.6</w:t>
            </w:r>
          </w:p>
        </w:tc>
        <w:tc>
          <w:tcPr>
            <w:tcW w:w="2790" w:type="dxa"/>
          </w:tcPr>
          <w:p w:rsidR="00BC3440" w:rsidRPr="00E57F46" w:rsidRDefault="00BC3440" w:rsidP="002B5231">
            <w:pPr>
              <w:spacing w:before="240" w:line="276" w:lineRule="auto"/>
              <w:rPr>
                <w:rFonts w:ascii="Times New Roman" w:hAnsi="Times New Roman" w:cs="Times New Roman"/>
                <w:sz w:val="24"/>
              </w:rPr>
            </w:pPr>
            <w:r w:rsidRPr="00E57F46">
              <w:rPr>
                <w:rFonts w:ascii="Times New Roman" w:hAnsi="Times New Roman" w:cs="Times New Roman"/>
                <w:sz w:val="24"/>
              </w:rPr>
              <w:t>0.53</w:t>
            </w:r>
          </w:p>
        </w:tc>
      </w:tr>
      <w:tr w:rsidR="00DE0B90" w:rsidTr="002B5231">
        <w:tc>
          <w:tcPr>
            <w:tcW w:w="3114" w:type="dxa"/>
          </w:tcPr>
          <w:p w:rsidR="00DE0B90" w:rsidRDefault="00DE0B90" w:rsidP="002B5231">
            <w:pPr>
              <w:spacing w:before="240"/>
              <w:rPr>
                <w:rFonts w:ascii="Times New Roman" w:hAnsi="Times New Roman" w:cs="Times New Roman"/>
                <w:b/>
                <w:sz w:val="24"/>
              </w:rPr>
            </w:pPr>
          </w:p>
        </w:tc>
        <w:tc>
          <w:tcPr>
            <w:tcW w:w="2464" w:type="dxa"/>
          </w:tcPr>
          <w:p w:rsidR="00DE0B90" w:rsidRPr="00E57F46" w:rsidRDefault="00DE0B90" w:rsidP="002B5231">
            <w:pPr>
              <w:spacing w:before="240"/>
              <w:rPr>
                <w:rFonts w:ascii="Times New Roman" w:hAnsi="Times New Roman" w:cs="Times New Roman"/>
                <w:sz w:val="24"/>
              </w:rPr>
            </w:pPr>
          </w:p>
        </w:tc>
        <w:tc>
          <w:tcPr>
            <w:tcW w:w="2790" w:type="dxa"/>
          </w:tcPr>
          <w:p w:rsidR="00DE0B90" w:rsidRPr="00E57F46" w:rsidRDefault="00DE0B90" w:rsidP="002B5231">
            <w:pPr>
              <w:spacing w:before="240"/>
              <w:rPr>
                <w:rFonts w:ascii="Times New Roman" w:hAnsi="Times New Roman" w:cs="Times New Roman"/>
                <w:sz w:val="24"/>
              </w:rPr>
            </w:pPr>
          </w:p>
        </w:tc>
        <w:tc>
          <w:tcPr>
            <w:tcW w:w="2790" w:type="dxa"/>
          </w:tcPr>
          <w:p w:rsidR="00DE0B90" w:rsidRPr="00E57F46" w:rsidRDefault="00DE0B90" w:rsidP="002B5231">
            <w:pPr>
              <w:spacing w:before="240"/>
              <w:rPr>
                <w:rFonts w:ascii="Times New Roman" w:hAnsi="Times New Roman" w:cs="Times New Roman"/>
                <w:sz w:val="24"/>
              </w:rPr>
            </w:pPr>
          </w:p>
        </w:tc>
        <w:tc>
          <w:tcPr>
            <w:tcW w:w="2790" w:type="dxa"/>
          </w:tcPr>
          <w:p w:rsidR="00DE0B90" w:rsidRPr="00E57F46" w:rsidRDefault="00DE0B90" w:rsidP="002B5231">
            <w:pPr>
              <w:spacing w:before="240"/>
              <w:rPr>
                <w:rFonts w:ascii="Times New Roman" w:hAnsi="Times New Roman" w:cs="Times New Roman"/>
                <w:sz w:val="24"/>
              </w:rPr>
            </w:pPr>
          </w:p>
        </w:tc>
      </w:tr>
      <w:tr w:rsidR="0097791C" w:rsidTr="002B5231">
        <w:tc>
          <w:tcPr>
            <w:tcW w:w="3114" w:type="dxa"/>
          </w:tcPr>
          <w:p w:rsidR="0097791C" w:rsidRDefault="0097791C" w:rsidP="0097791C">
            <w:pPr>
              <w:spacing w:before="240"/>
              <w:rPr>
                <w:rFonts w:ascii="Times New Roman" w:hAnsi="Times New Roman" w:cs="Times New Roman"/>
                <w:b/>
                <w:sz w:val="24"/>
              </w:rPr>
            </w:pPr>
            <w:r>
              <w:rPr>
                <w:rFonts w:ascii="Times New Roman" w:hAnsi="Times New Roman" w:cs="Times New Roman"/>
                <w:b/>
                <w:sz w:val="24"/>
              </w:rPr>
              <w:t>Baseline score</w:t>
            </w:r>
          </w:p>
        </w:tc>
        <w:tc>
          <w:tcPr>
            <w:tcW w:w="2464" w:type="dxa"/>
          </w:tcPr>
          <w:p w:rsidR="0097791C" w:rsidRPr="00E57F46" w:rsidRDefault="0097791C" w:rsidP="0097791C">
            <w:pPr>
              <w:spacing w:before="240"/>
              <w:rPr>
                <w:rFonts w:ascii="Times New Roman" w:hAnsi="Times New Roman" w:cs="Times New Roman"/>
                <w:sz w:val="24"/>
              </w:rPr>
            </w:pPr>
          </w:p>
        </w:tc>
        <w:tc>
          <w:tcPr>
            <w:tcW w:w="2790" w:type="dxa"/>
          </w:tcPr>
          <w:p w:rsidR="0097791C" w:rsidRPr="00E57F46" w:rsidRDefault="0097791C" w:rsidP="0097791C">
            <w:pPr>
              <w:spacing w:before="240"/>
              <w:rPr>
                <w:rFonts w:ascii="Times New Roman" w:hAnsi="Times New Roman" w:cs="Times New Roman"/>
                <w:sz w:val="24"/>
              </w:rPr>
            </w:pPr>
            <w:r w:rsidRPr="00E57F46">
              <w:rPr>
                <w:rFonts w:ascii="Times New Roman" w:hAnsi="Times New Roman" w:cs="Times New Roman"/>
                <w:sz w:val="24"/>
              </w:rPr>
              <w:t>3.3</w:t>
            </w:r>
          </w:p>
        </w:tc>
        <w:tc>
          <w:tcPr>
            <w:tcW w:w="2790" w:type="dxa"/>
          </w:tcPr>
          <w:p w:rsidR="0097791C" w:rsidRPr="00E57F46" w:rsidRDefault="0097791C" w:rsidP="0097791C">
            <w:pPr>
              <w:spacing w:before="240"/>
              <w:rPr>
                <w:rFonts w:ascii="Times New Roman" w:hAnsi="Times New Roman" w:cs="Times New Roman"/>
                <w:sz w:val="24"/>
              </w:rPr>
            </w:pPr>
            <w:r w:rsidRPr="00E57F46">
              <w:rPr>
                <w:rFonts w:ascii="Times New Roman" w:hAnsi="Times New Roman" w:cs="Times New Roman"/>
                <w:sz w:val="24"/>
              </w:rPr>
              <w:t>3.2</w:t>
            </w:r>
          </w:p>
        </w:tc>
        <w:tc>
          <w:tcPr>
            <w:tcW w:w="2790" w:type="dxa"/>
          </w:tcPr>
          <w:p w:rsidR="0097791C" w:rsidRPr="00E57F46" w:rsidRDefault="0097791C" w:rsidP="0097791C">
            <w:pPr>
              <w:spacing w:before="240"/>
              <w:rPr>
                <w:rFonts w:ascii="Times New Roman" w:hAnsi="Times New Roman" w:cs="Times New Roman"/>
                <w:sz w:val="24"/>
              </w:rPr>
            </w:pPr>
            <w:r w:rsidRPr="00E57F46">
              <w:rPr>
                <w:rFonts w:ascii="Times New Roman" w:hAnsi="Times New Roman" w:cs="Times New Roman"/>
                <w:sz w:val="24"/>
              </w:rPr>
              <w:t>0.45</w:t>
            </w:r>
          </w:p>
        </w:tc>
      </w:tr>
      <w:tr w:rsidR="0097791C" w:rsidTr="002B5231">
        <w:tc>
          <w:tcPr>
            <w:tcW w:w="3114" w:type="dxa"/>
            <w:tcBorders>
              <w:bottom w:val="single" w:sz="24" w:space="0" w:color="auto"/>
            </w:tcBorders>
          </w:tcPr>
          <w:p w:rsidR="0097791C" w:rsidRDefault="0097791C" w:rsidP="0097791C">
            <w:pPr>
              <w:spacing w:before="240" w:line="276" w:lineRule="auto"/>
              <w:rPr>
                <w:rFonts w:ascii="Times New Roman" w:hAnsi="Times New Roman" w:cs="Times New Roman"/>
                <w:b/>
                <w:sz w:val="24"/>
              </w:rPr>
            </w:pPr>
            <w:r>
              <w:rPr>
                <w:rFonts w:ascii="Times New Roman" w:hAnsi="Times New Roman" w:cs="Times New Roman"/>
                <w:b/>
                <w:sz w:val="24"/>
              </w:rPr>
              <w:t>Score at two-year follow-up</w:t>
            </w:r>
          </w:p>
        </w:tc>
        <w:tc>
          <w:tcPr>
            <w:tcW w:w="2464" w:type="dxa"/>
            <w:tcBorders>
              <w:bottom w:val="single" w:sz="24" w:space="0" w:color="auto"/>
            </w:tcBorders>
          </w:tcPr>
          <w:p w:rsidR="0097791C" w:rsidRPr="00E57F46" w:rsidRDefault="0097791C" w:rsidP="0097791C">
            <w:pPr>
              <w:spacing w:before="240" w:line="276" w:lineRule="auto"/>
              <w:rPr>
                <w:rFonts w:ascii="Times New Roman" w:hAnsi="Times New Roman" w:cs="Times New Roman"/>
                <w:sz w:val="24"/>
              </w:rPr>
            </w:pPr>
          </w:p>
        </w:tc>
        <w:tc>
          <w:tcPr>
            <w:tcW w:w="2790" w:type="dxa"/>
            <w:tcBorders>
              <w:bottom w:val="single" w:sz="24" w:space="0" w:color="auto"/>
            </w:tcBorders>
          </w:tcPr>
          <w:p w:rsidR="0097791C" w:rsidRPr="00E57F46" w:rsidRDefault="0097791C" w:rsidP="0097791C">
            <w:pPr>
              <w:spacing w:before="240" w:line="276" w:lineRule="auto"/>
              <w:rPr>
                <w:rFonts w:ascii="Times New Roman" w:hAnsi="Times New Roman" w:cs="Times New Roman"/>
                <w:sz w:val="24"/>
              </w:rPr>
            </w:pPr>
            <w:r w:rsidRPr="00E57F46">
              <w:rPr>
                <w:rFonts w:ascii="Times New Roman" w:hAnsi="Times New Roman" w:cs="Times New Roman"/>
                <w:sz w:val="24"/>
              </w:rPr>
              <w:t>3.2</w:t>
            </w:r>
          </w:p>
        </w:tc>
        <w:tc>
          <w:tcPr>
            <w:tcW w:w="2790" w:type="dxa"/>
            <w:tcBorders>
              <w:bottom w:val="single" w:sz="24" w:space="0" w:color="auto"/>
            </w:tcBorders>
          </w:tcPr>
          <w:p w:rsidR="0097791C" w:rsidRPr="00E57F46" w:rsidRDefault="0097791C" w:rsidP="0097791C">
            <w:pPr>
              <w:spacing w:before="240" w:line="276" w:lineRule="auto"/>
              <w:rPr>
                <w:rFonts w:ascii="Times New Roman" w:hAnsi="Times New Roman" w:cs="Times New Roman"/>
                <w:sz w:val="24"/>
              </w:rPr>
            </w:pPr>
            <w:r w:rsidRPr="00E57F46">
              <w:rPr>
                <w:rFonts w:ascii="Times New Roman" w:hAnsi="Times New Roman" w:cs="Times New Roman"/>
                <w:sz w:val="24"/>
              </w:rPr>
              <w:t>3.2</w:t>
            </w:r>
          </w:p>
        </w:tc>
        <w:tc>
          <w:tcPr>
            <w:tcW w:w="2790" w:type="dxa"/>
            <w:tcBorders>
              <w:bottom w:val="single" w:sz="24" w:space="0" w:color="auto"/>
            </w:tcBorders>
          </w:tcPr>
          <w:p w:rsidR="0097791C" w:rsidRPr="00E57F46" w:rsidRDefault="0097791C" w:rsidP="0097791C">
            <w:pPr>
              <w:spacing w:before="240" w:line="276" w:lineRule="auto"/>
              <w:rPr>
                <w:rFonts w:ascii="Times New Roman" w:hAnsi="Times New Roman" w:cs="Times New Roman"/>
                <w:sz w:val="24"/>
              </w:rPr>
            </w:pPr>
            <w:r w:rsidRPr="00E57F46">
              <w:rPr>
                <w:rFonts w:ascii="Times New Roman" w:hAnsi="Times New Roman" w:cs="Times New Roman"/>
                <w:sz w:val="24"/>
              </w:rPr>
              <w:t>0.90</w:t>
            </w:r>
          </w:p>
        </w:tc>
      </w:tr>
    </w:tbl>
    <w:p w:rsidR="00BC3440" w:rsidRDefault="00BC3440" w:rsidP="00BC3440">
      <w:pPr>
        <w:rPr>
          <w:rFonts w:ascii="Times New Roman" w:hAnsi="Times New Roman" w:cs="Times New Roman"/>
          <w:b/>
          <w:sz w:val="24"/>
        </w:rPr>
      </w:pPr>
    </w:p>
    <w:p w:rsidR="00BC3440" w:rsidRDefault="00BC3440" w:rsidP="00BC3440">
      <w:pPr>
        <w:spacing w:after="0" w:line="360" w:lineRule="auto"/>
        <w:rPr>
          <w:rFonts w:ascii="Times New Roman" w:hAnsi="Times New Roman" w:cs="Times New Roman"/>
          <w:b/>
          <w:sz w:val="24"/>
        </w:rPr>
      </w:pPr>
      <w:r>
        <w:rPr>
          <w:rFonts w:ascii="Times New Roman" w:hAnsi="Times New Roman" w:cs="Times New Roman"/>
          <w:b/>
          <w:sz w:val="24"/>
        </w:rPr>
        <w:t>Legend:</w:t>
      </w:r>
    </w:p>
    <w:p w:rsidR="007717AC" w:rsidRDefault="00A648F4" w:rsidP="00BC3440">
      <w:pPr>
        <w:spacing w:line="360" w:lineRule="auto"/>
        <w:rPr>
          <w:rFonts w:ascii="Times New Roman" w:hAnsi="Times New Roman" w:cs="Times New Roman"/>
          <w:sz w:val="24"/>
        </w:rPr>
      </w:pPr>
      <w:r>
        <w:rPr>
          <w:rFonts w:ascii="Times New Roman" w:hAnsi="Times New Roman" w:cs="Times New Roman"/>
          <w:sz w:val="24"/>
        </w:rPr>
        <w:t>Mean t</w:t>
      </w:r>
      <w:r w:rsidR="00BC3440" w:rsidRPr="006652F6">
        <w:rPr>
          <w:rFonts w:ascii="Times New Roman" w:hAnsi="Times New Roman" w:cs="Times New Roman"/>
          <w:sz w:val="24"/>
        </w:rPr>
        <w:t xml:space="preserve">otal MRI-inflammation scores for patients meeting </w:t>
      </w:r>
      <w:r w:rsidR="004327A3">
        <w:rPr>
          <w:rFonts w:ascii="Times New Roman" w:hAnsi="Times New Roman" w:cs="Times New Roman"/>
          <w:sz w:val="24"/>
        </w:rPr>
        <w:t xml:space="preserve">the </w:t>
      </w:r>
      <w:r w:rsidR="00BC3440" w:rsidRPr="006652F6">
        <w:rPr>
          <w:rFonts w:ascii="Times New Roman" w:hAnsi="Times New Roman" w:cs="Times New Roman"/>
          <w:sz w:val="24"/>
        </w:rPr>
        <w:t>EULAR definition of arthralgia suspicious for progression to rheumatoid arthritis</w:t>
      </w:r>
      <w:r w:rsidR="00BC3440">
        <w:rPr>
          <w:rFonts w:ascii="Times New Roman" w:hAnsi="Times New Roman" w:cs="Times New Roman"/>
          <w:sz w:val="24"/>
        </w:rPr>
        <w:t>.</w:t>
      </w:r>
      <w:r w:rsidR="00530786" w:rsidRPr="0057760C">
        <w:rPr>
          <w:rFonts w:ascii="Times New Roman" w:hAnsi="Times New Roman" w:cs="Times New Roman"/>
          <w:sz w:val="24"/>
          <w:szCs w:val="24"/>
        </w:rPr>
        <w:fldChar w:fldCharType="begin"/>
      </w:r>
      <w:r w:rsidR="00530786">
        <w:rPr>
          <w:rFonts w:ascii="Times New Roman" w:hAnsi="Times New Roman" w:cs="Times New Roman"/>
          <w:sz w:val="24"/>
          <w:szCs w:val="24"/>
        </w:rPr>
        <w:instrText xml:space="preserve"> ADDIN ZOTERO_ITEM CSL_CITATION {"citationID":"kaqOXaWZ","properties":{"formattedCitation":"[13]","plainCitation":"[13]","noteIndex":0},"citationItems":[{"id":1025,"uris":["http://zotero.org/users/5003389/items/EF9K35ZJ"],"uri":["http://zotero.org/users/5003389/items/EF9K35ZJ"],"itemData":{"id":1025,"type":"article-journal","title":"EULAR definition of arthralgia suspicious for progression to rheumatoid arthritis","container-title":"Annals of the Rheumatic Diseases","page":"491-496","volume":"76","issue":"3","source":"Crossref","abstract":"Background During the transition to rheumatoid arthritis (RA) many patients pass through a phase characterised by the presence of symptoms without clinically apparent synovitis. These symptoms are not well-characterised. This taskforce aimed to deﬁne the clinical characteristics of patients with arthralgia who are considered at risk for RA by experts based on their clinical experience.\nMethods The taskforce consisted of 18 rheumatologists, 1 methodologist, 2 patients, 3 health professionals and 1 research fellow. The process had three phases. In phase I, a list of parameters considered characteristic for clinically suspect arthralgia (CSA) was derived; the most important parameters were selected by a three-phased Delphi approach. In phase II, the experts evaluated 50 existing patients on paper, classiﬁed them as CSA/no-CSA and indicated their level of conﬁdence. A provisional set of parameters was derived. This was studied for validation in phase III, where all rheumatologists collected patients with and without CSA from their outpatient clinics.\nResults The comprehensive list consisted of 55 parameters, of which 16 were considered most important. A multivariable model based on the data from phase II identiﬁed seven relevant parameters: symptom duration &lt;1 year, symptoms of metacarpophalangeal (MCP) joints, morning stiffness duration ≥60 min, most severe symptoms in early morning, ﬁrst-degree relative with RA, difﬁculty with making a ﬁst and positive squeeze test of MCP joints. In phase III, the combination of these parameters was accurate in identifying patients with arthralgia who were considered at risk of developing RA (area under the receiver operating characteristic curve 0.92, 95% CI 0.87 to 0.96). Test characteristics for different cut-off points were determined.\nConclusions A set of clinical characteristics for patients with arthralgia who are at risk of progression to RA was established.","DOI":"10.1136/annrheumdis-2016-209846","ISSN":"0003-4967, 1468-2060","language":"en","author":[{"family":"Steenbergen","given":"Hanna W","non-dropping-particle":"van"},{"family":"Aletaha","given":"Daniel"},{"family":"Beaart-van de Voorde","given":"Liesbeth J J"},{"family":"Brouwer","given":"Elisabeth"},{"family":"Codreanu","given":"Catalin"},{"family":"Combe","given":"Bernard"},{"family":"Fonseca","given":"João E"},{"family":"Hetland","given":"Merete L"},{"family":"Humby","given":"Frances"},{"family":"Kvien","given":"Tore K"},{"family":"Niedermann","given":"Karin"},{"family":"Nuño","given":"Laura"},{"family":"Oliver","given":"Sue"},{"family":"Rantapää-Dahlqvist","given":"Solbritt"},{"family":"Raza","given":"Karim"},{"family":"Schaardenburg","given":"Dirkjan","non-dropping-particle":"van"},{"family":"Schett","given":"Georg"},{"family":"De Smet","given":"Liesbeth"},{"family":"Szücs","given":"Gabriella"},{"family":"Vencovský","given":"Jirí"},{"family":"Wiland","given":"Piotr"},{"family":"Wit","given":"Maarten","non-dropping-particle":"de"},{"family":"Landewé","given":"Robert L"},{"family":"Helm-van Mil","given":"Annette H M","non-dropping-particle":"van der"}],"issued":{"date-parts":[["2017",3]]}}}],"schema":"https://github.com/citation-style-language/schema/raw/master/csl-citation.json"} </w:instrText>
      </w:r>
      <w:r w:rsidR="00530786" w:rsidRPr="0057760C">
        <w:rPr>
          <w:rFonts w:ascii="Times New Roman" w:hAnsi="Times New Roman" w:cs="Times New Roman"/>
          <w:sz w:val="24"/>
          <w:szCs w:val="24"/>
        </w:rPr>
        <w:fldChar w:fldCharType="separate"/>
      </w:r>
      <w:r w:rsidR="00530786" w:rsidRPr="006A24D6">
        <w:rPr>
          <w:rFonts w:ascii="Times New Roman" w:hAnsi="Times New Roman" w:cs="Times New Roman"/>
          <w:sz w:val="24"/>
        </w:rPr>
        <w:t>[13]</w:t>
      </w:r>
      <w:r w:rsidR="00530786" w:rsidRPr="0057760C">
        <w:rPr>
          <w:rFonts w:ascii="Times New Roman" w:hAnsi="Times New Roman" w:cs="Times New Roman"/>
          <w:sz w:val="24"/>
          <w:szCs w:val="24"/>
        </w:rPr>
        <w:fldChar w:fldCharType="end"/>
      </w:r>
      <w:r w:rsidR="00BC3440">
        <w:rPr>
          <w:rFonts w:ascii="Times New Roman" w:hAnsi="Times New Roman" w:cs="Times New Roman"/>
          <w:sz w:val="24"/>
        </w:rPr>
        <w:t xml:space="preserve"> </w:t>
      </w:r>
      <w:r w:rsidR="00BF297F">
        <w:rPr>
          <w:rFonts w:ascii="Times New Roman" w:hAnsi="Times New Roman" w:cs="Times New Roman"/>
          <w:sz w:val="24"/>
        </w:rPr>
        <w:t xml:space="preserve">This table studied </w:t>
      </w:r>
      <w:r w:rsidR="00445958" w:rsidRPr="00445958">
        <w:rPr>
          <w:rFonts w:ascii="Times New Roman" w:hAnsi="Times New Roman" w:cs="Times New Roman"/>
          <w:sz w:val="24"/>
        </w:rPr>
        <w:t xml:space="preserve"> patients </w:t>
      </w:r>
      <w:r w:rsidR="00BF297F">
        <w:rPr>
          <w:rFonts w:ascii="Times New Roman" w:hAnsi="Times New Roman" w:cs="Times New Roman"/>
          <w:sz w:val="24"/>
        </w:rPr>
        <w:t>that fulfilled the EULAR definition and had</w:t>
      </w:r>
      <w:r w:rsidR="00445958" w:rsidRPr="00445958">
        <w:rPr>
          <w:rFonts w:ascii="Times New Roman" w:hAnsi="Times New Roman" w:cs="Times New Roman"/>
          <w:sz w:val="24"/>
          <w:lang w:val="en-US"/>
        </w:rPr>
        <w:t xml:space="preserve"> </w:t>
      </w:r>
      <w:bookmarkStart w:id="0" w:name="_Hlk23502668"/>
      <w:r w:rsidR="00445958" w:rsidRPr="00445958">
        <w:rPr>
          <w:rFonts w:ascii="Times New Roman" w:hAnsi="Times New Roman" w:cs="Times New Roman"/>
          <w:sz w:val="24"/>
          <w:lang w:val="en-US"/>
        </w:rPr>
        <w:t>baseline total MRI-inflammation score &gt;0</w:t>
      </w:r>
      <w:bookmarkEnd w:id="0"/>
      <w:r w:rsidR="00445958" w:rsidRPr="00445958">
        <w:rPr>
          <w:rFonts w:ascii="Times New Roman" w:hAnsi="Times New Roman" w:cs="Times New Roman"/>
          <w:sz w:val="24"/>
          <w:lang w:val="en-US"/>
        </w:rPr>
        <w:t xml:space="preserve">. </w:t>
      </w:r>
      <w:r w:rsidR="00BC3440">
        <w:rPr>
          <w:rFonts w:ascii="Times New Roman" w:hAnsi="Times New Roman" w:cs="Times New Roman"/>
          <w:sz w:val="24"/>
        </w:rPr>
        <w:t>Matching to symptom-free persons was performed in a 1:1 ratio. Please note that the symptom-free persons only had one MRI performed</w:t>
      </w:r>
      <w:r w:rsidR="00BF297F">
        <w:rPr>
          <w:rFonts w:ascii="Times New Roman" w:hAnsi="Times New Roman" w:cs="Times New Roman"/>
          <w:sz w:val="24"/>
        </w:rPr>
        <w:t xml:space="preserve">, </w:t>
      </w:r>
      <w:r w:rsidR="002D021E">
        <w:rPr>
          <w:rFonts w:ascii="Times New Roman" w:hAnsi="Times New Roman" w:cs="Times New Roman"/>
          <w:sz w:val="24"/>
        </w:rPr>
        <w:t xml:space="preserve">and </w:t>
      </w:r>
      <w:r w:rsidR="00BF297F">
        <w:rPr>
          <w:rFonts w:ascii="Times New Roman" w:hAnsi="Times New Roman" w:cs="Times New Roman"/>
          <w:sz w:val="24"/>
        </w:rPr>
        <w:t xml:space="preserve">that </w:t>
      </w:r>
      <w:r w:rsidR="002D021E">
        <w:rPr>
          <w:rFonts w:ascii="Times New Roman" w:hAnsi="Times New Roman" w:cs="Times New Roman"/>
          <w:sz w:val="24"/>
        </w:rPr>
        <w:t xml:space="preserve">the mean MRI-inflammation score </w:t>
      </w:r>
      <w:r w:rsidR="00BF297F">
        <w:rPr>
          <w:rFonts w:ascii="Times New Roman" w:hAnsi="Times New Roman" w:cs="Times New Roman"/>
          <w:sz w:val="24"/>
        </w:rPr>
        <w:t>was used as reference for both scans of the patients with CSA</w:t>
      </w:r>
      <w:r w:rsidR="00BC3440">
        <w:rPr>
          <w:rFonts w:ascii="Times New Roman" w:hAnsi="Times New Roman" w:cs="Times New Roman"/>
          <w:sz w:val="24"/>
        </w:rPr>
        <w:t>.</w:t>
      </w:r>
    </w:p>
    <w:p w:rsidR="00BC3440" w:rsidRPr="005E4172" w:rsidRDefault="00BC3440" w:rsidP="005E4172">
      <w:pPr>
        <w:sectPr w:rsidR="00BC3440" w:rsidRPr="005E4172" w:rsidSect="00901BDD">
          <w:pgSz w:w="16838" w:h="11906" w:orient="landscape"/>
          <w:pgMar w:top="1440" w:right="1440" w:bottom="1440" w:left="1440" w:header="709" w:footer="709" w:gutter="0"/>
          <w:lnNumType w:countBy="1"/>
          <w:cols w:space="708"/>
          <w:docGrid w:linePitch="360"/>
        </w:sectPr>
      </w:pPr>
    </w:p>
    <w:p w:rsidR="00BC3440" w:rsidRPr="00577DAA" w:rsidRDefault="00BC3440" w:rsidP="00BC3440">
      <w:pPr>
        <w:pStyle w:val="Heading2"/>
      </w:pPr>
      <w:r w:rsidRPr="00577DAA">
        <w:lastRenderedPageBreak/>
        <w:t>Supplementary Methods. MRI scanning protocol and scoring</w:t>
      </w:r>
    </w:p>
    <w:p w:rsidR="00BC3440" w:rsidRPr="00577DAA" w:rsidRDefault="00BC3440" w:rsidP="00BC3440">
      <w:pPr>
        <w:spacing w:after="0" w:line="480" w:lineRule="auto"/>
        <w:rPr>
          <w:rFonts w:ascii="Times New Roman" w:hAnsi="Times New Roman" w:cs="Times New Roman"/>
          <w:sz w:val="24"/>
          <w:szCs w:val="24"/>
        </w:rPr>
      </w:pPr>
    </w:p>
    <w:p w:rsidR="00BC3440" w:rsidRPr="00577DAA" w:rsidRDefault="00BC3440" w:rsidP="00BC3440">
      <w:pPr>
        <w:rPr>
          <w:rFonts w:ascii="Times New Roman" w:hAnsi="Times New Roman" w:cs="Times New Roman"/>
          <w:i/>
          <w:sz w:val="24"/>
          <w:szCs w:val="24"/>
        </w:rPr>
      </w:pPr>
      <w:r w:rsidRPr="00577DAA">
        <w:rPr>
          <w:rFonts w:ascii="Times New Roman" w:hAnsi="Times New Roman" w:cs="Times New Roman"/>
          <w:i/>
          <w:sz w:val="24"/>
          <w:szCs w:val="24"/>
        </w:rPr>
        <w:t>Detailed MR</w:t>
      </w:r>
      <w:r>
        <w:rPr>
          <w:rFonts w:ascii="Times New Roman" w:hAnsi="Times New Roman" w:cs="Times New Roman"/>
          <w:i/>
          <w:sz w:val="24"/>
          <w:szCs w:val="24"/>
        </w:rPr>
        <w:t>I</w:t>
      </w:r>
      <w:r w:rsidRPr="00577DAA">
        <w:rPr>
          <w:rFonts w:ascii="Times New Roman" w:hAnsi="Times New Roman" w:cs="Times New Roman"/>
          <w:i/>
          <w:sz w:val="24"/>
          <w:szCs w:val="24"/>
        </w:rPr>
        <w:t>-scan protocol</w:t>
      </w:r>
    </w:p>
    <w:p w:rsidR="00BC3440" w:rsidRPr="00577DAA" w:rsidRDefault="00BC3440" w:rsidP="00BC3440">
      <w:pPr>
        <w:spacing w:after="0" w:line="480" w:lineRule="auto"/>
        <w:rPr>
          <w:rFonts w:ascii="Times New Roman" w:hAnsi="Times New Roman" w:cs="Times New Roman"/>
          <w:sz w:val="24"/>
          <w:szCs w:val="24"/>
        </w:rPr>
      </w:pPr>
      <w:r w:rsidRPr="00577DAA">
        <w:rPr>
          <w:rFonts w:ascii="Times New Roman" w:hAnsi="Times New Roman" w:cs="Times New Roman"/>
          <w:sz w:val="24"/>
          <w:szCs w:val="24"/>
        </w:rPr>
        <w:t>MR imaging was performed on an ONI MSK Extreme 1.5T extremity MR imaging system (GE Healthcare, Wisconsin, USA) using a 145mm coil for the foot and a 100mm coil for the hand. The patient was positioned in a chair beside the scanner, with the hand or foot fixed in the coil with cushions.</w:t>
      </w:r>
    </w:p>
    <w:p w:rsidR="00BC3440" w:rsidRPr="00577DAA" w:rsidRDefault="00BC3440" w:rsidP="00BC3440">
      <w:pPr>
        <w:spacing w:after="0" w:line="480" w:lineRule="auto"/>
        <w:rPr>
          <w:rFonts w:ascii="Times New Roman" w:hAnsi="Times New Roman" w:cs="Times New Roman"/>
          <w:sz w:val="24"/>
          <w:szCs w:val="24"/>
        </w:rPr>
      </w:pPr>
    </w:p>
    <w:p w:rsidR="00BC3440" w:rsidRPr="00577DAA" w:rsidRDefault="00BC3440" w:rsidP="00BC3440">
      <w:pPr>
        <w:spacing w:after="0" w:line="480" w:lineRule="auto"/>
        <w:rPr>
          <w:rFonts w:ascii="Times New Roman" w:hAnsi="Times New Roman" w:cs="Times New Roman"/>
          <w:sz w:val="24"/>
          <w:szCs w:val="24"/>
        </w:rPr>
      </w:pPr>
      <w:r w:rsidRPr="00577DAA">
        <w:rPr>
          <w:rFonts w:ascii="Times New Roman" w:hAnsi="Times New Roman" w:cs="Times New Roman"/>
          <w:sz w:val="24"/>
          <w:szCs w:val="24"/>
        </w:rPr>
        <w:t xml:space="preserve">In the hand, the following sequences were acquired before contrast injection: T1-weighted fast spin-echo (FSE) sequence in the coronal plane (repetition time (TR) 575 </w:t>
      </w:r>
      <w:proofErr w:type="spellStart"/>
      <w:r w:rsidRPr="00577DAA">
        <w:rPr>
          <w:rFonts w:ascii="Times New Roman" w:hAnsi="Times New Roman" w:cs="Times New Roman"/>
          <w:sz w:val="24"/>
          <w:szCs w:val="24"/>
        </w:rPr>
        <w:t>ms</w:t>
      </w:r>
      <w:proofErr w:type="spellEnd"/>
      <w:r w:rsidRPr="00577DAA">
        <w:rPr>
          <w:rFonts w:ascii="Times New Roman" w:hAnsi="Times New Roman" w:cs="Times New Roman"/>
          <w:sz w:val="24"/>
          <w:szCs w:val="24"/>
        </w:rPr>
        <w:t xml:space="preserve">, echo time (TE) 11.2 </w:t>
      </w:r>
      <w:proofErr w:type="spellStart"/>
      <w:r w:rsidRPr="00577DAA">
        <w:rPr>
          <w:rFonts w:ascii="Times New Roman" w:hAnsi="Times New Roman" w:cs="Times New Roman"/>
          <w:sz w:val="24"/>
          <w:szCs w:val="24"/>
        </w:rPr>
        <w:t>ms</w:t>
      </w:r>
      <w:proofErr w:type="spellEnd"/>
      <w:r w:rsidRPr="00577DAA">
        <w:rPr>
          <w:rFonts w:ascii="Times New Roman" w:hAnsi="Times New Roman" w:cs="Times New Roman"/>
          <w:sz w:val="24"/>
          <w:szCs w:val="24"/>
        </w:rPr>
        <w:t xml:space="preserve">, acquisition matrix 388×288, echo train length (ETL) 2). After intravenous injection of gadolinium contrast (gadoteric acid, </w:t>
      </w:r>
      <w:proofErr w:type="spellStart"/>
      <w:r w:rsidRPr="00577DAA">
        <w:rPr>
          <w:rFonts w:ascii="Times New Roman" w:hAnsi="Times New Roman" w:cs="Times New Roman"/>
          <w:sz w:val="24"/>
          <w:szCs w:val="24"/>
        </w:rPr>
        <w:t>Guerbet</w:t>
      </w:r>
      <w:proofErr w:type="spellEnd"/>
      <w:r w:rsidRPr="00577DAA">
        <w:rPr>
          <w:rFonts w:ascii="Times New Roman" w:hAnsi="Times New Roman" w:cs="Times New Roman"/>
          <w:sz w:val="24"/>
          <w:szCs w:val="24"/>
        </w:rPr>
        <w:t>, Paris, France, standard dose of 0.1 mmol/kg) the following sequences were obtained: T1-weighted FSE sequence with frequency selective fat saturation (</w:t>
      </w:r>
      <w:proofErr w:type="spellStart"/>
      <w:r w:rsidRPr="00577DAA">
        <w:rPr>
          <w:rFonts w:ascii="Times New Roman" w:hAnsi="Times New Roman" w:cs="Times New Roman"/>
          <w:sz w:val="24"/>
          <w:szCs w:val="24"/>
        </w:rPr>
        <w:t>fatsat</w:t>
      </w:r>
      <w:proofErr w:type="spellEnd"/>
      <w:r w:rsidRPr="00577DAA">
        <w:rPr>
          <w:rFonts w:ascii="Times New Roman" w:hAnsi="Times New Roman" w:cs="Times New Roman"/>
          <w:sz w:val="24"/>
          <w:szCs w:val="24"/>
        </w:rPr>
        <w:t xml:space="preserve">) in the coronal plane (TR/TE 700/9.7ms, acquisition matrix 364×224, ETL 2), T1-weighted FSE sequence with frequency selective fat saturation in the axial plane (wrist: TR/TE 540/7.7 </w:t>
      </w:r>
      <w:proofErr w:type="spellStart"/>
      <w:r w:rsidRPr="00577DAA">
        <w:rPr>
          <w:rFonts w:ascii="Times New Roman" w:hAnsi="Times New Roman" w:cs="Times New Roman"/>
          <w:sz w:val="24"/>
          <w:szCs w:val="24"/>
        </w:rPr>
        <w:t>ms</w:t>
      </w:r>
      <w:proofErr w:type="spellEnd"/>
      <w:r w:rsidRPr="00577DAA">
        <w:rPr>
          <w:rFonts w:ascii="Times New Roman" w:hAnsi="Times New Roman" w:cs="Times New Roman"/>
          <w:sz w:val="24"/>
          <w:szCs w:val="24"/>
        </w:rPr>
        <w:t xml:space="preserve">; acquisition matrix 320x192; ETL 2 and metacarpophalangeal joints: TR/TE 570/7.7 </w:t>
      </w:r>
      <w:proofErr w:type="spellStart"/>
      <w:r w:rsidRPr="00577DAA">
        <w:rPr>
          <w:rFonts w:ascii="Times New Roman" w:hAnsi="Times New Roman" w:cs="Times New Roman"/>
          <w:sz w:val="24"/>
          <w:szCs w:val="24"/>
        </w:rPr>
        <w:t>ms</w:t>
      </w:r>
      <w:proofErr w:type="spellEnd"/>
      <w:r w:rsidRPr="00577DAA">
        <w:rPr>
          <w:rFonts w:ascii="Times New Roman" w:hAnsi="Times New Roman" w:cs="Times New Roman"/>
          <w:sz w:val="24"/>
          <w:szCs w:val="24"/>
        </w:rPr>
        <w:t>; acquisition matrix 320x192; ETL 2).</w:t>
      </w:r>
    </w:p>
    <w:p w:rsidR="00BC3440" w:rsidRPr="00577DAA" w:rsidRDefault="00BC3440" w:rsidP="00BC3440">
      <w:pPr>
        <w:spacing w:after="0" w:line="480" w:lineRule="auto"/>
        <w:rPr>
          <w:rFonts w:ascii="Times New Roman" w:hAnsi="Times New Roman" w:cs="Times New Roman"/>
          <w:sz w:val="24"/>
          <w:szCs w:val="24"/>
        </w:rPr>
      </w:pPr>
    </w:p>
    <w:p w:rsidR="00BC3440" w:rsidRPr="00577DAA" w:rsidRDefault="00BC3440" w:rsidP="00BC3440">
      <w:pPr>
        <w:spacing w:after="0" w:line="480" w:lineRule="auto"/>
        <w:rPr>
          <w:rFonts w:ascii="Times New Roman" w:hAnsi="Times New Roman" w:cs="Times New Roman"/>
          <w:sz w:val="24"/>
          <w:szCs w:val="24"/>
        </w:rPr>
      </w:pPr>
      <w:r w:rsidRPr="00577DAA">
        <w:rPr>
          <w:rFonts w:ascii="Times New Roman" w:hAnsi="Times New Roman" w:cs="Times New Roman"/>
          <w:sz w:val="24"/>
          <w:szCs w:val="24"/>
        </w:rPr>
        <w:t xml:space="preserve">The obtained sequences of the forefoot were post-gadolinium sequences which included: T1-weighted FSE </w:t>
      </w:r>
      <w:proofErr w:type="spellStart"/>
      <w:r w:rsidRPr="00577DAA">
        <w:rPr>
          <w:rFonts w:ascii="Times New Roman" w:hAnsi="Times New Roman" w:cs="Times New Roman"/>
          <w:sz w:val="24"/>
          <w:szCs w:val="24"/>
        </w:rPr>
        <w:t>fatsat</w:t>
      </w:r>
      <w:proofErr w:type="spellEnd"/>
      <w:r w:rsidRPr="00577DAA">
        <w:rPr>
          <w:rFonts w:ascii="Times New Roman" w:hAnsi="Times New Roman" w:cs="Times New Roman"/>
          <w:sz w:val="24"/>
          <w:szCs w:val="24"/>
        </w:rPr>
        <w:t xml:space="preserve"> sequence in the axial plane (TR/TE 700/9.5ms; acquisition matrix 364x224, ETL 2) and: T1-weighted FSE </w:t>
      </w:r>
      <w:proofErr w:type="spellStart"/>
      <w:r w:rsidRPr="00577DAA">
        <w:rPr>
          <w:rFonts w:ascii="Times New Roman" w:hAnsi="Times New Roman" w:cs="Times New Roman"/>
          <w:sz w:val="24"/>
          <w:szCs w:val="24"/>
        </w:rPr>
        <w:t>fatsat</w:t>
      </w:r>
      <w:proofErr w:type="spellEnd"/>
      <w:r w:rsidRPr="00577DAA">
        <w:rPr>
          <w:rFonts w:ascii="Times New Roman" w:hAnsi="Times New Roman" w:cs="Times New Roman"/>
          <w:sz w:val="24"/>
          <w:szCs w:val="24"/>
        </w:rPr>
        <w:t xml:space="preserve"> sequence in the coronal plane (perpendicular to the axis of the metatarsals) (TR/TE 540/7.5ms; acquisition matrix 320x192, ETL 2). In the </w:t>
      </w:r>
      <w:r w:rsidRPr="00A84B0C">
        <w:rPr>
          <w:rFonts w:ascii="Times New Roman" w:hAnsi="Times New Roman" w:cs="Times New Roman"/>
          <w:sz w:val="24"/>
          <w:szCs w:val="24"/>
        </w:rPr>
        <w:t xml:space="preserve">first 39 patients a T1-weighted sequence and a T2-weighted fat saturated sequence were acquired in the axial plane (relative to the anatomical position), before contrast agent administration at baseline. In the remaining 59 patients postcontrast, T1-weighted, fat </w:t>
      </w:r>
      <w:r w:rsidRPr="00A84B0C">
        <w:rPr>
          <w:rFonts w:ascii="Times New Roman" w:hAnsi="Times New Roman" w:cs="Times New Roman"/>
          <w:sz w:val="24"/>
          <w:szCs w:val="24"/>
        </w:rPr>
        <w:lastRenderedPageBreak/>
        <w:t>saturated sequences were acquired in axial and coronal planes at baseline. This provided more information while reducing scanning-times. All patients underwent T1-weighted, fat saturated sequences in axial and coronal planes at two-year follow-up.</w:t>
      </w:r>
    </w:p>
    <w:p w:rsidR="00BC3440" w:rsidRPr="00577DAA" w:rsidRDefault="00BC3440" w:rsidP="00BC3440">
      <w:pPr>
        <w:spacing w:after="0" w:line="480" w:lineRule="auto"/>
        <w:rPr>
          <w:rFonts w:ascii="Times New Roman" w:hAnsi="Times New Roman" w:cs="Times New Roman"/>
          <w:sz w:val="24"/>
          <w:szCs w:val="24"/>
        </w:rPr>
      </w:pPr>
    </w:p>
    <w:p w:rsidR="00BC3440" w:rsidRPr="00577DAA" w:rsidRDefault="00BC3440" w:rsidP="00BC3440">
      <w:pPr>
        <w:spacing w:after="0" w:line="480" w:lineRule="auto"/>
        <w:rPr>
          <w:rFonts w:ascii="Times New Roman" w:hAnsi="Times New Roman" w:cs="Times New Roman"/>
          <w:sz w:val="24"/>
          <w:szCs w:val="24"/>
        </w:rPr>
      </w:pPr>
      <w:r w:rsidRPr="00577DAA">
        <w:rPr>
          <w:rFonts w:ascii="Times New Roman" w:hAnsi="Times New Roman" w:cs="Times New Roman"/>
          <w:sz w:val="24"/>
          <w:szCs w:val="24"/>
        </w:rPr>
        <w:t>Field-of-view was 100mm for the hand and 140mm for the foot. Coronal sequences of the hand had 18 slices with a slice thickness of 2mm and a slice gap of 0.2mm. Coronal sequences of the foot had 20 slices with a slice thickness of 3mm and a slice gap of 0.3mm. All axial sequences had a slice thickness of 3mm and a slice gap of 0.3mm with 20 slices for the wrist, 16 for the metacarpophalangeal joints and 14 for the foot.</w:t>
      </w:r>
    </w:p>
    <w:p w:rsidR="00BC3440" w:rsidRPr="00577DAA" w:rsidRDefault="00BC3440" w:rsidP="00BC3440">
      <w:pPr>
        <w:spacing w:after="0" w:line="480" w:lineRule="auto"/>
        <w:rPr>
          <w:rFonts w:ascii="Times New Roman" w:hAnsi="Times New Roman" w:cs="Times New Roman"/>
          <w:sz w:val="24"/>
          <w:szCs w:val="24"/>
        </w:rPr>
      </w:pPr>
    </w:p>
    <w:p w:rsidR="00BC3440" w:rsidRDefault="00BC3440" w:rsidP="00BC3440">
      <w:pPr>
        <w:spacing w:after="0" w:line="480" w:lineRule="auto"/>
        <w:rPr>
          <w:rFonts w:ascii="Times New Roman" w:hAnsi="Times New Roman" w:cs="Times New Roman"/>
          <w:sz w:val="24"/>
          <w:szCs w:val="24"/>
        </w:rPr>
      </w:pPr>
      <w:r w:rsidRPr="00577DAA">
        <w:rPr>
          <w:rFonts w:ascii="Times New Roman" w:hAnsi="Times New Roman" w:cs="Times New Roman"/>
          <w:sz w:val="24"/>
          <w:szCs w:val="24"/>
        </w:rPr>
        <w:t>According to the RAMRIS-method, T2-weighted fat suppressed sequences, or when this sequence is not available a short tau inversion recovery (STIR) sequence, should be used to assess Bone Marrow (O)</w:t>
      </w:r>
      <w:proofErr w:type="spellStart"/>
      <w:r w:rsidRPr="00577DAA">
        <w:rPr>
          <w:rFonts w:ascii="Times New Roman" w:hAnsi="Times New Roman" w:cs="Times New Roman"/>
          <w:sz w:val="24"/>
          <w:szCs w:val="24"/>
        </w:rPr>
        <w:t>Edema</w:t>
      </w:r>
      <w:proofErr w:type="spellEnd"/>
      <w:r w:rsidRPr="00577DAA">
        <w:rPr>
          <w:rFonts w:ascii="Times New Roman" w:hAnsi="Times New Roman" w:cs="Times New Roman"/>
          <w:sz w:val="24"/>
          <w:szCs w:val="24"/>
        </w:rPr>
        <w:t xml:space="preserve"> (BME). Previously, three studies have demonstrated that a contrast enhanced T1-weigthed fat suppressed sequence has a strong correlation with T2-weighted fat suppressed sequences.</w:t>
      </w:r>
      <w:r w:rsidRPr="00577DAA">
        <w:rPr>
          <w:rFonts w:ascii="Times New Roman" w:hAnsi="Times New Roman" w:cs="Times New Roman"/>
          <w:sz w:val="24"/>
          <w:szCs w:val="24"/>
        </w:rPr>
        <w:fldChar w:fldCharType="begin"/>
      </w:r>
      <w:r w:rsidR="00BE6540" w:rsidRPr="0047691B">
        <w:rPr>
          <w:rFonts w:ascii="Times New Roman" w:hAnsi="Times New Roman" w:cs="Times New Roman"/>
          <w:sz w:val="24"/>
          <w:szCs w:val="24"/>
        </w:rPr>
        <w:instrText xml:space="preserve"> ADDIN ZOTERO_ITEM CSL_CITATION {"citationID":"RScn9ryL","properties":{"formattedCitation":"[1\\uc0\\u8211{}3]","plainCitation":"[1–3]","noteIndex":0},"citationItems":[{"id":"XRuSPVtf/UDoJ0viA","uris":["http://zotero.org/users/1562813/items/XBJVPUZA"],"uri":["http://zotero.org/users/1562813/items/XBJVPUZA"],"itemData":{"id":71,"type":"article-journal","title":"Aiming for a shorter rheumatoid arthritis MRI protocol: can contrast-enhanced MRI replace T2 for the detection of bone marrow oedema?","container-title":"European Radiology","page":"2614-2622","volume":"24","issue":"10","source":"link.springer.com","DOI":"10.1007/s00330-014-3272-0","ISSN":"0938-7994, 1432-1084","shortTitle":"Aiming for a shorter rheumatoid arthritis MRI protocol","journalAbbreviation":"Eur Radiol","language":"en","author":[{"family":"Stomp","given":"Wouter"},{"family":"Krabben","given":"Annemarie"},{"family":"Heijde","given":"Désirée","dropping-particle":"van der"},{"family":"Huizinga","given":"Tom W. J."},{"family":"Bloem","given":"Johan L."},{"family":"Mil","given":"Annette H. M. van der Helm-van"},{"family":"Reijnierse","given":"Monique"}],"issued":{"date-parts":[["2014",6,28]]}}},{"id":"XRuSPVtf/8NDEou0B","uris":["http://zotero.org/users/1562813/items/CTXGKIMT"],"uri":["http://zotero.org/users/1562813/items/CTXGKIMT"],"itemData":{"id":154,"type":"article-journal","title":"Bone Marrow Abnormalities of Foot and Ankle: STIR versus T1-weighted Contrast-enhanced Fat-suppressed Spin-Echo MR Imaging","container-title":"Radiology","page":"463-469","volume":"224","issue":"2","source":"pubs.rsna.org (Atypon)","DOI":"10.1148/radiol.2242011252","ISSN":"0033-8419","shortTitle":"Bone Marrow Abnormalities of Foot and Ankle","journalAbbreviation":"Radiology","author":[{"family":"Schmid","given":"Marius R."},{"family":"Hodler","given":"Juerg"},{"family":"Vienne","given":"Patrick"},{"family":"Binkert","given":"Christoph A."},{"family":"Zanetti","given":"Marco"}],"issued":{"date-parts":[["2002",8,1]]}}},{"id":"XRuSPVtf/oEgje8TW","uris":["http://zotero.org/users/1562813/items/RWGP9AHK"],"uri":["http://zotero.org/users/1562813/items/RWGP9AHK"],"itemData":{"id":158,"type":"article-journal","title":"STIR vs. T1-weighted fat-suppressed gadolinium-enhanced MRI of bone marrow edema of the knee: Computer-assisted quantitative comparison and influence of injected contrast media volume and acquisition parameters","container-title":"Journal of Magnetic Resonance Imaging","page":"788-793","volume":"22","issue":"6","source":"Wiley Online Library","abstract":"Purpose\nTo compare short tau inversion recovery (STIR) and T1-weighted (T1w) gadolinium (Gd)-enhanced fat-suppressed MRI of bone marrow edema (BME) of the knee, and investigate the influence of injected contrast media volume and variation of major acquisition parameters on apparent BME volume and signal contrast.\nMaterials and Methods\nSTIR and T1w Gd-enhanced fat-suppressed images were obtained from 30 patients with BME of the knee. Two groups of patients were examined with different MR scanners, acquisition parameters, and contrast media volumes. For both sequences, BME volume and signal contrast were assessed by computer-assisted quantification, and were compared through their arithmetic means and correlation coefficients (r2). The injected contrast media volume was also correlated with BME volume and signal contrast differences between sequences.\nResults\nA strong correlation between the STIR and Gd-enhanced T1w images was found for BME volume (r2 = 0.96–0.99) and BME signal contrast (r2 = 0.86–0.94). Despite the differences in MR acquisition parameters and injected contrast media volume, both sequences depicted an almost identical BME volume in both groups. Contrast media volume showed a moderate correlation (r2 = 0.40) with BME volume differences.\nConclusion\nSTIR is the optimum method for determining the size and signal contrast of BME. The injected contrast media volume appears to have only a limited influence on apparent BME volume. J. Magn. Reson. Imaging 2005. © 2005 Wiley-Liss, Inc.","DOI":"10.1002/jmri.20439","ISSN":"1522-2586","shortTitle":"STIR vs. T1-weighted fat-suppressed gadolinium-enhanced MRI of bone marrow edema of the knee","journalAbbreviation":"J. Magn. Reson. Imaging","language":"en","author":[{"family":"Mayerhoefer","given":"Marius E."},{"family":"Breitenseher","given":"Martin J."},{"family":"Kramer","given":"Josef"},{"family":"Aigner","given":"Nicolas"},{"family":"Norden","given":"Cornelia"},{"family":"Hofmann","given":"Siegfried"}],"issued":{"date-parts":[["2005",12,1]]}}}],"schema":"https://github.com/citation-style-language/schema/raw/master/csl-citation.json"} </w:instrText>
      </w:r>
      <w:r w:rsidRPr="00577DAA">
        <w:rPr>
          <w:rFonts w:ascii="Times New Roman" w:hAnsi="Times New Roman" w:cs="Times New Roman"/>
          <w:sz w:val="24"/>
          <w:szCs w:val="24"/>
        </w:rPr>
        <w:fldChar w:fldCharType="separate"/>
      </w:r>
      <w:r w:rsidR="00BE6540" w:rsidRPr="00BE6540">
        <w:rPr>
          <w:rFonts w:ascii="Times New Roman" w:hAnsi="Times New Roman" w:cs="Times New Roman"/>
          <w:sz w:val="24"/>
          <w:szCs w:val="24"/>
        </w:rPr>
        <w:t>[1–3]</w:t>
      </w:r>
      <w:r w:rsidRPr="00577DAA">
        <w:rPr>
          <w:rFonts w:ascii="Times New Roman" w:hAnsi="Times New Roman" w:cs="Times New Roman"/>
          <w:sz w:val="24"/>
          <w:szCs w:val="24"/>
        </w:rPr>
        <w:fldChar w:fldCharType="end"/>
      </w:r>
      <w:r w:rsidRPr="00577DAA">
        <w:rPr>
          <w:rFonts w:ascii="Times New Roman" w:hAnsi="Times New Roman" w:cs="Times New Roman"/>
          <w:sz w:val="24"/>
          <w:szCs w:val="24"/>
        </w:rPr>
        <w:t xml:space="preserve"> A T2-weighted image shows increased water signal and a contrast-enhanced T1-weighted sequence shows increased water content and the increased perfusion and interstitial leakage. A strong correlation has been shown in arthritis patients but also in patients without inflammatory diseases such as bone bruises, intraosseous ganglions, bone infarcts and even nonspecific cases.</w:t>
      </w:r>
      <w:r w:rsidRPr="00577DAA">
        <w:rPr>
          <w:rFonts w:ascii="Times New Roman" w:hAnsi="Times New Roman" w:cs="Times New Roman"/>
          <w:sz w:val="24"/>
          <w:szCs w:val="24"/>
        </w:rPr>
        <w:fldChar w:fldCharType="begin"/>
      </w:r>
      <w:r w:rsidR="00BE6540" w:rsidRPr="0047691B">
        <w:rPr>
          <w:rFonts w:ascii="Times New Roman" w:hAnsi="Times New Roman" w:cs="Times New Roman"/>
          <w:sz w:val="24"/>
          <w:szCs w:val="24"/>
        </w:rPr>
        <w:instrText xml:space="preserve"> ADDIN ZOTERO_ITEM CSL_CITATION {"citationID":"2ga4u4f5hg","properties":{"formattedCitation":"[2,3]","plainCitation":"[2,3]","noteIndex":0},"citationItems":[{"id":"XRuSPVtf/8NDEou0B","uris":["http://zotero.org/users/1562813/items/CTXGKIMT"],"uri":["http://zotero.org/users/1562813/items/CTXGKIMT"],"itemData":{"id":154,"type":"article-journal","title":"Bone Marrow Abnormalities of Foot and Ankle: STIR versus T1-weighted Contrast-enhanced Fat-suppressed Spin-Echo MR Imaging","container-title":"Radiology","page":"463-469","volume":"224","issue":"2","source":"pubs.rsna.org (Atypon)","DOI":"10.1148/radiol.2242011252","ISSN":"0033-8419","shortTitle":"Bone Marrow Abnormalities of Foot and Ankle","journalAbbreviation":"Radiology","author":[{"family":"Schmid","given":"Marius R."},{"family":"Hodler","given":"Juerg"},{"family":"Vienne","given":"Patrick"},{"family":"Binkert","given":"Christoph A."},{"family":"Zanetti","given":"Marco"}],"issued":{"date-parts":[["2002",8,1]]}}},{"id":"XRuSPVtf/oEgje8TW","uris":["http://zotero.org/users/1562813/items/RWGP9AHK"],"uri":["http://zotero.org/users/1562813/items/RWGP9AHK"],"itemData":{"id":158,"type":"article-journal","title":"STIR vs. T1-weighted fat-suppressed gadolinium-enhanced MRI of bone marrow edema of the knee: Computer-assisted quantitative comparison and influence of injected contrast media volume and acquisition parameters","container-title":"Journal of Magnetic Resonance Imaging","page":"788-793","volume":"22","issue":"6","source":"Wiley Online Library","abstract":"Purpose\nTo compare short tau inversion recovery (STIR) and T1-weighted (T1w) gadolinium (Gd)-enhanced fat-suppressed MRI of bone marrow edema (BME) of the knee, and investigate the influence of injected contrast media volume and variation of major acquisition parameters on apparent BME volume and signal contrast.\nMaterials and Methods\nSTIR and T1w Gd-enhanced fat-suppressed images were obtained from 30 patients with BME of the knee. Two groups of patients were examined with different MR scanners, acquisition parameters, and contrast media volumes. For both sequences, BME volume and signal contrast were assessed by computer-assisted quantification, and were compared through their arithmetic means and correlation coefficients (r2). The injected contrast media volume was also correlated with BME volume and signal contrast differences between sequences.\nResults\nA strong correlation between the STIR and Gd-enhanced T1w images was found for BME volume (r2 = 0.96–0.99) and BME signal contrast (r2 = 0.86–0.94). Despite the differences in MR acquisition parameters and injected contrast media volume, both sequences depicted an almost identical BME volume in both groups. Contrast media volume showed a moderate correlation (r2 = 0.40) with BME volume differences.\nConclusion\nSTIR is the optimum method for determining the size and signal contrast of BME. The injected contrast media volume appears to have only a limited influence on apparent BME volume. J. Magn. Reson. Imaging 2005. © 2005 Wiley-Liss, Inc.","DOI":"10.1002/jmri.20439","ISSN":"1522-2586","shortTitle":"STIR vs. T1-weighted fat-suppressed gadolinium-enhanced MRI of bone marrow edema of the knee","journalAbbreviation":"J. Magn. Reson. Imaging","language":"en","author":[{"family":"Mayerhoefer","given":"Marius E."},{"family":"Breitenseher","given":"Martin J."},{"family":"Kramer","given":"Josef"},{"family":"Aigner","given":"Nicolas"},{"family":"Norden","given":"Cornelia"},{"family":"Hofmann","given":"Siegfried"}],"issued":{"date-parts":[["2005",12,1]]}}}],"schema":"https://github.com/citation-style-language/schema/raw/master/csl-citation.json"} </w:instrText>
      </w:r>
      <w:r w:rsidRPr="00577DAA">
        <w:rPr>
          <w:rFonts w:ascii="Times New Roman" w:hAnsi="Times New Roman" w:cs="Times New Roman"/>
          <w:sz w:val="24"/>
          <w:szCs w:val="24"/>
        </w:rPr>
        <w:fldChar w:fldCharType="separate"/>
      </w:r>
      <w:r w:rsidR="00BE6540" w:rsidRPr="0047691B">
        <w:rPr>
          <w:rFonts w:ascii="Times New Roman" w:hAnsi="Times New Roman" w:cs="Times New Roman"/>
          <w:sz w:val="24"/>
          <w:szCs w:val="24"/>
        </w:rPr>
        <w:t>[2,3]</w:t>
      </w:r>
      <w:r w:rsidRPr="00577DAA">
        <w:rPr>
          <w:rFonts w:ascii="Times New Roman" w:hAnsi="Times New Roman" w:cs="Times New Roman"/>
          <w:sz w:val="24"/>
          <w:szCs w:val="24"/>
        </w:rPr>
        <w:fldChar w:fldCharType="end"/>
      </w:r>
      <w:r w:rsidRPr="00577DAA">
        <w:rPr>
          <w:rFonts w:ascii="Times New Roman" w:hAnsi="Times New Roman" w:cs="Times New Roman"/>
          <w:sz w:val="24"/>
          <w:szCs w:val="24"/>
        </w:rPr>
        <w:t xml:space="preserve"> </w:t>
      </w:r>
      <w:r w:rsidRPr="00577DAA">
        <w:rPr>
          <w:rFonts w:ascii="Times New Roman" w:hAnsi="Times New Roman" w:cs="Times New Roman"/>
          <w:sz w:val="24"/>
          <w:szCs w:val="24"/>
        </w:rPr>
        <w:fldChar w:fldCharType="begin"/>
      </w:r>
      <w:r w:rsidR="00BE6540">
        <w:rPr>
          <w:rFonts w:ascii="Times New Roman" w:hAnsi="Times New Roman" w:cs="Times New Roman"/>
          <w:sz w:val="24"/>
          <w:szCs w:val="24"/>
        </w:rPr>
        <w:instrText xml:space="preserve"> ADDIN ZOTERO_ITEM CSL_CITATION {"citationID":"1o2kin07ms","properties":{"formattedCitation":"[12\\uc0\\u8211{}14]","plainCitation":"[12–14]","dontUpdate":true,"noteIndex":0},"citationItems":[{"id":"XRuSPVtf/UDoJ0viA","uris":["http://zotero.org/users/1562813/items/XBJVPUZA"],"uri":["http://zotero.org/users/1562813/items/XBJVPUZA"],"itemData":{"id":71,"type":"article-journal","title":"Aiming for a shorter rheumatoid arthritis MRI protocol: can contrast-enhanced MRI replace T2 for the detection of bone marrow oedema?","container-title":"European Radiology","page":"2614-2622","volume":"24","issue":"10","source":"link.springer.com","DOI":"10.1007/s00330-014-3272-0","ISSN":"0938-7994, 1432-1084","shortTitle":"Aiming for a shorter rheumatoid arthritis MRI protocol","journalAbbreviation":"Eur Radiol","language":"en","author":[{"family":"Stomp","given":"Wouter"},{"family":"Krabben","given":"Annemarie"},{"family":"Heijde","given":"Désirée","dropping-particle":"van der"},{"family":"Huizinga","given":"Tom W. J."},{"family":"Bloem","given":"Johan L."},{"family":"Mil","given":"Annette H. M. van der Helm-van"},{"family":"Reijnierse","given":"Monique"}],"issued":{"date-parts":[["2014",6,28]]}}},{"id":"XRuSPVtf/8NDEou0B","uris":["http://zotero.org/users/1562813/items/CTXGKIMT"],"uri":["http://zotero.org/users/1562813/items/CTXGKIMT"],"itemData":{"id":154,"type":"article-journal","title":"Bone Marrow Abnormalities of Foot and Ankle: STIR versus T1-weighted Contrast-enhanced Fat-suppressed Spin-Echo MR Imaging","container-title":"Radiology","page":"463-469","volume":"224","issue":"2","source":"pubs.rsna.org (Atypon)","DOI":"10.1148/radiol.2242011252","ISSN":"0033-8419","shortTitle":"Bone Marrow Abnormalities of Foot and Ankle","journalAbbreviation":"Radiology","author":[{"family":"Schmid","given":"Marius R."},{"family":"Hodler","given":"Juerg"},{"family":"Vienne","given":"Patrick"},{"family":"Binkert","given":"Christoph A."},{"family":"Zanetti","given":"Marco"}],"issued":{"date-parts":[["2002",8,1]]}}},{"id":"XRuSPVtf/oEgje8TW","uris":["http://zotero.org/users/1562813/items/RWGP9AHK"],"uri":["http://zotero.org/users/1562813/items/RWGP9AHK"],"itemData":{"id":158,"type":"article-journal","title":"STIR vs. T1-weighted fat-suppressed gadolinium-enhanced MRI of bone marrow edema of the knee: Computer-assisted quantitative comparison and influence of injected contrast media volume and acquisition parameters","container-title":"Journal of Magnetic Resonance Imaging","page":"788-793","volume":"22","issue":"6","source":"Wiley Online Library","abstract":"Purpose\nTo compare short tau inversion recovery (STIR) and T1-weighted (T1w) gadolinium (Gd)-enhanced fat-suppressed MRI of bone marrow edema (BME) of the knee, and investigate the influence of injected contrast media volume and variation of major acquisition parameters on apparent BME volume and signal contrast.\nMaterials and Methods\nSTIR and T1w Gd-enhanced fat-suppressed images were obtained from 30 patients with BME of the knee. Two groups of patients were examined with different MR scanners, acquisition parameters, and contrast media volumes. For both sequences, BME volume and signal contrast were assessed by computer-assisted quantification, and were compared through their arithmetic means and correlation coefficients (r2). The injected contrast media volume was also correlated with BME volume and signal contrast differences between sequences.\nResults\nA strong correlation between the STIR and Gd-enhanced T1w images was found for BME volume (r2 = 0.96–0.99) and BME signal contrast (r2 = 0.86–0.94). Despite the differences in MR acquisition parameters and injected contrast media volume, both sequences depicted an almost identical BME volume in both groups. Contrast media volume showed a moderate correlation (r2 = 0.40) with BME volume differences.\nConclusion\nSTIR is the optimum method for determining the size and signal contrast of BME. The injected contrast media volume appears to have only a limited influence on apparent BME volume. J. Magn. Reson. Imaging 2005. © 2005 Wiley-Liss, Inc.","DOI":"10.1002/jmri.20439","ISSN":"1522-2586","shortTitle":"STIR vs. T1-weighted fat-suppressed gadolinium-enhanced MRI of bone marrow edema of the knee","journalAbbreviation":"J. Magn. Reson. Imaging","language":"en","author":[{"family":"Mayerhoefer","given":"Marius E."},{"family":"Breitenseher","given":"Martin J."},{"family":"Kramer","given":"Josef"},{"family":"Aigner","given":"Nicolas"},{"family":"Norden","given":"Cornelia"},{"family":"Hofmann","given":"Siegfried"}],"issued":{"date-parts":[["2005",12,1]]}}}],"schema":"https://github.com/citation-style-language/schema/raw/master/csl-citation.json"} </w:instrText>
      </w:r>
      <w:r w:rsidRPr="00577DAA">
        <w:rPr>
          <w:rFonts w:ascii="Times New Roman" w:hAnsi="Times New Roman" w:cs="Times New Roman"/>
          <w:sz w:val="24"/>
          <w:szCs w:val="24"/>
        </w:rPr>
        <w:fldChar w:fldCharType="end"/>
      </w:r>
      <w:r w:rsidRPr="00577DAA">
        <w:rPr>
          <w:rFonts w:ascii="Times New Roman" w:hAnsi="Times New Roman" w:cs="Times New Roman"/>
          <w:sz w:val="24"/>
          <w:szCs w:val="24"/>
        </w:rPr>
        <w:t>We used the contrast enhanced T1-weighted fat suppressed sequence as it allowed a shorter scan time and has a higher signal to noise ratio.</w:t>
      </w:r>
      <w:r w:rsidR="00C362C9">
        <w:rPr>
          <w:rFonts w:ascii="Times New Roman" w:hAnsi="Times New Roman" w:cs="Times New Roman"/>
          <w:sz w:val="24"/>
          <w:szCs w:val="24"/>
        </w:rPr>
        <w:t xml:space="preserve"> I</w:t>
      </w:r>
      <w:r w:rsidR="00A234F3">
        <w:rPr>
          <w:rFonts w:ascii="Times New Roman" w:hAnsi="Times New Roman" w:cs="Times New Roman"/>
          <w:sz w:val="24"/>
          <w:szCs w:val="24"/>
        </w:rPr>
        <w:t xml:space="preserve">n the first 39 patients, baseline </w:t>
      </w:r>
      <w:r w:rsidR="009B08E3">
        <w:rPr>
          <w:rFonts w:ascii="Times New Roman" w:hAnsi="Times New Roman" w:cs="Times New Roman"/>
          <w:sz w:val="24"/>
          <w:szCs w:val="24"/>
        </w:rPr>
        <w:t xml:space="preserve">BME scores of the forefoot were evaluated using </w:t>
      </w:r>
      <w:r w:rsidR="009B08E3" w:rsidRPr="009B08E3">
        <w:rPr>
          <w:rFonts w:ascii="Times New Roman" w:hAnsi="Times New Roman" w:cs="Times New Roman"/>
          <w:sz w:val="24"/>
          <w:szCs w:val="24"/>
        </w:rPr>
        <w:t xml:space="preserve">T2-weighted fat saturated sequence </w:t>
      </w:r>
      <w:r w:rsidR="009B08E3">
        <w:rPr>
          <w:rFonts w:ascii="Times New Roman" w:hAnsi="Times New Roman" w:cs="Times New Roman"/>
          <w:sz w:val="24"/>
          <w:szCs w:val="24"/>
        </w:rPr>
        <w:t>from</w:t>
      </w:r>
      <w:r w:rsidR="009B08E3" w:rsidRPr="009B08E3">
        <w:rPr>
          <w:rFonts w:ascii="Times New Roman" w:hAnsi="Times New Roman" w:cs="Times New Roman"/>
          <w:sz w:val="24"/>
          <w:szCs w:val="24"/>
        </w:rPr>
        <w:t xml:space="preserve"> the axial plane</w:t>
      </w:r>
      <w:r w:rsidR="009B08E3">
        <w:rPr>
          <w:rFonts w:ascii="Times New Roman" w:hAnsi="Times New Roman" w:cs="Times New Roman"/>
          <w:sz w:val="24"/>
          <w:szCs w:val="24"/>
        </w:rPr>
        <w:t>.</w:t>
      </w:r>
    </w:p>
    <w:p w:rsidR="0050674D" w:rsidRDefault="0050674D" w:rsidP="00BC3440">
      <w:pPr>
        <w:spacing w:after="0" w:line="480" w:lineRule="auto"/>
        <w:rPr>
          <w:rFonts w:ascii="Times New Roman" w:hAnsi="Times New Roman" w:cs="Times New Roman"/>
          <w:sz w:val="24"/>
          <w:szCs w:val="24"/>
        </w:rPr>
      </w:pPr>
    </w:p>
    <w:p w:rsidR="0050674D" w:rsidRPr="00577DAA" w:rsidRDefault="0050674D" w:rsidP="00BC3440">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DA168D">
        <w:rPr>
          <w:rFonts w:ascii="Times New Roman" w:hAnsi="Times New Roman" w:cs="Times New Roman"/>
          <w:sz w:val="24"/>
          <w:szCs w:val="24"/>
        </w:rPr>
        <w:t xml:space="preserve"> tendons</w:t>
      </w:r>
      <w:r>
        <w:rPr>
          <w:rFonts w:ascii="Times New Roman" w:hAnsi="Times New Roman" w:cs="Times New Roman"/>
          <w:sz w:val="24"/>
          <w:szCs w:val="24"/>
        </w:rPr>
        <w:t xml:space="preserve"> evaluated for tenosynovitis in the wrist were: </w:t>
      </w:r>
      <w:r w:rsidR="00DA168D" w:rsidRPr="00DA168D">
        <w:rPr>
          <w:rFonts w:ascii="Times New Roman" w:hAnsi="Times New Roman" w:cs="Times New Roman"/>
          <w:sz w:val="24"/>
          <w:szCs w:val="24"/>
        </w:rPr>
        <w:t xml:space="preserve">extensor pollicis brevis, abductor pollicis longus; extensor carpi radialis brevis, extensor carpi radialis longus; extensor pollicis </w:t>
      </w:r>
      <w:r w:rsidR="00DA168D" w:rsidRPr="00DA168D">
        <w:rPr>
          <w:rFonts w:ascii="Times New Roman" w:hAnsi="Times New Roman" w:cs="Times New Roman"/>
          <w:sz w:val="24"/>
          <w:szCs w:val="24"/>
        </w:rPr>
        <w:lastRenderedPageBreak/>
        <w:t xml:space="preserve">longus; extensor digitorum </w:t>
      </w:r>
      <w:proofErr w:type="spellStart"/>
      <w:r w:rsidR="00DA168D" w:rsidRPr="00DA168D">
        <w:rPr>
          <w:rFonts w:ascii="Times New Roman" w:hAnsi="Times New Roman" w:cs="Times New Roman"/>
          <w:sz w:val="24"/>
          <w:szCs w:val="24"/>
        </w:rPr>
        <w:t>communis</w:t>
      </w:r>
      <w:proofErr w:type="spellEnd"/>
      <w:r w:rsidR="00DA168D" w:rsidRPr="00DA168D">
        <w:rPr>
          <w:rFonts w:ascii="Times New Roman" w:hAnsi="Times New Roman" w:cs="Times New Roman"/>
          <w:sz w:val="24"/>
          <w:szCs w:val="24"/>
        </w:rPr>
        <w:t xml:space="preserve">, extensor indicus </w:t>
      </w:r>
      <w:proofErr w:type="spellStart"/>
      <w:r w:rsidR="00DA168D" w:rsidRPr="00DA168D">
        <w:rPr>
          <w:rFonts w:ascii="Times New Roman" w:hAnsi="Times New Roman" w:cs="Times New Roman"/>
          <w:sz w:val="24"/>
          <w:szCs w:val="24"/>
        </w:rPr>
        <w:t>proprius</w:t>
      </w:r>
      <w:proofErr w:type="spellEnd"/>
      <w:r w:rsidR="00DA168D" w:rsidRPr="00DA168D">
        <w:rPr>
          <w:rFonts w:ascii="Times New Roman" w:hAnsi="Times New Roman" w:cs="Times New Roman"/>
          <w:sz w:val="24"/>
          <w:szCs w:val="24"/>
        </w:rPr>
        <w:t xml:space="preserve">; extensor </w:t>
      </w:r>
      <w:proofErr w:type="spellStart"/>
      <w:r w:rsidR="00DA168D" w:rsidRPr="00DA168D">
        <w:rPr>
          <w:rFonts w:ascii="Times New Roman" w:hAnsi="Times New Roman" w:cs="Times New Roman"/>
          <w:sz w:val="24"/>
          <w:szCs w:val="24"/>
        </w:rPr>
        <w:t>digiti</w:t>
      </w:r>
      <w:proofErr w:type="spellEnd"/>
      <w:r w:rsidR="00DA168D" w:rsidRPr="00DA168D">
        <w:rPr>
          <w:rFonts w:ascii="Times New Roman" w:hAnsi="Times New Roman" w:cs="Times New Roman"/>
          <w:sz w:val="24"/>
          <w:szCs w:val="24"/>
        </w:rPr>
        <w:t xml:space="preserve"> </w:t>
      </w:r>
      <w:proofErr w:type="spellStart"/>
      <w:r w:rsidR="00DA168D" w:rsidRPr="00DA168D">
        <w:rPr>
          <w:rFonts w:ascii="Times New Roman" w:hAnsi="Times New Roman" w:cs="Times New Roman"/>
          <w:sz w:val="24"/>
          <w:szCs w:val="24"/>
        </w:rPr>
        <w:t>quinti</w:t>
      </w:r>
      <w:proofErr w:type="spellEnd"/>
      <w:r w:rsidR="00DA168D" w:rsidRPr="00DA168D">
        <w:rPr>
          <w:rFonts w:ascii="Times New Roman" w:hAnsi="Times New Roman" w:cs="Times New Roman"/>
          <w:sz w:val="24"/>
          <w:szCs w:val="24"/>
        </w:rPr>
        <w:t xml:space="preserve"> </w:t>
      </w:r>
      <w:proofErr w:type="spellStart"/>
      <w:r w:rsidR="00DA168D" w:rsidRPr="00DA168D">
        <w:rPr>
          <w:rFonts w:ascii="Times New Roman" w:hAnsi="Times New Roman" w:cs="Times New Roman"/>
          <w:sz w:val="24"/>
          <w:szCs w:val="24"/>
        </w:rPr>
        <w:t>proprius</w:t>
      </w:r>
      <w:proofErr w:type="spellEnd"/>
      <w:r w:rsidR="00DA168D" w:rsidRPr="00DA168D">
        <w:rPr>
          <w:rFonts w:ascii="Times New Roman" w:hAnsi="Times New Roman" w:cs="Times New Roman"/>
          <w:sz w:val="24"/>
          <w:szCs w:val="24"/>
        </w:rPr>
        <w:t xml:space="preserve">; extensor carpi </w:t>
      </w:r>
      <w:proofErr w:type="spellStart"/>
      <w:r w:rsidR="00DA168D" w:rsidRPr="00DA168D">
        <w:rPr>
          <w:rFonts w:ascii="Times New Roman" w:hAnsi="Times New Roman" w:cs="Times New Roman"/>
          <w:sz w:val="24"/>
          <w:szCs w:val="24"/>
        </w:rPr>
        <w:t>ulnaris</w:t>
      </w:r>
      <w:proofErr w:type="spellEnd"/>
      <w:r w:rsidR="00DA168D">
        <w:rPr>
          <w:rFonts w:ascii="Times New Roman" w:hAnsi="Times New Roman" w:cs="Times New Roman"/>
          <w:sz w:val="24"/>
          <w:szCs w:val="24"/>
        </w:rPr>
        <w:t xml:space="preserve">; </w:t>
      </w:r>
      <w:r w:rsidR="00DA168D" w:rsidRPr="00DA168D">
        <w:rPr>
          <w:rFonts w:ascii="Times New Roman" w:hAnsi="Times New Roman" w:cs="Times New Roman"/>
          <w:sz w:val="24"/>
          <w:szCs w:val="24"/>
        </w:rPr>
        <w:t xml:space="preserve">flexor carpi </w:t>
      </w:r>
      <w:proofErr w:type="spellStart"/>
      <w:r w:rsidR="00DA168D" w:rsidRPr="00DA168D">
        <w:rPr>
          <w:rFonts w:ascii="Times New Roman" w:hAnsi="Times New Roman" w:cs="Times New Roman"/>
          <w:sz w:val="24"/>
          <w:szCs w:val="24"/>
        </w:rPr>
        <w:t>ulnaris</w:t>
      </w:r>
      <w:proofErr w:type="spellEnd"/>
      <w:r w:rsidR="00DA168D" w:rsidRPr="00DA168D">
        <w:rPr>
          <w:rFonts w:ascii="Times New Roman" w:hAnsi="Times New Roman" w:cs="Times New Roman"/>
          <w:sz w:val="24"/>
          <w:szCs w:val="24"/>
        </w:rPr>
        <w:t xml:space="preserve"> tendon; flexor digitorum superficialis and </w:t>
      </w:r>
      <w:proofErr w:type="spellStart"/>
      <w:r w:rsidR="00DA168D" w:rsidRPr="00DA168D">
        <w:rPr>
          <w:rFonts w:ascii="Times New Roman" w:hAnsi="Times New Roman" w:cs="Times New Roman"/>
          <w:sz w:val="24"/>
          <w:szCs w:val="24"/>
        </w:rPr>
        <w:t>profundus</w:t>
      </w:r>
      <w:proofErr w:type="spellEnd"/>
      <w:r w:rsidR="00DA168D" w:rsidRPr="00DA168D">
        <w:rPr>
          <w:rFonts w:ascii="Times New Roman" w:hAnsi="Times New Roman" w:cs="Times New Roman"/>
          <w:sz w:val="24"/>
          <w:szCs w:val="24"/>
        </w:rPr>
        <w:t xml:space="preserve">; flexor pollicis longus tendon </w:t>
      </w:r>
      <w:r w:rsidR="00F730A4">
        <w:rPr>
          <w:rFonts w:ascii="Times New Roman" w:hAnsi="Times New Roman" w:cs="Times New Roman"/>
          <w:sz w:val="24"/>
          <w:szCs w:val="24"/>
        </w:rPr>
        <w:t xml:space="preserve">and finally </w:t>
      </w:r>
      <w:r w:rsidR="00F730A4" w:rsidRPr="00F730A4">
        <w:rPr>
          <w:rFonts w:ascii="Times New Roman" w:hAnsi="Times New Roman" w:cs="Times New Roman"/>
          <w:sz w:val="24"/>
          <w:szCs w:val="24"/>
        </w:rPr>
        <w:t>flexor carpi radialis</w:t>
      </w:r>
      <w:r w:rsidR="00F730A4">
        <w:rPr>
          <w:rFonts w:ascii="Times New Roman" w:hAnsi="Times New Roman" w:cs="Times New Roman"/>
          <w:sz w:val="24"/>
          <w:szCs w:val="24"/>
        </w:rPr>
        <w:t xml:space="preserve">. The tendons </w:t>
      </w:r>
      <w:r w:rsidR="000B2300">
        <w:rPr>
          <w:rFonts w:ascii="Times New Roman" w:hAnsi="Times New Roman" w:cs="Times New Roman"/>
          <w:sz w:val="24"/>
          <w:szCs w:val="24"/>
        </w:rPr>
        <w:t xml:space="preserve">evaluated for tenosynovitis in the MCP joints were the flexor and </w:t>
      </w:r>
      <w:proofErr w:type="spellStart"/>
      <w:r w:rsidR="000B2300">
        <w:rPr>
          <w:rFonts w:ascii="Times New Roman" w:hAnsi="Times New Roman" w:cs="Times New Roman"/>
          <w:sz w:val="24"/>
          <w:szCs w:val="24"/>
        </w:rPr>
        <w:t>extendor</w:t>
      </w:r>
      <w:proofErr w:type="spellEnd"/>
      <w:r w:rsidR="000B2300">
        <w:rPr>
          <w:rFonts w:ascii="Times New Roman" w:hAnsi="Times New Roman" w:cs="Times New Roman"/>
          <w:sz w:val="24"/>
          <w:szCs w:val="24"/>
        </w:rPr>
        <w:t xml:space="preserve"> tendons </w:t>
      </w:r>
      <w:r w:rsidR="00E408AF">
        <w:rPr>
          <w:rFonts w:ascii="Times New Roman" w:hAnsi="Times New Roman" w:cs="Times New Roman"/>
          <w:sz w:val="24"/>
          <w:szCs w:val="24"/>
        </w:rPr>
        <w:t xml:space="preserve">of the MCP2 to MCP5. </w:t>
      </w:r>
      <w:r w:rsidR="0063621C">
        <w:rPr>
          <w:rFonts w:ascii="Times New Roman" w:hAnsi="Times New Roman" w:cs="Times New Roman"/>
          <w:sz w:val="24"/>
          <w:szCs w:val="24"/>
        </w:rPr>
        <w:t xml:space="preserve">In the patients with available coronal planes of the forefoot, tenosynovitis was evaluated for flexor and </w:t>
      </w:r>
      <w:proofErr w:type="spellStart"/>
      <w:r w:rsidR="0063621C">
        <w:rPr>
          <w:rFonts w:ascii="Times New Roman" w:hAnsi="Times New Roman" w:cs="Times New Roman"/>
          <w:sz w:val="24"/>
          <w:szCs w:val="24"/>
        </w:rPr>
        <w:t>extendor</w:t>
      </w:r>
      <w:proofErr w:type="spellEnd"/>
      <w:r w:rsidR="0063621C">
        <w:rPr>
          <w:rFonts w:ascii="Times New Roman" w:hAnsi="Times New Roman" w:cs="Times New Roman"/>
          <w:sz w:val="24"/>
          <w:szCs w:val="24"/>
        </w:rPr>
        <w:t xml:space="preserve"> tendons of the MTP1 to MTP5.</w:t>
      </w:r>
    </w:p>
    <w:p w:rsidR="00BC3440" w:rsidRPr="00577DAA" w:rsidRDefault="00BC3440" w:rsidP="00BC3440">
      <w:pPr>
        <w:spacing w:after="0" w:line="480" w:lineRule="auto"/>
        <w:rPr>
          <w:rFonts w:ascii="Times New Roman" w:hAnsi="Times New Roman" w:cs="Times New Roman"/>
          <w:sz w:val="24"/>
          <w:szCs w:val="24"/>
        </w:rPr>
      </w:pPr>
    </w:p>
    <w:p w:rsidR="00BC3440" w:rsidRPr="00577DAA" w:rsidRDefault="00BC3440" w:rsidP="00BC3440">
      <w:pPr>
        <w:rPr>
          <w:rFonts w:ascii="Times New Roman" w:hAnsi="Times New Roman" w:cs="Times New Roman"/>
          <w:i/>
          <w:sz w:val="24"/>
          <w:szCs w:val="24"/>
        </w:rPr>
      </w:pPr>
      <w:r w:rsidRPr="00577DAA">
        <w:rPr>
          <w:rFonts w:ascii="Times New Roman" w:hAnsi="Times New Roman" w:cs="Times New Roman"/>
          <w:i/>
          <w:sz w:val="24"/>
          <w:szCs w:val="24"/>
        </w:rPr>
        <w:t>MR scoring</w:t>
      </w:r>
    </w:p>
    <w:p w:rsidR="00BC3440" w:rsidRPr="00577DAA" w:rsidRDefault="00BC3440" w:rsidP="00BC3440">
      <w:pPr>
        <w:spacing w:after="0" w:line="480" w:lineRule="auto"/>
        <w:rPr>
          <w:rFonts w:ascii="Times New Roman" w:hAnsi="Times New Roman" w:cs="Times New Roman"/>
          <w:sz w:val="24"/>
          <w:szCs w:val="24"/>
        </w:rPr>
      </w:pPr>
      <w:r w:rsidRPr="00577DAA">
        <w:rPr>
          <w:rFonts w:ascii="Times New Roman" w:hAnsi="Times New Roman" w:cs="Times New Roman"/>
          <w:sz w:val="24"/>
          <w:szCs w:val="24"/>
        </w:rPr>
        <w:t xml:space="preserve">All bones, joints and tendons were scored semi-quantitatively. Similar to the RAMRIS method, synovitis score was scored based on the volume of enhancing tissue in the synovial compartment (none, mild, moderate, severe (range 0-3)). Similar to method described by </w:t>
      </w:r>
      <w:proofErr w:type="spellStart"/>
      <w:r w:rsidRPr="00577DAA">
        <w:rPr>
          <w:rFonts w:ascii="Times New Roman" w:hAnsi="Times New Roman" w:cs="Times New Roman"/>
          <w:sz w:val="24"/>
          <w:szCs w:val="24"/>
        </w:rPr>
        <w:t>Haavardsholm</w:t>
      </w:r>
      <w:proofErr w:type="spellEnd"/>
      <w:r w:rsidRPr="00577DAA">
        <w:rPr>
          <w:rFonts w:ascii="Times New Roman" w:hAnsi="Times New Roman" w:cs="Times New Roman"/>
          <w:sz w:val="24"/>
          <w:szCs w:val="24"/>
        </w:rPr>
        <w:t xml:space="preserve"> et al the tenosynovitis-score was based on the thickness of peritendinous effusion or synovial proliferation with contrast enhancement (normal, &lt;2mm, 2-5mm, &gt;5mm (range 0-3)).</w:t>
      </w:r>
      <w:r w:rsidRPr="00577DAA">
        <w:rPr>
          <w:rFonts w:ascii="Times New Roman" w:hAnsi="Times New Roman" w:cs="Times New Roman"/>
          <w:sz w:val="24"/>
          <w:szCs w:val="24"/>
        </w:rPr>
        <w:fldChar w:fldCharType="begin"/>
      </w:r>
      <w:r w:rsidR="00BE6540" w:rsidRPr="0047691B">
        <w:rPr>
          <w:rFonts w:ascii="Times New Roman" w:hAnsi="Times New Roman" w:cs="Times New Roman"/>
          <w:sz w:val="24"/>
          <w:szCs w:val="24"/>
        </w:rPr>
        <w:instrText xml:space="preserve"> ADDIN ZOTERO_ITEM CSL_CITATION {"citationID":"1gsea7glv2","properties":{"formattedCitation":"[4,5]","plainCitation":"[4,5]","noteIndex":0},"citationItems":[{"id":"XRuSPVtf/q3nSnHmW","uris":["http://zotero.org/users/1562813/items/7AH8K5DN"],"uri":["http://zotero.org/users/1562813/items/7AH8K5DN"],"itemData":{"id":65,"type":"article-journal","title":"An introduction to the EULAR–OMERACT rheumatoid arthritis MRI reference image atlas","container-title":"Annals of the Rheumatic Diseases","page":"i3-i7","volume":"64","issue":"suppl 1","source":"ard.bmj.com","abstract":"This article gives a short overview of the development and characteristics of the OMERACT rheumatoid arthritis MRI scoring system (RAMRIS), followed by an introduction to the use of the EULAR–OMERACT rheumatoid arthritis MRI reference image atlas. With this atlas, MRIs of wrist and metacarpophalangeal joints of patients with rheumatoid arthritis can be scored for synovitis, bone oedema, and bone erosion, guided by standard reference images.","DOI":"10.1136/ard.2004.031773","ISSN":", 1468-2060","note":"PMID: 15647420","journalAbbreviation":"Ann Rheum Dis","language":"en","author":[{"family":"Østergaard","given":"M."},{"family":"Edmonds","given":"J."},{"family":"McQueen","given":"F."},{"family":"Peterfy","given":"C."},{"family":"Lassere","given":"M."},{"family":"Ejbjerg","given":"B."},{"family":"Bird","given":"P."},{"family":"Emery","given":"P."},{"family":"Genant","given":"H."},{"family":"Conaghan","given":"P."}],"issued":{"date-parts":[["2005",2,1]]},"PMID":"15647420"}},{"id":"XRuSPVtf/CXeGAv43","uris":["http://zotero.org/users/1562813/items/2WU6K8VX"],"uri":["http://zotero.org/users/1562813/items/2WU6K8VX"],"itemData":{"id":12,"type":"article-journal","title":"Introduction of a novel magnetic resonance imaging tenosynovitis score for rheumatoid arthritis: reliability in a multireader longitudinal study","container-title":"Annals of the Rheumatic Diseases","page":"1216-1220","volume":"66","issue":"9","source":"PubMed Central","abstract":"Objectives\nTo describe a novel scoring system for the assessment of tenosynovitis by magnetic resonance imaging (MRI) in patients with rheumatoid arthritis, and assess its intra</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 xml:space="preserve"> and inter</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reader reliability in a multireader, longitudinal setting.\n\nMethods\nFlexor and extensor tenosynovitis were evaluated at the level of the wrist in 10 different anatomical areas, graded semi</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quantitatively from grade 0 to 3 (total score 0–30), based on the maximum width of post</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contrast enhancement within each anatomical area on axial T1</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weighted MR images. Ten sets of baseline and 1</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year follow</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up MR images of the wrists of patients with rheumatoid arthritis with early and established disease were scored independently by four readers twice on 2 consecutive days. Intra</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 xml:space="preserve"> and inter</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reader agreements were evaluated.\n\nResults\nThe intrareader intraclass correlation coefficients (ICCs) were high for status scores (median ICCs 0.84–0.88) and slightly lower for change score (0.74). The smallest detectable difference (SDD) in % of the maximum score was 11.2–11.5% for status scores and 13.3% for change scores. Inter</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reader single</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measure ICCs were acceptable for both status scores (median 0.73–0.74) and change scores (0.67), while average</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 xml:space="preserve">measures ICCs were very high for both status and change score (all </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0.94). The median scoring time per patient (baseline and follow</w:instrText>
      </w:r>
      <w:r w:rsidR="00BE6540" w:rsidRPr="0047691B">
        <w:rPr>
          <w:rFonts w:ascii="Cambria Math" w:hAnsi="Cambria Math" w:cs="Cambria Math"/>
          <w:sz w:val="24"/>
          <w:szCs w:val="24"/>
        </w:rPr>
        <w:instrText>‐</w:instrText>
      </w:r>
      <w:r w:rsidR="00BE6540" w:rsidRPr="0047691B">
        <w:rPr>
          <w:rFonts w:ascii="Times New Roman" w:hAnsi="Times New Roman" w:cs="Times New Roman"/>
          <w:sz w:val="24"/>
          <w:szCs w:val="24"/>
        </w:rPr>
        <w:instrText xml:space="preserve">up images) was 7 min (range 3–10).\n\nConclusions\nThe introduced tenosynovitis scoring system demonstrates a high degree of multireader reliability, is feasible, and may be used as an adjuvant to the existing OMERACT RAMRIS score, allowing improved quantification of inflammatory soft tissue changes in patients with rheumatoid arthritis.","DOI":"10.1136/ard.2006.068361","ISSN":"0003-4967","note":"PMID: 17392347\nPMCID: PMC1955157","shortTitle":"Introduction of a novel magnetic resonance imaging tenosynovitis score for rheumatoid arthritis","journalAbbreviation":"Ann Rheum Dis","author":[{"family":"Haavardsholm","given":"Espen A"},{"family":"?stergaard","given":"Mikkel"},{"family":"Ejbjerg","given":"Bo J"},{"family":"Kvan","given":"Nils P"},{"family":"Kvien","given":"Tore K"}],"issued":{"date-parts":[["2007",9]]},"PMID":"17392347","PMCID":"PMC1955157"}}],"schema":"https://github.com/citation-style-language/schema/raw/master/csl-citation.json"} </w:instrText>
      </w:r>
      <w:r w:rsidRPr="00577DAA">
        <w:rPr>
          <w:rFonts w:ascii="Times New Roman" w:hAnsi="Times New Roman" w:cs="Times New Roman"/>
          <w:sz w:val="24"/>
          <w:szCs w:val="24"/>
        </w:rPr>
        <w:fldChar w:fldCharType="separate"/>
      </w:r>
      <w:r w:rsidR="00BE6540" w:rsidRPr="0047691B">
        <w:rPr>
          <w:rFonts w:ascii="Times New Roman" w:hAnsi="Times New Roman" w:cs="Times New Roman"/>
          <w:sz w:val="24"/>
          <w:szCs w:val="24"/>
        </w:rPr>
        <w:t>[4,5]</w:t>
      </w:r>
      <w:r w:rsidRPr="00577DAA">
        <w:rPr>
          <w:rFonts w:ascii="Times New Roman" w:hAnsi="Times New Roman" w:cs="Times New Roman"/>
          <w:sz w:val="24"/>
          <w:szCs w:val="24"/>
        </w:rPr>
        <w:fldChar w:fldCharType="end"/>
      </w:r>
      <w:r w:rsidRPr="00577DAA">
        <w:rPr>
          <w:rFonts w:ascii="Times New Roman" w:hAnsi="Times New Roman" w:cs="Times New Roman"/>
          <w:sz w:val="24"/>
          <w:szCs w:val="24"/>
        </w:rPr>
        <w:t xml:space="preserve"> BME was depicted on a contrast enhanced T1-weigthed fat suppressed sequence</w:t>
      </w:r>
      <w:r w:rsidRPr="00577DAA" w:rsidDel="00C974BA">
        <w:rPr>
          <w:rFonts w:ascii="Times New Roman" w:hAnsi="Times New Roman" w:cs="Times New Roman"/>
          <w:sz w:val="24"/>
          <w:szCs w:val="24"/>
        </w:rPr>
        <w:t xml:space="preserve"> </w:t>
      </w:r>
      <w:r w:rsidRPr="00577DAA">
        <w:rPr>
          <w:rFonts w:ascii="Times New Roman" w:hAnsi="Times New Roman" w:cs="Times New Roman"/>
          <w:sz w:val="24"/>
          <w:szCs w:val="24"/>
        </w:rPr>
        <w:t xml:space="preserve">and also scored on a 0-3 scale based on the affected volume of the bone (no BME, &gt;0-33%, &gt;33-66%, &gt;66%). The scores of all joints were summed and the total BME, synovitis and tenosynovitis scored were summed as well, yielding the total MRI-inflammation-score. </w:t>
      </w:r>
    </w:p>
    <w:p w:rsidR="00BC3440" w:rsidRPr="00577DAA" w:rsidRDefault="00BC3440" w:rsidP="00BC3440">
      <w:pPr>
        <w:spacing w:after="0" w:line="480" w:lineRule="auto"/>
        <w:rPr>
          <w:rFonts w:ascii="Times New Roman" w:hAnsi="Times New Roman" w:cs="Times New Roman"/>
          <w:sz w:val="24"/>
          <w:szCs w:val="24"/>
        </w:rPr>
      </w:pPr>
    </w:p>
    <w:p w:rsidR="00BC3440" w:rsidRPr="00577DAA" w:rsidRDefault="00BC3440" w:rsidP="00BC3440">
      <w:pPr>
        <w:rPr>
          <w:rFonts w:ascii="Times New Roman" w:hAnsi="Times New Roman" w:cs="Times New Roman"/>
          <w:b/>
          <w:sz w:val="24"/>
          <w:szCs w:val="24"/>
          <w:lang w:val="nl-NL"/>
        </w:rPr>
      </w:pPr>
      <w:proofErr w:type="spellStart"/>
      <w:r w:rsidRPr="00577DAA">
        <w:rPr>
          <w:rFonts w:ascii="Times New Roman" w:hAnsi="Times New Roman" w:cs="Times New Roman"/>
          <w:b/>
          <w:sz w:val="24"/>
          <w:szCs w:val="24"/>
          <w:lang w:val="nl-NL"/>
        </w:rPr>
        <w:t>References</w:t>
      </w:r>
      <w:proofErr w:type="spellEnd"/>
    </w:p>
    <w:p w:rsidR="0047691B" w:rsidRPr="0047691B" w:rsidRDefault="00BC3440" w:rsidP="0047691B">
      <w:pPr>
        <w:pStyle w:val="Bibliography"/>
        <w:rPr>
          <w:rFonts w:ascii="Times New Roman" w:hAnsi="Times New Roman" w:cs="Times New Roman"/>
          <w:sz w:val="24"/>
        </w:rPr>
      </w:pPr>
      <w:r w:rsidRPr="00577DAA">
        <w:fldChar w:fldCharType="begin"/>
      </w:r>
      <w:r w:rsidR="0047691B">
        <w:rPr>
          <w:lang w:val="nl-NL"/>
        </w:rPr>
        <w:instrText xml:space="preserve"> ADDIN ZOTERO_BIBL {"uncited":[],"omitted":[],"custom":[]} CSL_BIBLIOGRAPHY </w:instrText>
      </w:r>
      <w:r w:rsidRPr="00577DAA">
        <w:fldChar w:fldCharType="separate"/>
      </w:r>
      <w:r w:rsidR="0047691B" w:rsidRPr="0047691B">
        <w:rPr>
          <w:rFonts w:ascii="Times New Roman" w:hAnsi="Times New Roman" w:cs="Times New Roman"/>
          <w:sz w:val="24"/>
          <w:lang w:val="nl-NL"/>
        </w:rPr>
        <w:t xml:space="preserve">1 </w:t>
      </w:r>
      <w:r w:rsidR="0047691B" w:rsidRPr="0047691B">
        <w:rPr>
          <w:rFonts w:ascii="Times New Roman" w:hAnsi="Times New Roman" w:cs="Times New Roman"/>
          <w:sz w:val="24"/>
          <w:lang w:val="nl-NL"/>
        </w:rPr>
        <w:tab/>
        <w:t xml:space="preserve">Stomp W, Krabben A, Heijde D van der, </w:t>
      </w:r>
      <w:r w:rsidR="0047691B" w:rsidRPr="0047691B">
        <w:rPr>
          <w:rFonts w:ascii="Times New Roman" w:hAnsi="Times New Roman" w:cs="Times New Roman"/>
          <w:i/>
          <w:iCs/>
          <w:sz w:val="24"/>
          <w:lang w:val="nl-NL"/>
        </w:rPr>
        <w:t>et al.</w:t>
      </w:r>
      <w:r w:rsidR="0047691B" w:rsidRPr="0047691B">
        <w:rPr>
          <w:rFonts w:ascii="Times New Roman" w:hAnsi="Times New Roman" w:cs="Times New Roman"/>
          <w:sz w:val="24"/>
          <w:lang w:val="nl-NL"/>
        </w:rPr>
        <w:t xml:space="preserve"> </w:t>
      </w:r>
      <w:r w:rsidR="0047691B" w:rsidRPr="0047691B">
        <w:rPr>
          <w:rFonts w:ascii="Times New Roman" w:hAnsi="Times New Roman" w:cs="Times New Roman"/>
          <w:sz w:val="24"/>
        </w:rPr>
        <w:t xml:space="preserve">Aiming for a shorter rheumatoid arthritis MRI protocol: can contrast-enhanced MRI replace T2 for the detection of bone marrow oedema? </w:t>
      </w:r>
      <w:r w:rsidR="0047691B" w:rsidRPr="0047691B">
        <w:rPr>
          <w:rFonts w:ascii="Times New Roman" w:hAnsi="Times New Roman" w:cs="Times New Roman"/>
          <w:i/>
          <w:iCs/>
          <w:sz w:val="24"/>
        </w:rPr>
        <w:t>Eur Radiol</w:t>
      </w:r>
      <w:r w:rsidR="0047691B" w:rsidRPr="0047691B">
        <w:rPr>
          <w:rFonts w:ascii="Times New Roman" w:hAnsi="Times New Roman" w:cs="Times New Roman"/>
          <w:sz w:val="24"/>
        </w:rPr>
        <w:t xml:space="preserve"> 2014;</w:t>
      </w:r>
      <w:r w:rsidR="0047691B" w:rsidRPr="0047691B">
        <w:rPr>
          <w:rFonts w:ascii="Times New Roman" w:hAnsi="Times New Roman" w:cs="Times New Roman"/>
          <w:b/>
          <w:bCs/>
          <w:sz w:val="24"/>
        </w:rPr>
        <w:t>24</w:t>
      </w:r>
      <w:r w:rsidR="0047691B" w:rsidRPr="0047691B">
        <w:rPr>
          <w:rFonts w:ascii="Times New Roman" w:hAnsi="Times New Roman" w:cs="Times New Roman"/>
          <w:sz w:val="24"/>
        </w:rPr>
        <w:t>:2614–22. doi:10.1007/s00330-014-3272-0</w:t>
      </w:r>
    </w:p>
    <w:p w:rsidR="0047691B" w:rsidRPr="0047691B" w:rsidRDefault="0047691B" w:rsidP="0047691B">
      <w:pPr>
        <w:pStyle w:val="Bibliography"/>
        <w:rPr>
          <w:rFonts w:ascii="Times New Roman" w:hAnsi="Times New Roman" w:cs="Times New Roman"/>
          <w:sz w:val="24"/>
        </w:rPr>
      </w:pPr>
      <w:r w:rsidRPr="0047691B">
        <w:rPr>
          <w:rFonts w:ascii="Times New Roman" w:hAnsi="Times New Roman" w:cs="Times New Roman"/>
          <w:sz w:val="24"/>
        </w:rPr>
        <w:t xml:space="preserve">2 </w:t>
      </w:r>
      <w:r w:rsidRPr="0047691B">
        <w:rPr>
          <w:rFonts w:ascii="Times New Roman" w:hAnsi="Times New Roman" w:cs="Times New Roman"/>
          <w:sz w:val="24"/>
        </w:rPr>
        <w:tab/>
        <w:t xml:space="preserve">Schmid MR, Hodler J, Vienne P, </w:t>
      </w:r>
      <w:r w:rsidRPr="0047691B">
        <w:rPr>
          <w:rFonts w:ascii="Times New Roman" w:hAnsi="Times New Roman" w:cs="Times New Roman"/>
          <w:i/>
          <w:iCs/>
          <w:sz w:val="24"/>
        </w:rPr>
        <w:t>et al.</w:t>
      </w:r>
      <w:r w:rsidRPr="0047691B">
        <w:rPr>
          <w:rFonts w:ascii="Times New Roman" w:hAnsi="Times New Roman" w:cs="Times New Roman"/>
          <w:sz w:val="24"/>
        </w:rPr>
        <w:t xml:space="preserve"> Bone Marrow Abnormalities of Foot and Ankle: STIR versus T1-weighted Contrast-enhanced Fat-suppressed Spin-Echo MR Imaging. </w:t>
      </w:r>
      <w:r w:rsidRPr="0047691B">
        <w:rPr>
          <w:rFonts w:ascii="Times New Roman" w:hAnsi="Times New Roman" w:cs="Times New Roman"/>
          <w:i/>
          <w:iCs/>
          <w:sz w:val="24"/>
        </w:rPr>
        <w:t>Radiology</w:t>
      </w:r>
      <w:r w:rsidRPr="0047691B">
        <w:rPr>
          <w:rFonts w:ascii="Times New Roman" w:hAnsi="Times New Roman" w:cs="Times New Roman"/>
          <w:sz w:val="24"/>
        </w:rPr>
        <w:t xml:space="preserve"> 2002;</w:t>
      </w:r>
      <w:r w:rsidRPr="0047691B">
        <w:rPr>
          <w:rFonts w:ascii="Times New Roman" w:hAnsi="Times New Roman" w:cs="Times New Roman"/>
          <w:b/>
          <w:bCs/>
          <w:sz w:val="24"/>
        </w:rPr>
        <w:t>224</w:t>
      </w:r>
      <w:r w:rsidRPr="0047691B">
        <w:rPr>
          <w:rFonts w:ascii="Times New Roman" w:hAnsi="Times New Roman" w:cs="Times New Roman"/>
          <w:sz w:val="24"/>
        </w:rPr>
        <w:t>:463–9. doi:10.1148/radiol.2242011252</w:t>
      </w:r>
    </w:p>
    <w:p w:rsidR="0047691B" w:rsidRPr="0047691B" w:rsidRDefault="0047691B" w:rsidP="0047691B">
      <w:pPr>
        <w:pStyle w:val="Bibliography"/>
        <w:rPr>
          <w:rFonts w:ascii="Times New Roman" w:hAnsi="Times New Roman" w:cs="Times New Roman"/>
          <w:sz w:val="24"/>
          <w:lang w:val="nl-NL"/>
        </w:rPr>
      </w:pPr>
      <w:r w:rsidRPr="0047691B">
        <w:rPr>
          <w:rFonts w:ascii="Times New Roman" w:hAnsi="Times New Roman" w:cs="Times New Roman"/>
          <w:sz w:val="24"/>
        </w:rPr>
        <w:t xml:space="preserve">3 </w:t>
      </w:r>
      <w:r w:rsidRPr="0047691B">
        <w:rPr>
          <w:rFonts w:ascii="Times New Roman" w:hAnsi="Times New Roman" w:cs="Times New Roman"/>
          <w:sz w:val="24"/>
        </w:rPr>
        <w:tab/>
        <w:t xml:space="preserve">Mayerhoefer ME, Breitenseher MJ, Kramer J, </w:t>
      </w:r>
      <w:r w:rsidRPr="0047691B">
        <w:rPr>
          <w:rFonts w:ascii="Times New Roman" w:hAnsi="Times New Roman" w:cs="Times New Roman"/>
          <w:i/>
          <w:iCs/>
          <w:sz w:val="24"/>
        </w:rPr>
        <w:t>et al.</w:t>
      </w:r>
      <w:r w:rsidRPr="0047691B">
        <w:rPr>
          <w:rFonts w:ascii="Times New Roman" w:hAnsi="Times New Roman" w:cs="Times New Roman"/>
          <w:sz w:val="24"/>
        </w:rPr>
        <w:t xml:space="preserve"> STIR vs. T1-weighted fat-suppressed gadolinium-enhanced MRI of bone marrow edema of the knee: Computer-assisted </w:t>
      </w:r>
      <w:r w:rsidRPr="0047691B">
        <w:rPr>
          <w:rFonts w:ascii="Times New Roman" w:hAnsi="Times New Roman" w:cs="Times New Roman"/>
          <w:sz w:val="24"/>
        </w:rPr>
        <w:lastRenderedPageBreak/>
        <w:t xml:space="preserve">quantitative comparison and influence of injected contrast media volume and acquisition parameters. </w:t>
      </w:r>
      <w:r w:rsidRPr="0047691B">
        <w:rPr>
          <w:rFonts w:ascii="Times New Roman" w:hAnsi="Times New Roman" w:cs="Times New Roman"/>
          <w:i/>
          <w:iCs/>
          <w:sz w:val="24"/>
          <w:lang w:val="nl-NL"/>
        </w:rPr>
        <w:t>J Magn Reson Imaging</w:t>
      </w:r>
      <w:r w:rsidRPr="0047691B">
        <w:rPr>
          <w:rFonts w:ascii="Times New Roman" w:hAnsi="Times New Roman" w:cs="Times New Roman"/>
          <w:sz w:val="24"/>
          <w:lang w:val="nl-NL"/>
        </w:rPr>
        <w:t xml:space="preserve"> 2005;</w:t>
      </w:r>
      <w:r w:rsidRPr="0047691B">
        <w:rPr>
          <w:rFonts w:ascii="Times New Roman" w:hAnsi="Times New Roman" w:cs="Times New Roman"/>
          <w:b/>
          <w:bCs/>
          <w:sz w:val="24"/>
          <w:lang w:val="nl-NL"/>
        </w:rPr>
        <w:t>22</w:t>
      </w:r>
      <w:r w:rsidRPr="0047691B">
        <w:rPr>
          <w:rFonts w:ascii="Times New Roman" w:hAnsi="Times New Roman" w:cs="Times New Roman"/>
          <w:sz w:val="24"/>
          <w:lang w:val="nl-NL"/>
        </w:rPr>
        <w:t>:788–93. doi:10.1002/jmri.20439</w:t>
      </w:r>
    </w:p>
    <w:p w:rsidR="0047691B" w:rsidRPr="0047691B" w:rsidRDefault="0047691B" w:rsidP="0047691B">
      <w:pPr>
        <w:pStyle w:val="Bibliography"/>
        <w:rPr>
          <w:rFonts w:ascii="Times New Roman" w:hAnsi="Times New Roman" w:cs="Times New Roman"/>
          <w:sz w:val="24"/>
          <w:lang w:val="nl-NL"/>
        </w:rPr>
      </w:pPr>
      <w:r w:rsidRPr="0047691B">
        <w:rPr>
          <w:rFonts w:ascii="Times New Roman" w:hAnsi="Times New Roman" w:cs="Times New Roman"/>
          <w:sz w:val="24"/>
          <w:lang w:val="nl-NL"/>
        </w:rPr>
        <w:t xml:space="preserve">4 </w:t>
      </w:r>
      <w:r w:rsidRPr="0047691B">
        <w:rPr>
          <w:rFonts w:ascii="Times New Roman" w:hAnsi="Times New Roman" w:cs="Times New Roman"/>
          <w:sz w:val="24"/>
          <w:lang w:val="nl-NL"/>
        </w:rPr>
        <w:tab/>
        <w:t xml:space="preserve">Østergaard M, Edmonds J, McQueen F, </w:t>
      </w:r>
      <w:r w:rsidRPr="0047691B">
        <w:rPr>
          <w:rFonts w:ascii="Times New Roman" w:hAnsi="Times New Roman" w:cs="Times New Roman"/>
          <w:i/>
          <w:iCs/>
          <w:sz w:val="24"/>
          <w:lang w:val="nl-NL"/>
        </w:rPr>
        <w:t>et al.</w:t>
      </w:r>
      <w:r w:rsidRPr="0047691B">
        <w:rPr>
          <w:rFonts w:ascii="Times New Roman" w:hAnsi="Times New Roman" w:cs="Times New Roman"/>
          <w:sz w:val="24"/>
          <w:lang w:val="nl-NL"/>
        </w:rPr>
        <w:t xml:space="preserve"> </w:t>
      </w:r>
      <w:r w:rsidRPr="0047691B">
        <w:rPr>
          <w:rFonts w:ascii="Times New Roman" w:hAnsi="Times New Roman" w:cs="Times New Roman"/>
          <w:sz w:val="24"/>
        </w:rPr>
        <w:t xml:space="preserve">An introduction to the EULAR–OMERACT rheumatoid arthritis MRI reference image atlas. </w:t>
      </w:r>
      <w:r w:rsidRPr="0047691B">
        <w:rPr>
          <w:rFonts w:ascii="Times New Roman" w:hAnsi="Times New Roman" w:cs="Times New Roman"/>
          <w:i/>
          <w:iCs/>
          <w:sz w:val="24"/>
          <w:lang w:val="nl-NL"/>
        </w:rPr>
        <w:t>Ann Rheum Dis</w:t>
      </w:r>
      <w:r w:rsidRPr="0047691B">
        <w:rPr>
          <w:rFonts w:ascii="Times New Roman" w:hAnsi="Times New Roman" w:cs="Times New Roman"/>
          <w:sz w:val="24"/>
          <w:lang w:val="nl-NL"/>
        </w:rPr>
        <w:t xml:space="preserve"> 2005;</w:t>
      </w:r>
      <w:r w:rsidRPr="0047691B">
        <w:rPr>
          <w:rFonts w:ascii="Times New Roman" w:hAnsi="Times New Roman" w:cs="Times New Roman"/>
          <w:b/>
          <w:bCs/>
          <w:sz w:val="24"/>
          <w:lang w:val="nl-NL"/>
        </w:rPr>
        <w:t>64</w:t>
      </w:r>
      <w:r w:rsidRPr="0047691B">
        <w:rPr>
          <w:rFonts w:ascii="Times New Roman" w:hAnsi="Times New Roman" w:cs="Times New Roman"/>
          <w:sz w:val="24"/>
          <w:lang w:val="nl-NL"/>
        </w:rPr>
        <w:t>:i3–7. doi:10.1136/ard.2004.031773</w:t>
      </w:r>
    </w:p>
    <w:p w:rsidR="0047691B" w:rsidRPr="0047691B" w:rsidRDefault="0047691B" w:rsidP="0047691B">
      <w:pPr>
        <w:pStyle w:val="Bibliography"/>
        <w:rPr>
          <w:rFonts w:ascii="Times New Roman" w:hAnsi="Times New Roman" w:cs="Times New Roman"/>
          <w:sz w:val="24"/>
        </w:rPr>
      </w:pPr>
      <w:r w:rsidRPr="0047691B">
        <w:rPr>
          <w:rFonts w:ascii="Times New Roman" w:hAnsi="Times New Roman" w:cs="Times New Roman"/>
          <w:sz w:val="24"/>
          <w:lang w:val="nl-NL"/>
        </w:rPr>
        <w:t xml:space="preserve">5 </w:t>
      </w:r>
      <w:r w:rsidRPr="0047691B">
        <w:rPr>
          <w:rFonts w:ascii="Times New Roman" w:hAnsi="Times New Roman" w:cs="Times New Roman"/>
          <w:sz w:val="24"/>
          <w:lang w:val="nl-NL"/>
        </w:rPr>
        <w:tab/>
        <w:t xml:space="preserve">Haavardsholm EA, Østergaard M, Ejbjerg BJ, </w:t>
      </w:r>
      <w:r w:rsidRPr="0047691B">
        <w:rPr>
          <w:rFonts w:ascii="Times New Roman" w:hAnsi="Times New Roman" w:cs="Times New Roman"/>
          <w:i/>
          <w:iCs/>
          <w:sz w:val="24"/>
          <w:lang w:val="nl-NL"/>
        </w:rPr>
        <w:t>et al.</w:t>
      </w:r>
      <w:r w:rsidRPr="0047691B">
        <w:rPr>
          <w:rFonts w:ascii="Times New Roman" w:hAnsi="Times New Roman" w:cs="Times New Roman"/>
          <w:sz w:val="24"/>
          <w:lang w:val="nl-NL"/>
        </w:rPr>
        <w:t xml:space="preserve"> </w:t>
      </w:r>
      <w:r w:rsidRPr="0047691B">
        <w:rPr>
          <w:rFonts w:ascii="Times New Roman" w:hAnsi="Times New Roman" w:cs="Times New Roman"/>
          <w:sz w:val="24"/>
        </w:rPr>
        <w:t xml:space="preserve">Introduction of a novel magnetic resonance imaging tenosynovitis score for rheumatoid arthritis: reliability in a multireader longitudinal study. </w:t>
      </w:r>
      <w:r w:rsidRPr="0047691B">
        <w:rPr>
          <w:rFonts w:ascii="Times New Roman" w:hAnsi="Times New Roman" w:cs="Times New Roman"/>
          <w:i/>
          <w:iCs/>
          <w:sz w:val="24"/>
        </w:rPr>
        <w:t>Ann Rheum Dis</w:t>
      </w:r>
      <w:r w:rsidRPr="0047691B">
        <w:rPr>
          <w:rFonts w:ascii="Times New Roman" w:hAnsi="Times New Roman" w:cs="Times New Roman"/>
          <w:sz w:val="24"/>
        </w:rPr>
        <w:t xml:space="preserve"> 2007;</w:t>
      </w:r>
      <w:r w:rsidRPr="0047691B">
        <w:rPr>
          <w:rFonts w:ascii="Times New Roman" w:hAnsi="Times New Roman" w:cs="Times New Roman"/>
          <w:b/>
          <w:bCs/>
          <w:sz w:val="24"/>
        </w:rPr>
        <w:t>66</w:t>
      </w:r>
      <w:r w:rsidRPr="0047691B">
        <w:rPr>
          <w:rFonts w:ascii="Times New Roman" w:hAnsi="Times New Roman" w:cs="Times New Roman"/>
          <w:sz w:val="24"/>
        </w:rPr>
        <w:t>:1216–20. doi:10.1136/ard.2006.068361</w:t>
      </w:r>
    </w:p>
    <w:p w:rsidR="00BC3440" w:rsidRPr="00B25BA8" w:rsidRDefault="00BC3440" w:rsidP="00BC3440">
      <w:pPr>
        <w:spacing w:after="240"/>
        <w:rPr>
          <w:rFonts w:ascii="Times New Roman" w:hAnsi="Times New Roman" w:cs="Times New Roman"/>
          <w:sz w:val="24"/>
          <w:szCs w:val="24"/>
          <w:lang w:val="en-US"/>
        </w:rPr>
      </w:pPr>
      <w:r w:rsidRPr="00577DAA">
        <w:rPr>
          <w:rFonts w:ascii="Times New Roman" w:hAnsi="Times New Roman" w:cs="Times New Roman"/>
          <w:sz w:val="24"/>
          <w:szCs w:val="24"/>
        </w:rPr>
        <w:fldChar w:fldCharType="end"/>
      </w:r>
    </w:p>
    <w:p w:rsidR="00BC3440" w:rsidRPr="00577DAA" w:rsidRDefault="00BC3440" w:rsidP="00BC3440">
      <w:pPr>
        <w:rPr>
          <w:rFonts w:ascii="Times New Roman" w:hAnsi="Times New Roman" w:cs="Times New Roman"/>
          <w:sz w:val="24"/>
          <w:szCs w:val="24"/>
        </w:rPr>
      </w:pPr>
    </w:p>
    <w:p w:rsidR="0020388D" w:rsidRDefault="0020388D">
      <w:r>
        <w:br w:type="page"/>
      </w:r>
    </w:p>
    <w:p w:rsidR="00511C3D" w:rsidRDefault="0020388D" w:rsidP="0020388D">
      <w:pPr>
        <w:pStyle w:val="Heading2"/>
      </w:pPr>
      <w:bookmarkStart w:id="1" w:name="_GoBack"/>
      <w:bookmarkEnd w:id="1"/>
      <w:r w:rsidRPr="0020388D">
        <w:lastRenderedPageBreak/>
        <w:t>Supplementary Figure</w:t>
      </w:r>
      <w:r>
        <w:t xml:space="preserve"> 1</w:t>
      </w:r>
      <w:r w:rsidRPr="0020388D">
        <w:t xml:space="preserve">. </w:t>
      </w:r>
      <w:r w:rsidR="00EB6B5A">
        <w:t>Mean s</w:t>
      </w:r>
      <w:r w:rsidR="00EB6B5A" w:rsidRPr="0020388D">
        <w:t xml:space="preserve">cores </w:t>
      </w:r>
      <w:r w:rsidRPr="0020388D">
        <w:t>of MRI-detected inflammatory features (</w:t>
      </w:r>
      <w:bookmarkStart w:id="2" w:name="_Hlk536700693"/>
      <w:r w:rsidR="00B25011" w:rsidRPr="0020388D">
        <w:t>Tenosynovitis</w:t>
      </w:r>
      <w:r w:rsidR="00B25011">
        <w:t xml:space="preserve">, Synovitis, </w:t>
      </w:r>
      <w:r w:rsidRPr="0020388D">
        <w:t xml:space="preserve">Bone Marrow </w:t>
      </w:r>
      <w:proofErr w:type="spellStart"/>
      <w:r w:rsidRPr="0020388D">
        <w:t>Edema</w:t>
      </w:r>
      <w:bookmarkEnd w:id="2"/>
      <w:proofErr w:type="spellEnd"/>
      <w:r w:rsidRPr="0020388D">
        <w:t>) over time for patients with and without resolution of symptoms</w:t>
      </w:r>
    </w:p>
    <w:p w:rsidR="0020388D" w:rsidRDefault="00B25011" w:rsidP="0020388D">
      <w:r>
        <w:rPr>
          <w:noProof/>
          <w:lang w:eastAsia="en-GB"/>
        </w:rPr>
        <w:drawing>
          <wp:inline distT="0" distB="0" distL="0" distR="0" wp14:anchorId="009BD886" wp14:editId="75CE494B">
            <wp:extent cx="4742014" cy="62103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1.tif"/>
                    <pic:cNvPicPr/>
                  </pic:nvPicPr>
                  <pic:blipFill rotWithShape="1">
                    <a:blip r:embed="rId8" cstate="print">
                      <a:extLst>
                        <a:ext uri="{28A0092B-C50C-407E-A947-70E740481C1C}">
                          <a14:useLocalDpi xmlns:a14="http://schemas.microsoft.com/office/drawing/2010/main" val="0"/>
                        </a:ext>
                      </a:extLst>
                    </a:blip>
                    <a:srcRect t="3174" b="2742"/>
                    <a:stretch/>
                  </pic:blipFill>
                  <pic:spPr bwMode="auto">
                    <a:xfrm>
                      <a:off x="0" y="0"/>
                      <a:ext cx="4747260" cy="6217171"/>
                    </a:xfrm>
                    <a:prstGeom prst="rect">
                      <a:avLst/>
                    </a:prstGeom>
                    <a:ln>
                      <a:noFill/>
                    </a:ln>
                    <a:extLst>
                      <a:ext uri="{53640926-AAD7-44D8-BBD7-CCE9431645EC}">
                        <a14:shadowObscured xmlns:a14="http://schemas.microsoft.com/office/drawing/2010/main"/>
                      </a:ext>
                    </a:extLst>
                  </pic:spPr>
                </pic:pic>
              </a:graphicData>
            </a:graphic>
          </wp:inline>
        </w:drawing>
      </w:r>
    </w:p>
    <w:p w:rsidR="00164048" w:rsidRPr="00B22DD7" w:rsidRDefault="00164048" w:rsidP="00B25011">
      <w:pPr>
        <w:spacing w:after="0" w:line="360" w:lineRule="auto"/>
        <w:rPr>
          <w:rFonts w:ascii="Times New Roman" w:hAnsi="Times New Roman" w:cs="Times New Roman"/>
          <w:sz w:val="24"/>
          <w:szCs w:val="24"/>
          <w:lang w:val="en-US"/>
        </w:rPr>
      </w:pPr>
      <w:r w:rsidRPr="00B22DD7">
        <w:rPr>
          <w:rFonts w:ascii="Times New Roman" w:hAnsi="Times New Roman" w:cs="Times New Roman"/>
          <w:b/>
          <w:sz w:val="24"/>
          <w:szCs w:val="24"/>
          <w:lang w:val="en-US"/>
        </w:rPr>
        <w:t>Legend</w:t>
      </w:r>
      <w:r w:rsidRPr="00B22DD7">
        <w:rPr>
          <w:rFonts w:ascii="Times New Roman" w:hAnsi="Times New Roman" w:cs="Times New Roman"/>
          <w:sz w:val="24"/>
          <w:szCs w:val="24"/>
          <w:lang w:val="en-US"/>
        </w:rPr>
        <w:t>:</w:t>
      </w:r>
    </w:p>
    <w:p w:rsidR="0020388D" w:rsidRPr="0020388D" w:rsidRDefault="00164048" w:rsidP="00B25011">
      <w:pPr>
        <w:spacing w:line="360" w:lineRule="auto"/>
      </w:pPr>
      <w:r>
        <w:rPr>
          <w:rStyle w:val="Heading1Char"/>
          <w:b w:val="0"/>
          <w:lang w:val="en-US"/>
        </w:rPr>
        <w:t>BME = Bone Marrow Edema; N.S. indicates non-significance at the P &lt; 0.05 level.</w:t>
      </w:r>
    </w:p>
    <w:sectPr w:rsidR="0020388D" w:rsidRPr="0020388D" w:rsidSect="005E202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696" w:rsidRDefault="004D3696" w:rsidP="004810DD">
      <w:pPr>
        <w:spacing w:after="0" w:line="240" w:lineRule="auto"/>
      </w:pPr>
      <w:r>
        <w:separator/>
      </w:r>
    </w:p>
  </w:endnote>
  <w:endnote w:type="continuationSeparator" w:id="0">
    <w:p w:rsidR="004D3696" w:rsidRDefault="004D3696" w:rsidP="0048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07423"/>
      <w:docPartObj>
        <w:docPartGallery w:val="Page Numbers (Bottom of Page)"/>
        <w:docPartUnique/>
      </w:docPartObj>
    </w:sdtPr>
    <w:sdtEndPr>
      <w:rPr>
        <w:noProof/>
      </w:rPr>
    </w:sdtEndPr>
    <w:sdtContent>
      <w:p w:rsidR="004810DD" w:rsidRDefault="004810DD">
        <w:pPr>
          <w:pStyle w:val="Footer"/>
          <w:jc w:val="right"/>
        </w:pPr>
        <w:r>
          <w:fldChar w:fldCharType="begin"/>
        </w:r>
        <w:r>
          <w:instrText xml:space="preserve"> PAGE   \* MERGEFORMAT </w:instrText>
        </w:r>
        <w:r>
          <w:fldChar w:fldCharType="separate"/>
        </w:r>
        <w:r w:rsidR="001C21D3">
          <w:rPr>
            <w:noProof/>
          </w:rPr>
          <w:t>5</w:t>
        </w:r>
        <w:r>
          <w:rPr>
            <w:noProof/>
          </w:rPr>
          <w:fldChar w:fldCharType="end"/>
        </w:r>
      </w:p>
    </w:sdtContent>
  </w:sdt>
  <w:p w:rsidR="004810DD" w:rsidRDefault="0048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696" w:rsidRDefault="004D3696" w:rsidP="004810DD">
      <w:pPr>
        <w:spacing w:after="0" w:line="240" w:lineRule="auto"/>
      </w:pPr>
      <w:r>
        <w:separator/>
      </w:r>
    </w:p>
  </w:footnote>
  <w:footnote w:type="continuationSeparator" w:id="0">
    <w:p w:rsidR="004D3696" w:rsidRDefault="004D3696" w:rsidP="00481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40"/>
    <w:rsid w:val="00024C47"/>
    <w:rsid w:val="000420A7"/>
    <w:rsid w:val="00086D9C"/>
    <w:rsid w:val="000B2300"/>
    <w:rsid w:val="0011677A"/>
    <w:rsid w:val="00164048"/>
    <w:rsid w:val="001C21D3"/>
    <w:rsid w:val="0020388D"/>
    <w:rsid w:val="002A4938"/>
    <w:rsid w:val="002D021E"/>
    <w:rsid w:val="002F61CA"/>
    <w:rsid w:val="00302284"/>
    <w:rsid w:val="00372422"/>
    <w:rsid w:val="003943EE"/>
    <w:rsid w:val="004327A3"/>
    <w:rsid w:val="004423DC"/>
    <w:rsid w:val="00445958"/>
    <w:rsid w:val="00463BE9"/>
    <w:rsid w:val="0047691B"/>
    <w:rsid w:val="004810DD"/>
    <w:rsid w:val="004A7507"/>
    <w:rsid w:val="004D3696"/>
    <w:rsid w:val="0050674D"/>
    <w:rsid w:val="00530786"/>
    <w:rsid w:val="00541D10"/>
    <w:rsid w:val="00576927"/>
    <w:rsid w:val="0058476A"/>
    <w:rsid w:val="00586216"/>
    <w:rsid w:val="005E4172"/>
    <w:rsid w:val="006048A9"/>
    <w:rsid w:val="0063621C"/>
    <w:rsid w:val="006C3467"/>
    <w:rsid w:val="006E0929"/>
    <w:rsid w:val="00706FC7"/>
    <w:rsid w:val="007163EC"/>
    <w:rsid w:val="007227B1"/>
    <w:rsid w:val="007717AC"/>
    <w:rsid w:val="007C02E4"/>
    <w:rsid w:val="007E2BAE"/>
    <w:rsid w:val="007F52CA"/>
    <w:rsid w:val="00841143"/>
    <w:rsid w:val="00891120"/>
    <w:rsid w:val="008B33A2"/>
    <w:rsid w:val="008F3438"/>
    <w:rsid w:val="00901439"/>
    <w:rsid w:val="0090672A"/>
    <w:rsid w:val="0097791C"/>
    <w:rsid w:val="009B08E3"/>
    <w:rsid w:val="009D38F6"/>
    <w:rsid w:val="00A04666"/>
    <w:rsid w:val="00A234F3"/>
    <w:rsid w:val="00A24E4C"/>
    <w:rsid w:val="00A648F4"/>
    <w:rsid w:val="00A77FA5"/>
    <w:rsid w:val="00B25011"/>
    <w:rsid w:val="00B25BA8"/>
    <w:rsid w:val="00B7384C"/>
    <w:rsid w:val="00BA54AA"/>
    <w:rsid w:val="00BC3440"/>
    <w:rsid w:val="00BD4CC0"/>
    <w:rsid w:val="00BE6540"/>
    <w:rsid w:val="00BF297F"/>
    <w:rsid w:val="00C362C9"/>
    <w:rsid w:val="00C6533F"/>
    <w:rsid w:val="00CA2E4F"/>
    <w:rsid w:val="00CA5580"/>
    <w:rsid w:val="00CE2C0A"/>
    <w:rsid w:val="00CF70ED"/>
    <w:rsid w:val="00D24360"/>
    <w:rsid w:val="00DA168D"/>
    <w:rsid w:val="00DE0B90"/>
    <w:rsid w:val="00DF3063"/>
    <w:rsid w:val="00E408AF"/>
    <w:rsid w:val="00E87A5F"/>
    <w:rsid w:val="00EB6B5A"/>
    <w:rsid w:val="00ED794B"/>
    <w:rsid w:val="00EE71C3"/>
    <w:rsid w:val="00F3232E"/>
    <w:rsid w:val="00F730A4"/>
    <w:rsid w:val="00F755F4"/>
    <w:rsid w:val="00FE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65AA5-F110-4205-B8A9-214B4641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440"/>
  </w:style>
  <w:style w:type="paragraph" w:styleId="Heading1">
    <w:name w:val="heading 1"/>
    <w:basedOn w:val="Normal"/>
    <w:next w:val="Normal"/>
    <w:link w:val="Heading1Char"/>
    <w:uiPriority w:val="9"/>
    <w:qFormat/>
    <w:rsid w:val="00BC3440"/>
    <w:pPr>
      <w:spacing w:after="0" w:line="36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BC3440"/>
    <w:pPr>
      <w:spacing w:line="360" w:lineRule="auto"/>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44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BC3440"/>
    <w:rPr>
      <w:rFonts w:ascii="Times New Roman" w:hAnsi="Times New Roman" w:cs="Times New Roman"/>
      <w:b/>
      <w:sz w:val="24"/>
    </w:rPr>
  </w:style>
  <w:style w:type="paragraph" w:styleId="Bibliography">
    <w:name w:val="Bibliography"/>
    <w:basedOn w:val="Normal"/>
    <w:next w:val="Normal"/>
    <w:uiPriority w:val="37"/>
    <w:unhideWhenUsed/>
    <w:rsid w:val="00BC3440"/>
    <w:pPr>
      <w:tabs>
        <w:tab w:val="left" w:pos="264"/>
      </w:tabs>
      <w:spacing w:after="240" w:line="240" w:lineRule="auto"/>
      <w:ind w:left="264" w:hanging="264"/>
    </w:pPr>
  </w:style>
  <w:style w:type="table" w:styleId="TableGrid">
    <w:name w:val="Table Grid"/>
    <w:basedOn w:val="TableNormal"/>
    <w:uiPriority w:val="59"/>
    <w:rsid w:val="00BC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C3440"/>
  </w:style>
  <w:style w:type="paragraph" w:styleId="BalloonText">
    <w:name w:val="Balloon Text"/>
    <w:basedOn w:val="Normal"/>
    <w:link w:val="BalloonTextChar"/>
    <w:uiPriority w:val="99"/>
    <w:semiHidden/>
    <w:unhideWhenUsed/>
    <w:rsid w:val="0020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8D"/>
    <w:rPr>
      <w:rFonts w:ascii="Tahoma" w:hAnsi="Tahoma" w:cs="Tahoma"/>
      <w:sz w:val="16"/>
      <w:szCs w:val="16"/>
    </w:rPr>
  </w:style>
  <w:style w:type="character" w:styleId="CommentReference">
    <w:name w:val="annotation reference"/>
    <w:basedOn w:val="DefaultParagraphFont"/>
    <w:uiPriority w:val="99"/>
    <w:semiHidden/>
    <w:unhideWhenUsed/>
    <w:rsid w:val="009D38F6"/>
    <w:rPr>
      <w:sz w:val="16"/>
      <w:szCs w:val="16"/>
    </w:rPr>
  </w:style>
  <w:style w:type="paragraph" w:styleId="CommentText">
    <w:name w:val="annotation text"/>
    <w:basedOn w:val="Normal"/>
    <w:link w:val="CommentTextChar"/>
    <w:uiPriority w:val="99"/>
    <w:semiHidden/>
    <w:unhideWhenUsed/>
    <w:rsid w:val="009D38F6"/>
    <w:pPr>
      <w:spacing w:line="240" w:lineRule="auto"/>
    </w:pPr>
    <w:rPr>
      <w:sz w:val="20"/>
      <w:szCs w:val="20"/>
    </w:rPr>
  </w:style>
  <w:style w:type="character" w:customStyle="1" w:styleId="CommentTextChar">
    <w:name w:val="Comment Text Char"/>
    <w:basedOn w:val="DefaultParagraphFont"/>
    <w:link w:val="CommentText"/>
    <w:uiPriority w:val="99"/>
    <w:semiHidden/>
    <w:rsid w:val="009D38F6"/>
    <w:rPr>
      <w:sz w:val="20"/>
      <w:szCs w:val="20"/>
    </w:rPr>
  </w:style>
  <w:style w:type="paragraph" w:styleId="CommentSubject">
    <w:name w:val="annotation subject"/>
    <w:basedOn w:val="CommentText"/>
    <w:next w:val="CommentText"/>
    <w:link w:val="CommentSubjectChar"/>
    <w:uiPriority w:val="99"/>
    <w:semiHidden/>
    <w:unhideWhenUsed/>
    <w:rsid w:val="009D38F6"/>
    <w:rPr>
      <w:b/>
      <w:bCs/>
    </w:rPr>
  </w:style>
  <w:style w:type="character" w:customStyle="1" w:styleId="CommentSubjectChar">
    <w:name w:val="Comment Subject Char"/>
    <w:basedOn w:val="CommentTextChar"/>
    <w:link w:val="CommentSubject"/>
    <w:uiPriority w:val="99"/>
    <w:semiHidden/>
    <w:rsid w:val="009D38F6"/>
    <w:rPr>
      <w:b/>
      <w:bCs/>
      <w:sz w:val="20"/>
      <w:szCs w:val="20"/>
    </w:rPr>
  </w:style>
  <w:style w:type="paragraph" w:styleId="Header">
    <w:name w:val="header"/>
    <w:basedOn w:val="Normal"/>
    <w:link w:val="HeaderChar"/>
    <w:uiPriority w:val="99"/>
    <w:unhideWhenUsed/>
    <w:rsid w:val="004810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10DD"/>
  </w:style>
  <w:style w:type="paragraph" w:styleId="Footer">
    <w:name w:val="footer"/>
    <w:basedOn w:val="Normal"/>
    <w:link w:val="FooterChar"/>
    <w:uiPriority w:val="99"/>
    <w:unhideWhenUsed/>
    <w:rsid w:val="004810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810DD"/>
  </w:style>
  <w:style w:type="paragraph" w:styleId="Revision">
    <w:name w:val="Revision"/>
    <w:hidden/>
    <w:uiPriority w:val="99"/>
    <w:semiHidden/>
    <w:rsid w:val="00B73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23F7-35C1-4188-B37F-94088F52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Brinck, R.M. ten (REUM)</dc:creator>
  <cp:keywords/>
  <dc:description/>
  <cp:lastModifiedBy>Robin ten Brinck</cp:lastModifiedBy>
  <cp:revision>3</cp:revision>
  <dcterms:created xsi:type="dcterms:W3CDTF">2020-01-02T08:42:00Z</dcterms:created>
  <dcterms:modified xsi:type="dcterms:W3CDTF">2020-01-02T08:42:00Z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id="XRuSPVtf"/&gt;&lt;style id="http://www.zotero.org/styles/annals-of-the-rheumatic-diseases" hasBibliography="1" bibliographyStyleHasBeenSet="1"/&gt;&lt;prefs&gt;&lt;pref name="fieldType" value="Field"/&gt;&lt;/prefs&gt;&lt;/da</vt:lpwstr>
  </property>
  <property fmtid="{D5CDD505-2E9C-101B-9397-08002B2CF9AE}" pid="3" name="ZOTERO_PREF_2">
    <vt:lpwstr>ta&gt;</vt:lpwstr>
  </property>
</Properties>
</file>