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E" w:rsidRDefault="00074A1E"/>
    <w:p w:rsidR="00FC6273" w:rsidRDefault="005B7120">
      <w:r>
        <w:t xml:space="preserve">Supplementary Table 1. Cut-off values of S100A8/9 for the differentiation between </w:t>
      </w:r>
      <w:proofErr w:type="spellStart"/>
      <w:r>
        <w:t>sJIA</w:t>
      </w:r>
      <w:proofErr w:type="spellEnd"/>
      <w:r>
        <w:t xml:space="preserve"> and other </w:t>
      </w:r>
      <w:proofErr w:type="spellStart"/>
      <w:r>
        <w:t>autoinflammatory</w:t>
      </w:r>
      <w:proofErr w:type="spellEnd"/>
      <w:r>
        <w:t xml:space="preserve"> and fever syndrome patients (AIDS+SURFS) and their coordinates on ROC analysis.</w:t>
      </w:r>
    </w:p>
    <w:p w:rsidR="005B7120" w:rsidRDefault="005B7120"/>
    <w:tbl>
      <w:tblPr>
        <w:tblStyle w:val="PlainTable3"/>
        <w:tblW w:w="9535" w:type="dxa"/>
        <w:tblLayout w:type="fixed"/>
        <w:tblLook w:val="04A0" w:firstRow="1" w:lastRow="0" w:firstColumn="1" w:lastColumn="0" w:noHBand="0" w:noVBand="1"/>
      </w:tblPr>
      <w:tblGrid>
        <w:gridCol w:w="1705"/>
        <w:gridCol w:w="2250"/>
        <w:gridCol w:w="2250"/>
        <w:gridCol w:w="1665"/>
        <w:gridCol w:w="1665"/>
      </w:tblGrid>
      <w:tr w:rsidR="00CE0C2C" w:rsidRPr="00CE0C2C" w:rsidTr="005B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dxa"/>
            <w:hideMark/>
          </w:tcPr>
          <w:p w:rsidR="00CE0C2C" w:rsidRDefault="00CE0C2C" w:rsidP="00BE22EC">
            <w:pPr>
              <w:pStyle w:val="NormalWeb"/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S100A8/9 </w:t>
            </w:r>
          </w:p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Cut-off value (ng/ml)</w:t>
            </w:r>
          </w:p>
        </w:tc>
        <w:tc>
          <w:tcPr>
            <w:tcW w:w="2250" w:type="dxa"/>
            <w:hideMark/>
          </w:tcPr>
          <w:p w:rsidR="00CE0C2C" w:rsidRPr="00CE0C2C" w:rsidRDefault="00CE0C2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Sensitivity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2250" w:type="dxa"/>
            <w:hideMark/>
          </w:tcPr>
          <w:p w:rsidR="00CE0C2C" w:rsidRPr="00CE0C2C" w:rsidRDefault="00CE0C2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Specificity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1665" w:type="dxa"/>
            <w:hideMark/>
          </w:tcPr>
          <w:p w:rsidR="00CE0C2C" w:rsidRPr="00CE0C2C" w:rsidRDefault="00CE0C2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+LR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1665" w:type="dxa"/>
            <w:hideMark/>
          </w:tcPr>
          <w:p w:rsidR="00CE0C2C" w:rsidRPr="00CE0C2C" w:rsidRDefault="00CE0C2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-LR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≥702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(82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 (0-15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1.0 (1.0-1.0)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0C2C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&gt;1463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(82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36 (17-59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1.6 (1.1-2.2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0.0 (-)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&gt;1636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 (74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36 (17-59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1.5 (1.1-2.1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0.1 (0.0-1.1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CE0C2C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&gt;2038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 (74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45 (24-68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1.7 (1.2-2.6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(0.0-0.8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&gt;2104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89 (67-99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45 (24-68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1.6 (1.1-2.5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0.2 (0.1-1.0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A153B2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</w:tcPr>
          <w:p w:rsidR="00A153B2" w:rsidRPr="005B7120" w:rsidRDefault="00A153B2" w:rsidP="005B7120">
            <w:pPr>
              <w:pStyle w:val="NormalWeb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&gt;3708</w:t>
            </w:r>
          </w:p>
        </w:tc>
        <w:tc>
          <w:tcPr>
            <w:tcW w:w="2250" w:type="dxa"/>
            <w:shd w:val="clear" w:color="auto" w:fill="auto"/>
          </w:tcPr>
          <w:p w:rsidR="00A153B2" w:rsidRPr="005B7120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74 (49-91)</w:t>
            </w:r>
          </w:p>
        </w:tc>
        <w:tc>
          <w:tcPr>
            <w:tcW w:w="2250" w:type="dxa"/>
            <w:shd w:val="clear" w:color="auto" w:fill="auto"/>
          </w:tcPr>
          <w:p w:rsidR="00A153B2" w:rsidRPr="005B7120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59 (36-79)</w:t>
            </w:r>
          </w:p>
        </w:tc>
        <w:tc>
          <w:tcPr>
            <w:tcW w:w="1665" w:type="dxa"/>
            <w:shd w:val="clear" w:color="auto" w:fill="auto"/>
          </w:tcPr>
          <w:p w:rsidR="00A153B2" w:rsidRPr="005B7120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1.8 (1.0-3.2)</w:t>
            </w:r>
          </w:p>
        </w:tc>
        <w:tc>
          <w:tcPr>
            <w:tcW w:w="1665" w:type="dxa"/>
            <w:shd w:val="clear" w:color="auto" w:fill="auto"/>
          </w:tcPr>
          <w:p w:rsidR="00A153B2" w:rsidRPr="005B7120" w:rsidRDefault="00A153B2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0.5 (0.2-1.0)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5B7120" w:rsidRDefault="00CE0C2C" w:rsidP="005B7120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&gt;5630</w:t>
            </w:r>
            <w:r w:rsid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5B7120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74 (49-91</w:t>
            </w:r>
            <w:r w:rsidR="00CE0C2C"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5B7120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91 (71</w:t>
            </w:r>
            <w:r w:rsidR="00CE0C2C"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-99)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5B7120" w:rsidRDefault="00CE0C2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A153B2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.1 (2.1-31.2</w:t>
            </w:r>
            <w:r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5B7120" w:rsidRDefault="00A153B2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0.3 (0.1-0.6</w:t>
            </w:r>
            <w:r w:rsidR="00CE0C2C"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CE0C2C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&gt;5893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A153B2" w:rsidP="00A153B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43-87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-99)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7.5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1.9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29.2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EB3E6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.4 (0.2-0.7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&gt;6050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00)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EB3E61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15.1 (2.2-104.7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EB3E61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0.3 (0.2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-0.6)</w:t>
            </w:r>
          </w:p>
        </w:tc>
      </w:tr>
      <w:tr w:rsidR="00CE0C2C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&gt;9606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12.7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89.8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EB3E6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.4 (0.3-0.8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CE0C2C" w:rsidRPr="00CE0C2C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&gt;14542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EB3E6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34-80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EB3E6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00 (85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0C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EB3E61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0.4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(0.2-0.7)</w:t>
            </w:r>
          </w:p>
        </w:tc>
      </w:tr>
      <w:tr w:rsidR="00CE0C2C" w:rsidRPr="00CE0C2C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&gt;250906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 (0-18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hideMark/>
          </w:tcPr>
          <w:p w:rsidR="00CE0C2C" w:rsidRPr="00CE0C2C" w:rsidRDefault="00EB3E61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(85</w:t>
            </w:r>
            <w:r w:rsidR="00CE0C2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0C2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CE0C2C" w:rsidRPr="00CE0C2C" w:rsidRDefault="00CE0C2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1.0 (1.0-1.0)</w:t>
            </w:r>
          </w:p>
        </w:tc>
      </w:tr>
    </w:tbl>
    <w:p w:rsidR="009E44AC" w:rsidRDefault="009E44AC" w:rsidP="006E7DF4"/>
    <w:p w:rsidR="005B7120" w:rsidRPr="005B7120" w:rsidRDefault="005B7120" w:rsidP="005B7120">
      <w:pPr>
        <w:rPr>
          <w:sz w:val="22"/>
        </w:rPr>
      </w:pPr>
      <w:r w:rsidRPr="005B7120">
        <w:rPr>
          <w:sz w:val="22"/>
          <w:vertAlign w:val="superscript"/>
        </w:rPr>
        <w:t>+</w:t>
      </w:r>
      <w:r w:rsidRPr="005B7120">
        <w:rPr>
          <w:sz w:val="22"/>
        </w:rPr>
        <w:t xml:space="preserve"> Suggested cut-off value for optimal sensitivity and specificity.</w:t>
      </w:r>
    </w:p>
    <w:p w:rsidR="005B7120" w:rsidRPr="005B7120" w:rsidRDefault="005B7120" w:rsidP="005B7120">
      <w:pPr>
        <w:rPr>
          <w:sz w:val="22"/>
        </w:rPr>
      </w:pPr>
      <w:r w:rsidRPr="005B7120">
        <w:rPr>
          <w:sz w:val="22"/>
        </w:rPr>
        <w:t xml:space="preserve">Abbreviations: </w:t>
      </w:r>
      <w:proofErr w:type="spellStart"/>
      <w:r w:rsidRPr="005B7120">
        <w:rPr>
          <w:sz w:val="22"/>
        </w:rPr>
        <w:t>sJIA</w:t>
      </w:r>
      <w:proofErr w:type="spellEnd"/>
      <w:r w:rsidRPr="005B7120">
        <w:rPr>
          <w:sz w:val="22"/>
        </w:rPr>
        <w:t xml:space="preserve">: systemic juvenile idiopathic arthritis; AID: </w:t>
      </w:r>
      <w:proofErr w:type="spellStart"/>
      <w:r w:rsidRPr="005B7120">
        <w:rPr>
          <w:sz w:val="22"/>
        </w:rPr>
        <w:t>autoinflammatory</w:t>
      </w:r>
      <w:proofErr w:type="spellEnd"/>
      <w:r w:rsidRPr="005B7120">
        <w:rPr>
          <w:sz w:val="22"/>
        </w:rPr>
        <w:t xml:space="preserve"> disease; SURFS: systemic undifferentiated recurring fever syndromes, CI: confidence interval; LR: likelihood ratio.</w:t>
      </w:r>
    </w:p>
    <w:p w:rsidR="005B7120" w:rsidRDefault="005B7120" w:rsidP="005B7120"/>
    <w:p w:rsidR="005B7120" w:rsidRDefault="005B7120" w:rsidP="006E7DF4"/>
    <w:p w:rsidR="005B7120" w:rsidRDefault="005B7120" w:rsidP="006E7DF4"/>
    <w:p w:rsidR="005B7120" w:rsidRDefault="005B7120">
      <w:pPr>
        <w:spacing w:after="160" w:line="259" w:lineRule="auto"/>
      </w:pPr>
      <w:r>
        <w:br w:type="page"/>
      </w:r>
    </w:p>
    <w:p w:rsidR="00A810F1" w:rsidRDefault="005B7120" w:rsidP="006E7DF4">
      <w:r>
        <w:lastRenderedPageBreak/>
        <w:t xml:space="preserve">Supplementary Table 2. Cut-off values of S100A12 for the differentiation between </w:t>
      </w:r>
      <w:proofErr w:type="spellStart"/>
      <w:r>
        <w:t>sJIA</w:t>
      </w:r>
      <w:proofErr w:type="spellEnd"/>
      <w:r>
        <w:t xml:space="preserve"> and other </w:t>
      </w:r>
      <w:proofErr w:type="spellStart"/>
      <w:r>
        <w:t>autoinflammatory</w:t>
      </w:r>
      <w:proofErr w:type="spellEnd"/>
      <w:r>
        <w:t xml:space="preserve"> and fever syndrome patients (AIDS+SURFS) and their coordinates on ROC analysis.</w:t>
      </w:r>
    </w:p>
    <w:p w:rsidR="005B7120" w:rsidRDefault="005B7120" w:rsidP="006E7DF4"/>
    <w:tbl>
      <w:tblPr>
        <w:tblStyle w:val="PlainTable3"/>
        <w:tblW w:w="9535" w:type="dxa"/>
        <w:tblLook w:val="04A0" w:firstRow="1" w:lastRow="0" w:firstColumn="1" w:lastColumn="0" w:noHBand="0" w:noVBand="1"/>
      </w:tblPr>
      <w:tblGrid>
        <w:gridCol w:w="1907"/>
        <w:gridCol w:w="2149"/>
        <w:gridCol w:w="2149"/>
        <w:gridCol w:w="1665"/>
        <w:gridCol w:w="1665"/>
      </w:tblGrid>
      <w:tr w:rsidR="00BE22EC" w:rsidRPr="00A810F1" w:rsidTr="005B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  <w:shd w:val="clear" w:color="auto" w:fill="auto"/>
            <w:hideMark/>
          </w:tcPr>
          <w:p w:rsidR="00BE22EC" w:rsidRDefault="00BE22EC" w:rsidP="00BE22EC">
            <w:pPr>
              <w:pStyle w:val="NormalWeb"/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S100A12 </w:t>
            </w:r>
          </w:p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Cut-off value (ng/ml)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Sensitivity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Specificity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+LR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0C2C"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>-LR</w:t>
            </w:r>
            <w:r>
              <w:rPr>
                <w:rStyle w:val="normal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(95% CI)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≥47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 (0-18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1.0 (1.0-1.0)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E22EC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&gt;81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A7273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9-51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95B5A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.4 (1.0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-1.8)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0.0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&gt;89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 (76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A7273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9-51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1.3 (1.0-1.7)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0.2 (0.0-1.4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E22EC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&gt;140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95 (76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095B5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95B5A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.3 (1.3-4.3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0.2 (0.1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-0.7)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&gt;167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86 (64-97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63 (38-84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2.2 (1.3-3.7)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0.2 (0.1-0.8)</w:t>
            </w:r>
          </w:p>
        </w:tc>
      </w:tr>
      <w:tr w:rsidR="00A72734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</w:tcPr>
          <w:p w:rsidR="00A72734" w:rsidRPr="00A810F1" w:rsidRDefault="00A72734" w:rsidP="00BE22EC">
            <w:pPr>
              <w:pStyle w:val="NormalWeb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&gt;240</w:t>
            </w:r>
          </w:p>
        </w:tc>
        <w:tc>
          <w:tcPr>
            <w:tcW w:w="2149" w:type="dxa"/>
            <w:shd w:val="clear" w:color="auto" w:fill="auto"/>
          </w:tcPr>
          <w:p w:rsidR="00A72734" w:rsidRDefault="00A72734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76 (53-92)</w:t>
            </w:r>
          </w:p>
        </w:tc>
        <w:tc>
          <w:tcPr>
            <w:tcW w:w="2149" w:type="dxa"/>
            <w:shd w:val="clear" w:color="auto" w:fill="auto"/>
          </w:tcPr>
          <w:p w:rsidR="00A72734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68 (43-87)</w:t>
            </w:r>
          </w:p>
        </w:tc>
        <w:tc>
          <w:tcPr>
            <w:tcW w:w="1665" w:type="dxa"/>
            <w:shd w:val="clear" w:color="auto" w:fill="auto"/>
          </w:tcPr>
          <w:p w:rsidR="00A72734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2.4 (1.2-4.9)</w:t>
            </w:r>
          </w:p>
        </w:tc>
        <w:tc>
          <w:tcPr>
            <w:tcW w:w="1665" w:type="dxa"/>
            <w:shd w:val="clear" w:color="auto" w:fill="auto"/>
          </w:tcPr>
          <w:p w:rsidR="00A72734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0.4 (0.2-0.8)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&gt;299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76 (53-92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095B5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-97)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4.8 (1.7-14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0.3 (0.1-0.6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E22EC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A72734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&gt;315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A7273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71 (48-89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095B5A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 (60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-97)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4.5 (1.5-13.2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095B5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0.3 (0.2-0.7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BE22EC" w:rsidRDefault="00BE22EC" w:rsidP="00BE22EC">
            <w:pPr>
              <w:pStyle w:val="NormalWeb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&gt;363</w:t>
            </w:r>
            <w:r w:rsidR="00A72734" w:rsidRPr="005B7120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72734" w:rsidRDefault="00A72734" w:rsidP="00A7273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71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89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72734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89 (67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-99)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72734" w:rsidRDefault="00095B5A" w:rsidP="00095B5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6.8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1.8-25.9</w:t>
            </w:r>
            <w:r w:rsidR="00BE22EC"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72734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95B5A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.3 (0.2-0.6</w:t>
            </w:r>
            <w:r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E22EC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&gt;459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A7273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62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38-82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89 (67</w:t>
            </w:r>
            <w:r w:rsidRPr="00A72734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-99)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5.9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(1.5-22.8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0.4 (0.2-0.8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&gt;544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A7273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34-78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095B5A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 (74</w:t>
            </w: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10.9 (1.6-75.8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0.5 (0.3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-0.7)</w:t>
            </w:r>
          </w:p>
        </w:tc>
      </w:tr>
      <w:tr w:rsidR="00BE22EC" w:rsidRPr="00A810F1" w:rsidTr="005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&gt;1082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57 (34-78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0.4 (0.3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-0.7)</w:t>
            </w:r>
          </w:p>
        </w:tc>
      </w:tr>
      <w:tr w:rsidR="00BE22EC" w:rsidRPr="00A810F1" w:rsidTr="005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&gt;24690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A72734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0 (0-16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hideMark/>
          </w:tcPr>
          <w:p w:rsidR="00BE22EC" w:rsidRPr="00A810F1" w:rsidRDefault="00095B5A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100 (82</w:t>
            </w:r>
            <w:r w:rsidR="00BE22EC"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-100)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0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5" w:type="dxa"/>
            <w:shd w:val="clear" w:color="auto" w:fill="auto"/>
            <w:hideMark/>
          </w:tcPr>
          <w:p w:rsidR="00BE22EC" w:rsidRPr="00A810F1" w:rsidRDefault="00BE22EC" w:rsidP="00BE22E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esult"/>
                <w:rFonts w:ascii="Times New Roman" w:hAnsi="Times New Roman" w:cs="Times New Roman"/>
                <w:color w:val="auto"/>
                <w:sz w:val="22"/>
                <w:szCs w:val="22"/>
              </w:rPr>
              <w:t>1.0 (1.0-1.0)</w:t>
            </w:r>
          </w:p>
        </w:tc>
      </w:tr>
    </w:tbl>
    <w:p w:rsidR="005B7120" w:rsidRDefault="005B7120" w:rsidP="005B7120">
      <w:pPr>
        <w:rPr>
          <w:vertAlign w:val="superscript"/>
        </w:rPr>
      </w:pPr>
    </w:p>
    <w:p w:rsidR="005B7120" w:rsidRPr="005B7120" w:rsidRDefault="005B7120" w:rsidP="005B7120">
      <w:pPr>
        <w:rPr>
          <w:sz w:val="22"/>
        </w:rPr>
      </w:pPr>
      <w:r w:rsidRPr="005B7120">
        <w:rPr>
          <w:sz w:val="22"/>
          <w:vertAlign w:val="superscript"/>
        </w:rPr>
        <w:t xml:space="preserve">+ </w:t>
      </w:r>
      <w:r w:rsidRPr="005B7120">
        <w:rPr>
          <w:sz w:val="22"/>
        </w:rPr>
        <w:t>Suggested cut-off value for optimal sensitivity and specificity.</w:t>
      </w:r>
    </w:p>
    <w:p w:rsidR="005B7120" w:rsidRPr="005B7120" w:rsidRDefault="005B7120" w:rsidP="005B7120">
      <w:pPr>
        <w:rPr>
          <w:sz w:val="22"/>
        </w:rPr>
      </w:pPr>
      <w:r w:rsidRPr="005B7120">
        <w:rPr>
          <w:sz w:val="22"/>
        </w:rPr>
        <w:t xml:space="preserve">Abbreviations: </w:t>
      </w:r>
      <w:proofErr w:type="spellStart"/>
      <w:r w:rsidRPr="005B7120">
        <w:rPr>
          <w:sz w:val="22"/>
        </w:rPr>
        <w:t>sJIA</w:t>
      </w:r>
      <w:proofErr w:type="spellEnd"/>
      <w:r w:rsidRPr="005B7120">
        <w:rPr>
          <w:sz w:val="22"/>
        </w:rPr>
        <w:t xml:space="preserve">: systemic juvenile idiopathic arthritis; AID: </w:t>
      </w:r>
      <w:proofErr w:type="spellStart"/>
      <w:r w:rsidRPr="005B7120">
        <w:rPr>
          <w:sz w:val="22"/>
        </w:rPr>
        <w:t>autoinflammatory</w:t>
      </w:r>
      <w:proofErr w:type="spellEnd"/>
      <w:r w:rsidRPr="005B7120">
        <w:rPr>
          <w:sz w:val="22"/>
        </w:rPr>
        <w:t xml:space="preserve"> disease; SURFS: systemic undifferentiated recurring fever syndromes, CI: confidence interval; LR: likelihood ratio.</w:t>
      </w:r>
    </w:p>
    <w:p w:rsidR="003A64D4" w:rsidRDefault="003A64D4">
      <w:pPr>
        <w:spacing w:after="160" w:line="259" w:lineRule="auto"/>
      </w:pPr>
      <w:r>
        <w:br w:type="page"/>
      </w:r>
    </w:p>
    <w:p w:rsidR="003A64D4" w:rsidRPr="000278A0" w:rsidRDefault="003A64D4" w:rsidP="003A64D4">
      <w:pPr>
        <w:spacing w:line="480" w:lineRule="auto"/>
        <w:rPr>
          <w:b/>
          <w:bCs/>
          <w:lang w:val="it-IT"/>
        </w:rPr>
      </w:pPr>
      <w:r>
        <w:lastRenderedPageBreak/>
        <w:t>Supplementary table 3</w:t>
      </w:r>
      <w:r w:rsidRPr="000278A0">
        <w:t xml:space="preserve">. </w:t>
      </w:r>
      <w:r>
        <w:t>Demographics and clinical characteristics of patients with AIDs*</w:t>
      </w:r>
      <w:r w:rsidRPr="000278A0">
        <w:t>.</w:t>
      </w:r>
    </w:p>
    <w:tbl>
      <w:tblPr>
        <w:tblStyle w:val="PlainTable2"/>
        <w:tblpPr w:leftFromText="141" w:rightFromText="141" w:vertAnchor="page" w:horzAnchor="margin" w:tblpX="-360" w:tblpY="2131"/>
        <w:tblW w:w="9900" w:type="dxa"/>
        <w:tblLook w:val="07A0" w:firstRow="1" w:lastRow="0" w:firstColumn="1" w:lastColumn="1" w:noHBand="1" w:noVBand="1"/>
      </w:tblPr>
      <w:tblGrid>
        <w:gridCol w:w="1316"/>
        <w:gridCol w:w="1163"/>
        <w:gridCol w:w="1190"/>
        <w:gridCol w:w="1123"/>
        <w:gridCol w:w="1056"/>
        <w:gridCol w:w="4052"/>
      </w:tblGrid>
      <w:tr w:rsidR="003A64D4" w:rsidRPr="00323F30" w:rsidTr="00520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3A64D4" w:rsidRPr="00323F30" w:rsidRDefault="003A64D4" w:rsidP="005206FA">
            <w:pPr>
              <w:spacing w:line="480" w:lineRule="auto"/>
              <w:rPr>
                <w:szCs w:val="20"/>
              </w:rPr>
            </w:pPr>
          </w:p>
        </w:tc>
        <w:tc>
          <w:tcPr>
            <w:tcW w:w="1084" w:type="dxa"/>
          </w:tcPr>
          <w:p w:rsidR="003A64D4" w:rsidRPr="00323F30" w:rsidRDefault="003A64D4" w:rsidP="005206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Disease activity</w:t>
            </w:r>
          </w:p>
        </w:tc>
        <w:tc>
          <w:tcPr>
            <w:tcW w:w="1109" w:type="dxa"/>
          </w:tcPr>
          <w:p w:rsidR="003A64D4" w:rsidRPr="00323F30" w:rsidRDefault="003A64D4" w:rsidP="005206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0"/>
              </w:rPr>
            </w:pPr>
            <w:r w:rsidRPr="00323F30">
              <w:rPr>
                <w:szCs w:val="20"/>
              </w:rPr>
              <w:t>S100A8/9 (ng/ml)</w:t>
            </w:r>
          </w:p>
        </w:tc>
        <w:tc>
          <w:tcPr>
            <w:tcW w:w="1048" w:type="dxa"/>
          </w:tcPr>
          <w:p w:rsidR="003A64D4" w:rsidRPr="00323F30" w:rsidRDefault="003A64D4" w:rsidP="005206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S100A12 (ng/ml)</w:t>
            </w:r>
          </w:p>
        </w:tc>
        <w:tc>
          <w:tcPr>
            <w:tcW w:w="989" w:type="dxa"/>
          </w:tcPr>
          <w:p w:rsidR="003A64D4" w:rsidRPr="00323F30" w:rsidRDefault="003A64D4" w:rsidP="005206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CRP (mg/</w:t>
            </w:r>
            <w:proofErr w:type="spellStart"/>
            <w:r w:rsidRPr="00323F30">
              <w:rPr>
                <w:szCs w:val="20"/>
              </w:rPr>
              <w:t>dL</w:t>
            </w:r>
            <w:proofErr w:type="spellEnd"/>
            <w:r w:rsidRPr="00323F30">
              <w:rPr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3A64D4" w:rsidRPr="00323F30" w:rsidRDefault="003A64D4" w:rsidP="005206FA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Genetic testing results</w:t>
            </w:r>
          </w:p>
        </w:tc>
      </w:tr>
      <w:tr w:rsidR="003A64D4" w:rsidRPr="00323F30" w:rsidTr="005206F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3A64D4" w:rsidRPr="00323F30" w:rsidRDefault="003A64D4" w:rsidP="005206FA">
            <w:pPr>
              <w:spacing w:line="480" w:lineRule="auto"/>
              <w:rPr>
                <w:bCs w:val="0"/>
                <w:szCs w:val="20"/>
              </w:rPr>
            </w:pPr>
            <w:r w:rsidRPr="00323F30">
              <w:rPr>
                <w:bCs w:val="0"/>
                <w:szCs w:val="20"/>
              </w:rPr>
              <w:t>FMF (n=4)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</w:t>
            </w:r>
            <w:r>
              <w:rPr>
                <w:b w:val="0"/>
                <w:bCs w:val="0"/>
                <w:szCs w:val="20"/>
              </w:rPr>
              <w:t>atient 1</w:t>
            </w:r>
          </w:p>
          <w:p w:rsidR="003A64D4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patient 2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3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4</w:t>
            </w:r>
          </w:p>
        </w:tc>
        <w:tc>
          <w:tcPr>
            <w:tcW w:w="1084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Inactive</w:t>
            </w:r>
          </w:p>
        </w:tc>
        <w:tc>
          <w:tcPr>
            <w:tcW w:w="1109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1240</w:t>
            </w: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702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14542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1707</w:t>
            </w:r>
          </w:p>
        </w:tc>
        <w:tc>
          <w:tcPr>
            <w:tcW w:w="1048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80</w:t>
            </w: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54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1082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146</w:t>
            </w:r>
          </w:p>
        </w:tc>
        <w:tc>
          <w:tcPr>
            <w:tcW w:w="989" w:type="dxa"/>
          </w:tcPr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&lt;0.29</w:t>
            </w: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6.5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Default="003A64D4" w:rsidP="005206FA">
            <w:pPr>
              <w:spacing w:line="480" w:lineRule="auto"/>
              <w:rPr>
                <w:b w:val="0"/>
              </w:rPr>
            </w:pPr>
            <w:r w:rsidRPr="00766FE1">
              <w:rPr>
                <w:b w:val="0"/>
              </w:rPr>
              <w:t>Heterozygous variant V726A in MEFV gene</w:t>
            </w:r>
          </w:p>
          <w:p w:rsidR="003A64D4" w:rsidRDefault="003A64D4" w:rsidP="005206FA">
            <w:pPr>
              <w:spacing w:line="480" w:lineRule="auto"/>
              <w:rPr>
                <w:b w:val="0"/>
              </w:rPr>
            </w:pPr>
            <w:r>
              <w:rPr>
                <w:b w:val="0"/>
              </w:rPr>
              <w:t>Homozygous</w:t>
            </w:r>
            <w:r w:rsidRPr="00766FE1">
              <w:rPr>
                <w:b w:val="0"/>
              </w:rPr>
              <w:t xml:space="preserve"> variant </w:t>
            </w:r>
            <w:r>
              <w:rPr>
                <w:b w:val="0"/>
              </w:rPr>
              <w:t>E148Q</w:t>
            </w:r>
            <w:r w:rsidRPr="00766FE1">
              <w:rPr>
                <w:b w:val="0"/>
              </w:rPr>
              <w:t xml:space="preserve"> in MEFV gene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Heterozygous variant </w:t>
            </w:r>
            <w:r>
              <w:t xml:space="preserve"> </w:t>
            </w:r>
            <w:r w:rsidRPr="00766FE1">
              <w:rPr>
                <w:b w:val="0"/>
                <w:szCs w:val="20"/>
              </w:rPr>
              <w:t>K695R</w:t>
            </w:r>
            <w:r>
              <w:rPr>
                <w:b w:val="0"/>
                <w:szCs w:val="20"/>
              </w:rPr>
              <w:t xml:space="preserve"> in MEFV gene</w:t>
            </w:r>
          </w:p>
          <w:p w:rsidR="003A64D4" w:rsidRPr="00766FE1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Negative genetic testing</w:t>
            </w:r>
          </w:p>
        </w:tc>
      </w:tr>
      <w:tr w:rsidR="003A64D4" w:rsidRPr="00323F30" w:rsidTr="005206F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3A64D4" w:rsidRPr="00323F30" w:rsidRDefault="003A64D4" w:rsidP="005206FA">
            <w:pPr>
              <w:spacing w:line="480" w:lineRule="auto"/>
              <w:rPr>
                <w:bCs w:val="0"/>
                <w:szCs w:val="20"/>
              </w:rPr>
            </w:pPr>
            <w:r w:rsidRPr="00323F30">
              <w:rPr>
                <w:bCs w:val="0"/>
                <w:szCs w:val="20"/>
              </w:rPr>
              <w:t>TRAPS (N=1)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1</w:t>
            </w:r>
          </w:p>
        </w:tc>
        <w:tc>
          <w:tcPr>
            <w:tcW w:w="1084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</w:tc>
        <w:tc>
          <w:tcPr>
            <w:tcW w:w="1109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6050</w:t>
            </w:r>
          </w:p>
        </w:tc>
        <w:tc>
          <w:tcPr>
            <w:tcW w:w="1048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544</w:t>
            </w:r>
          </w:p>
        </w:tc>
        <w:tc>
          <w:tcPr>
            <w:tcW w:w="989" w:type="dxa"/>
          </w:tcPr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Negative genetic testing</w:t>
            </w:r>
          </w:p>
        </w:tc>
      </w:tr>
      <w:tr w:rsidR="003A64D4" w:rsidRPr="00323F30" w:rsidTr="005206F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3A64D4" w:rsidRPr="00323F30" w:rsidRDefault="003A64D4" w:rsidP="005206FA">
            <w:pPr>
              <w:spacing w:line="480" w:lineRule="auto"/>
              <w:rPr>
                <w:bCs w:val="0"/>
                <w:szCs w:val="20"/>
              </w:rPr>
            </w:pPr>
            <w:r w:rsidRPr="00323F30">
              <w:rPr>
                <w:bCs w:val="0"/>
                <w:szCs w:val="20"/>
              </w:rPr>
              <w:t>MWS (n=1)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1</w:t>
            </w:r>
          </w:p>
        </w:tc>
        <w:tc>
          <w:tcPr>
            <w:tcW w:w="1084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</w:tc>
        <w:tc>
          <w:tcPr>
            <w:tcW w:w="1109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1463</w:t>
            </w:r>
          </w:p>
        </w:tc>
        <w:tc>
          <w:tcPr>
            <w:tcW w:w="1048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101</w:t>
            </w:r>
          </w:p>
        </w:tc>
        <w:tc>
          <w:tcPr>
            <w:tcW w:w="989" w:type="dxa"/>
          </w:tcPr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2.51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Heterozygous variant R327Q in </w:t>
            </w:r>
            <w:r>
              <w:t xml:space="preserve"> </w:t>
            </w:r>
            <w:r w:rsidRPr="005836D4">
              <w:rPr>
                <w:b w:val="0"/>
                <w:szCs w:val="20"/>
              </w:rPr>
              <w:t>CIAS1</w:t>
            </w:r>
            <w:r>
              <w:rPr>
                <w:b w:val="0"/>
                <w:szCs w:val="20"/>
              </w:rPr>
              <w:t xml:space="preserve"> gene</w:t>
            </w:r>
          </w:p>
        </w:tc>
      </w:tr>
      <w:tr w:rsidR="003A64D4" w:rsidRPr="00323F30" w:rsidTr="005206FA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3A64D4" w:rsidRPr="00323F30" w:rsidRDefault="003A64D4" w:rsidP="005206FA">
            <w:pPr>
              <w:spacing w:line="480" w:lineRule="auto"/>
              <w:rPr>
                <w:bCs w:val="0"/>
                <w:szCs w:val="20"/>
              </w:rPr>
            </w:pPr>
            <w:r w:rsidRPr="00323F30">
              <w:rPr>
                <w:bCs w:val="0"/>
                <w:szCs w:val="20"/>
              </w:rPr>
              <w:t>PFAPA (n=8)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1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2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3Δ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4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lastRenderedPageBreak/>
              <w:t>patient 5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6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7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bCs w:val="0"/>
                <w:szCs w:val="20"/>
              </w:rPr>
            </w:pPr>
            <w:r w:rsidRPr="00323F30">
              <w:rPr>
                <w:b w:val="0"/>
                <w:bCs w:val="0"/>
                <w:szCs w:val="20"/>
              </w:rPr>
              <w:t>patient 8</w:t>
            </w:r>
          </w:p>
        </w:tc>
        <w:tc>
          <w:tcPr>
            <w:tcW w:w="1084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Inactive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Unknown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lastRenderedPageBreak/>
              <w:t>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Inactive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Inactive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Inactive</w:t>
            </w:r>
          </w:p>
        </w:tc>
        <w:tc>
          <w:tcPr>
            <w:tcW w:w="1109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7312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4043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470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1147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lastRenderedPageBreak/>
              <w:t>808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946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-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982</w:t>
            </w:r>
          </w:p>
        </w:tc>
        <w:tc>
          <w:tcPr>
            <w:tcW w:w="1048" w:type="dxa"/>
          </w:tcPr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494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-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24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65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lastRenderedPageBreak/>
              <w:t>47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73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102</w:t>
            </w:r>
          </w:p>
          <w:p w:rsidR="003A64D4" w:rsidRPr="00323F30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23F30">
              <w:rPr>
                <w:szCs w:val="20"/>
              </w:rPr>
              <w:t>66</w:t>
            </w:r>
          </w:p>
        </w:tc>
        <w:tc>
          <w:tcPr>
            <w:tcW w:w="989" w:type="dxa"/>
          </w:tcPr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-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3.85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&lt;0.29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&lt;0.29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lastRenderedPageBreak/>
              <w:t>&lt;0.29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-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-</w:t>
            </w:r>
          </w:p>
          <w:p w:rsidR="003A64D4" w:rsidRPr="00766FE1" w:rsidRDefault="003A64D4" w:rsidP="005206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FE1">
              <w:rPr>
                <w:szCs w:val="20"/>
              </w:rPr>
              <w:t>&lt;0.4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lastRenderedPageBreak/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  <w:p w:rsidR="003A64D4" w:rsidRPr="00323F30" w:rsidRDefault="003A64D4" w:rsidP="005206FA">
            <w:pPr>
              <w:spacing w:line="48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-</w:t>
            </w:r>
          </w:p>
        </w:tc>
      </w:tr>
    </w:tbl>
    <w:p w:rsidR="003A64D4" w:rsidRDefault="003A64D4" w:rsidP="003A64D4"/>
    <w:p w:rsidR="003A64D4" w:rsidRDefault="003A64D4" w:rsidP="003A64D4">
      <w:r>
        <w:t xml:space="preserve">* This includes patients with inactive disease or unknown disease activity status. </w:t>
      </w:r>
    </w:p>
    <w:p w:rsidR="003A64D4" w:rsidRDefault="003A64D4" w:rsidP="003A64D4">
      <w:r w:rsidRPr="007A4243">
        <w:t xml:space="preserve">Δ This patient was not included in the analysis since the disease activity status is not known at </w:t>
      </w:r>
      <w:r>
        <w:t>the time of S100 protein testing</w:t>
      </w:r>
      <w:r w:rsidRPr="007A4243">
        <w:t xml:space="preserve">. </w:t>
      </w:r>
    </w:p>
    <w:p w:rsidR="003A64D4" w:rsidRPr="00323F30" w:rsidRDefault="003A64D4" w:rsidP="003A64D4">
      <w:r w:rsidRPr="000278A0">
        <w:t xml:space="preserve">Abbreviations: AID: </w:t>
      </w:r>
      <w:proofErr w:type="spellStart"/>
      <w:r w:rsidRPr="000278A0">
        <w:t>autoinflammatory</w:t>
      </w:r>
      <w:proofErr w:type="spellEnd"/>
      <w:r w:rsidRPr="000278A0">
        <w:t xml:space="preserve"> disease; </w:t>
      </w:r>
      <w:r>
        <w:t>FMF</w:t>
      </w:r>
      <w:r w:rsidRPr="000278A0">
        <w:t xml:space="preserve">: </w:t>
      </w:r>
      <w:r>
        <w:t>familial Mediterranean fever</w:t>
      </w:r>
      <w:r w:rsidRPr="000278A0">
        <w:t>;</w:t>
      </w:r>
      <w:r>
        <w:t xml:space="preserve"> TRAPS: TNF-receptor associated periodic syndrome; MWS: Muckle-Wells syndrome; PFAPA: </w:t>
      </w:r>
      <w:r w:rsidRPr="007A4243">
        <w:t xml:space="preserve">Periodic Fever, </w:t>
      </w:r>
      <w:proofErr w:type="spellStart"/>
      <w:r w:rsidRPr="007A4243">
        <w:t>Aphthous</w:t>
      </w:r>
      <w:proofErr w:type="spellEnd"/>
      <w:r w:rsidRPr="007A4243">
        <w:t xml:space="preserve"> Stomatitis, Pharyngitis, Adenitis</w:t>
      </w:r>
      <w:r>
        <w:t>; CRP</w:t>
      </w:r>
      <w:r w:rsidRPr="000278A0">
        <w:t>: C-reactive protein.</w:t>
      </w:r>
      <w:r>
        <w:t xml:space="preserve"> The normal range of S100A8/9 per this assay is </w:t>
      </w:r>
      <w:r w:rsidRPr="00D72278">
        <w:t>716-3004</w:t>
      </w:r>
      <w:r>
        <w:t xml:space="preserve">, while that for S100A12 is </w:t>
      </w:r>
      <w:r w:rsidRPr="00D72278">
        <w:t>32-385</w:t>
      </w:r>
      <w:r>
        <w:t>.</w:t>
      </w:r>
    </w:p>
    <w:p w:rsidR="00A810F1" w:rsidRDefault="00A810F1" w:rsidP="006E7DF4">
      <w:bookmarkStart w:id="0" w:name="_GoBack"/>
      <w:bookmarkEnd w:id="0"/>
    </w:p>
    <w:sectPr w:rsidR="00A8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3B46"/>
    <w:multiLevelType w:val="hybridMultilevel"/>
    <w:tmpl w:val="75662508"/>
    <w:lvl w:ilvl="0" w:tplc="0CEC0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984"/>
    <w:multiLevelType w:val="hybridMultilevel"/>
    <w:tmpl w:val="5EF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6"/>
    <w:rsid w:val="000221C2"/>
    <w:rsid w:val="00074A1E"/>
    <w:rsid w:val="00095B5A"/>
    <w:rsid w:val="002259F9"/>
    <w:rsid w:val="003A64D4"/>
    <w:rsid w:val="00445A0C"/>
    <w:rsid w:val="00522496"/>
    <w:rsid w:val="005B7120"/>
    <w:rsid w:val="006E7DF4"/>
    <w:rsid w:val="009E44AC"/>
    <w:rsid w:val="00A153B2"/>
    <w:rsid w:val="00A72734"/>
    <w:rsid w:val="00A810F1"/>
    <w:rsid w:val="00BE22EC"/>
    <w:rsid w:val="00CE0C2C"/>
    <w:rsid w:val="00EB3E61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6FFEF-2A3A-4231-805F-0DDB62BC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9F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D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E0C2C"/>
    <w:rPr>
      <w:rFonts w:ascii="Arial" w:hAnsi="Arial" w:cs="Arial"/>
      <w:sz w:val="20"/>
      <w:szCs w:val="20"/>
    </w:rPr>
  </w:style>
  <w:style w:type="character" w:customStyle="1" w:styleId="normal1">
    <w:name w:val="normal1"/>
    <w:basedOn w:val="DefaultParagraphFont"/>
    <w:rsid w:val="00CE0C2C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DefaultParagraphFont"/>
    <w:rsid w:val="00CE0C2C"/>
    <w:rPr>
      <w:color w:val="000080"/>
    </w:rPr>
  </w:style>
  <w:style w:type="table" w:styleId="PlainTable3">
    <w:name w:val="Plain Table 3"/>
    <w:basedOn w:val="TableNormal"/>
    <w:uiPriority w:val="43"/>
    <w:rsid w:val="005B71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A64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Aljaberi, Najla Fadl Jaafar Bader</dc:creator>
  <cp:keywords/>
  <dc:description/>
  <cp:lastModifiedBy>Aljaberi, Najla Fadl Jaafar Bader</cp:lastModifiedBy>
  <cp:revision>8</cp:revision>
  <dcterms:created xsi:type="dcterms:W3CDTF">2019-08-12T14:35:00Z</dcterms:created>
  <dcterms:modified xsi:type="dcterms:W3CDTF">2019-12-11T15:36:00Z</dcterms:modified>
</cp:coreProperties>
</file>