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94" w:rsidRPr="00B04255" w:rsidRDefault="005E6394" w:rsidP="005E6394">
      <w:pPr>
        <w:spacing w:line="480" w:lineRule="auto"/>
        <w:rPr>
          <w:lang w:val="en-GB"/>
        </w:rPr>
      </w:pPr>
      <w:r w:rsidRPr="00B04255">
        <w:rPr>
          <w:b/>
          <w:lang w:val="en-GB"/>
        </w:rPr>
        <w:t xml:space="preserve">Table </w:t>
      </w:r>
      <w:r w:rsidR="00DA305C">
        <w:rPr>
          <w:b/>
          <w:lang w:val="en-GB"/>
        </w:rPr>
        <w:t>S3</w:t>
      </w:r>
      <w:r w:rsidRPr="00B04255">
        <w:rPr>
          <w:b/>
          <w:lang w:val="en-GB"/>
        </w:rPr>
        <w:t xml:space="preserve">: </w:t>
      </w:r>
      <w:r w:rsidRPr="00B04255">
        <w:rPr>
          <w:lang w:val="en-GB"/>
        </w:rPr>
        <w:t xml:space="preserve">Context 2 – Field. Top-ranked models from the linear mixed effects models and generalized linear mixed models analysing the effect of GPS transmitter attachment. Parameters explaining the response variables </w:t>
      </w:r>
      <w:r w:rsidR="000B01F7">
        <w:rPr>
          <w:lang w:val="en-GB"/>
        </w:rPr>
        <w:t>maintenance</w:t>
      </w:r>
      <w:r w:rsidRPr="00B04255">
        <w:rPr>
          <w:lang w:val="en-GB"/>
        </w:rPr>
        <w:t xml:space="preserve"> behaviour, dorsal </w:t>
      </w:r>
      <w:r w:rsidR="000B01F7">
        <w:rPr>
          <w:lang w:val="en-GB"/>
        </w:rPr>
        <w:t>feather preening</w:t>
      </w:r>
      <w:r w:rsidRPr="00B04255">
        <w:rPr>
          <w:lang w:val="en-GB"/>
        </w:rPr>
        <w:t xml:space="preserve">, locomotion, foraging, social interactions (including initiated and received affiliative and agonistic behaviours) and CM are given. The individual identity was fitted as random factor. </w:t>
      </w:r>
      <w:r w:rsidRPr="00B04255">
        <w:rPr>
          <w:lang w:val="en-GB"/>
        </w:rPr>
        <w:sym w:font="Symbol" w:char="F044"/>
      </w:r>
      <w:proofErr w:type="spellStart"/>
      <w:proofErr w:type="gramStart"/>
      <w:r w:rsidRPr="00B04255">
        <w:rPr>
          <w:lang w:val="en-GB"/>
        </w:rPr>
        <w:t>AICc</w:t>
      </w:r>
      <w:proofErr w:type="spellEnd"/>
      <w:r w:rsidRPr="00B04255">
        <w:rPr>
          <w:lang w:val="en-GB"/>
        </w:rPr>
        <w:t xml:space="preserve"> – differences of the second order Akaike information criterion between the best model and the other top-ranked models, </w:t>
      </w:r>
      <w:proofErr w:type="spellStart"/>
      <w:r w:rsidRPr="00B04255">
        <w:rPr>
          <w:lang w:val="en-GB"/>
        </w:rPr>
        <w:t>logLik</w:t>
      </w:r>
      <w:proofErr w:type="spellEnd"/>
      <w:r w:rsidRPr="00B04255">
        <w:rPr>
          <w:lang w:val="en-GB"/>
        </w:rPr>
        <w:t xml:space="preserve"> – log-likelihood.</w:t>
      </w:r>
      <w:proofErr w:type="gramEnd"/>
    </w:p>
    <w:tbl>
      <w:tblPr>
        <w:tblStyle w:val="TableGrid"/>
        <w:tblW w:w="8642" w:type="dxa"/>
        <w:tblLook w:val="04A0"/>
      </w:tblPr>
      <w:tblGrid>
        <w:gridCol w:w="1456"/>
        <w:gridCol w:w="4192"/>
        <w:gridCol w:w="883"/>
        <w:gridCol w:w="1131"/>
        <w:gridCol w:w="980"/>
      </w:tblGrid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Response variable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Model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753E4F">
              <w:rPr>
                <w:szCs w:val="20"/>
                <w:lang w:val="en-GB"/>
              </w:rPr>
              <w:sym w:font="Symbol" w:char="F044"/>
            </w:r>
            <w:proofErr w:type="spellStart"/>
            <w:r w:rsidRPr="00753E4F">
              <w:rPr>
                <w:szCs w:val="20"/>
                <w:lang w:val="en-GB"/>
              </w:rPr>
              <w:t>AICc</w:t>
            </w:r>
            <w:proofErr w:type="spellEnd"/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proofErr w:type="spellStart"/>
            <w:r w:rsidRPr="00B04255">
              <w:rPr>
                <w:lang w:val="en-GB"/>
              </w:rPr>
              <w:t>logLik</w:t>
            </w:r>
            <w:proofErr w:type="spellEnd"/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Akaike weight</w:t>
            </w:r>
          </w:p>
        </w:tc>
      </w:tr>
      <w:tr w:rsidR="005E6394" w:rsidRPr="00B04255" w:rsidTr="00A87C1C">
        <w:tc>
          <w:tcPr>
            <w:tcW w:w="8642" w:type="dxa"/>
            <w:gridSpan w:val="5"/>
          </w:tcPr>
          <w:p w:rsidR="005E6394" w:rsidRPr="00B04255" w:rsidRDefault="005E63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>1) Behavioural categories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0B01F7" w:rsidP="00A87C1C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Maintenance</w:t>
            </w:r>
            <w:r w:rsidR="005E6394" w:rsidRPr="00B04255">
              <w:rPr>
                <w:lang w:val="en-GB"/>
              </w:rPr>
              <w:t xml:space="preserve"> behaviour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-297.697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0.800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Dorsal </w:t>
            </w:r>
            <w:r w:rsidR="000B01F7">
              <w:rPr>
                <w:lang w:val="en-GB"/>
              </w:rPr>
              <w:t>feather preening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1189.778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0.815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Locomotion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164.127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0.859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Foraging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-189.181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0.814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Initiated affiliative behaviour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proofErr w:type="spellStart"/>
            <w:r w:rsidRPr="00B04255">
              <w:rPr>
                <w:lang w:val="en-GB"/>
              </w:rPr>
              <w:t>Phase+Experimental</w:t>
            </w:r>
            <w:proofErr w:type="spellEnd"/>
            <w:r w:rsidRPr="00B04255">
              <w:rPr>
                <w:lang w:val="en-GB"/>
              </w:rPr>
              <w:t xml:space="preserve"> </w:t>
            </w:r>
            <w:proofErr w:type="spellStart"/>
            <w:r w:rsidRPr="00B04255">
              <w:rPr>
                <w:lang w:val="en-GB"/>
              </w:rPr>
              <w:t>group+Phase</w:t>
            </w:r>
            <w:proofErr w:type="spellEnd"/>
            <w:r w:rsidRPr="00B04255">
              <w:rPr>
                <w:lang w:val="en-GB"/>
              </w:rPr>
              <w:t>*Experimental group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-22.919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0.963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Received affiliative behaviour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proofErr w:type="spellStart"/>
            <w:r w:rsidRPr="00B04255">
              <w:rPr>
                <w:lang w:val="en-GB"/>
              </w:rPr>
              <w:t>Phase+Experimental</w:t>
            </w:r>
            <w:proofErr w:type="spellEnd"/>
            <w:r w:rsidRPr="00B04255">
              <w:rPr>
                <w:lang w:val="en-GB"/>
              </w:rPr>
              <w:t xml:space="preserve"> </w:t>
            </w:r>
            <w:proofErr w:type="spellStart"/>
            <w:r w:rsidRPr="00B04255">
              <w:rPr>
                <w:lang w:val="en-GB"/>
              </w:rPr>
              <w:t>group+Phase</w:t>
            </w:r>
            <w:proofErr w:type="spellEnd"/>
            <w:r w:rsidRPr="00B04255">
              <w:rPr>
                <w:lang w:val="en-GB"/>
              </w:rPr>
              <w:t>*Experimental group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16.083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0.874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Received agonistic </w:t>
            </w:r>
            <w:r w:rsidRPr="00B04255">
              <w:rPr>
                <w:lang w:val="en-GB"/>
              </w:rPr>
              <w:lastRenderedPageBreak/>
              <w:t>behaviour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Phase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556.925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0.784</w:t>
            </w:r>
          </w:p>
        </w:tc>
      </w:tr>
      <w:tr w:rsidR="005E6394" w:rsidRPr="00B04255" w:rsidTr="00A87C1C">
        <w:tc>
          <w:tcPr>
            <w:tcW w:w="8642" w:type="dxa"/>
            <w:gridSpan w:val="5"/>
          </w:tcPr>
          <w:p w:rsidR="005E6394" w:rsidRPr="00B04255" w:rsidRDefault="005E63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lastRenderedPageBreak/>
              <w:t>2) Physiological parameter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CM</w:t>
            </w:r>
          </w:p>
        </w:tc>
        <w:tc>
          <w:tcPr>
            <w:tcW w:w="4358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proofErr w:type="spellStart"/>
            <w:r w:rsidRPr="00B04255">
              <w:rPr>
                <w:lang w:val="en-GB"/>
              </w:rPr>
              <w:t>Phase+Experimental</w:t>
            </w:r>
            <w:proofErr w:type="spellEnd"/>
            <w:r w:rsidRPr="00B04255">
              <w:rPr>
                <w:lang w:val="en-GB"/>
              </w:rPr>
              <w:t xml:space="preserve"> </w:t>
            </w:r>
            <w:proofErr w:type="spellStart"/>
            <w:r w:rsidRPr="00B04255">
              <w:rPr>
                <w:lang w:val="en-GB"/>
              </w:rPr>
              <w:t>group+Phase</w:t>
            </w:r>
            <w:proofErr w:type="spellEnd"/>
            <w:r w:rsidRPr="00B04255">
              <w:rPr>
                <w:lang w:val="en-GB"/>
              </w:rPr>
              <w:t>*Experimental group</w:t>
            </w:r>
          </w:p>
        </w:tc>
        <w:tc>
          <w:tcPr>
            <w:tcW w:w="772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</w:t>
            </w:r>
          </w:p>
        </w:tc>
        <w:tc>
          <w:tcPr>
            <w:tcW w:w="113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-3230.637</w:t>
            </w:r>
          </w:p>
        </w:tc>
        <w:tc>
          <w:tcPr>
            <w:tcW w:w="989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1.000</w:t>
            </w:r>
          </w:p>
        </w:tc>
      </w:tr>
    </w:tbl>
    <w:p w:rsidR="005E6394" w:rsidRPr="00B04255" w:rsidRDefault="005E6394" w:rsidP="005E6394">
      <w:pPr>
        <w:spacing w:line="480" w:lineRule="auto"/>
        <w:rPr>
          <w:lang w:val="en-GB"/>
        </w:rPr>
      </w:pPr>
      <w:r w:rsidRPr="00B04255">
        <w:rPr>
          <w:b/>
          <w:lang w:val="en-GB"/>
        </w:rPr>
        <w:t xml:space="preserve">Table </w:t>
      </w:r>
      <w:r w:rsidR="00DA305C">
        <w:rPr>
          <w:b/>
          <w:lang w:val="en-GB"/>
        </w:rPr>
        <w:t>S4</w:t>
      </w:r>
      <w:r w:rsidRPr="00B04255">
        <w:rPr>
          <w:b/>
          <w:lang w:val="en-GB"/>
        </w:rPr>
        <w:t xml:space="preserve">: </w:t>
      </w:r>
      <w:r w:rsidRPr="00B04255">
        <w:rPr>
          <w:lang w:val="en-GB"/>
        </w:rPr>
        <w:t xml:space="preserve">Context 2 – Field. </w:t>
      </w:r>
      <w:proofErr w:type="gramStart"/>
      <w:r w:rsidRPr="00B04255">
        <w:rPr>
          <w:lang w:val="en-GB"/>
        </w:rPr>
        <w:t>Model-averaged coefficients of final models.</w:t>
      </w:r>
      <w:proofErr w:type="gramEnd"/>
      <w:r w:rsidRPr="00B04255">
        <w:rPr>
          <w:lang w:val="en-GB"/>
        </w:rPr>
        <w:t xml:space="preserve"> Shown are the coefficients including adjusted standard errors (SE), lower and upper confidence intervals (CI) as well as </w:t>
      </w:r>
      <w:r w:rsidR="001226B6">
        <w:rPr>
          <w:lang w:val="en-GB"/>
        </w:rPr>
        <w:t xml:space="preserve">the </w:t>
      </w:r>
      <w:r w:rsidRPr="00B04255">
        <w:rPr>
          <w:lang w:val="en-GB"/>
        </w:rPr>
        <w:t xml:space="preserve">relative importance of the top-ranked </w:t>
      </w:r>
      <w:proofErr w:type="gramStart"/>
      <w:r w:rsidRPr="00B04255">
        <w:rPr>
          <w:lang w:val="en-GB"/>
        </w:rPr>
        <w:t>models.</w:t>
      </w:r>
      <w:proofErr w:type="gramEnd"/>
    </w:p>
    <w:tbl>
      <w:tblPr>
        <w:tblStyle w:val="TableGrid"/>
        <w:tblW w:w="0" w:type="auto"/>
        <w:tblLook w:val="04A0"/>
      </w:tblPr>
      <w:tblGrid>
        <w:gridCol w:w="1456"/>
        <w:gridCol w:w="1456"/>
        <w:gridCol w:w="1097"/>
        <w:gridCol w:w="1083"/>
        <w:gridCol w:w="1086"/>
        <w:gridCol w:w="1086"/>
        <w:gridCol w:w="1296"/>
      </w:tblGrid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Response variable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Coefficients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Estimate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Adjusted SE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CI lower limit (2.5%)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CI upper limit (97.5%)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Relative importance</w:t>
            </w:r>
          </w:p>
        </w:tc>
      </w:tr>
      <w:tr w:rsidR="005E6394" w:rsidRPr="00B04255" w:rsidTr="00A87C1C">
        <w:tc>
          <w:tcPr>
            <w:tcW w:w="8494" w:type="dxa"/>
            <w:gridSpan w:val="7"/>
          </w:tcPr>
          <w:p w:rsidR="005E6394" w:rsidRPr="00B04255" w:rsidRDefault="005E63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>1) Behavioural categories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0B01F7" w:rsidP="00A87C1C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Maintenance</w:t>
            </w:r>
            <w:r w:rsidR="005E6394" w:rsidRPr="00B04255">
              <w:rPr>
                <w:lang w:val="en-GB"/>
              </w:rPr>
              <w:t xml:space="preserve"> behaviour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0.671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0.492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0.627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-0.157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0.049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-0.153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0017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-0.339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0.048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-0.292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-0.113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-0.141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-0.119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0.115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Dorsal </w:t>
            </w:r>
            <w:r w:rsidR="000B01F7">
              <w:rPr>
                <w:lang w:val="en-GB"/>
              </w:rPr>
              <w:t>feather preening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0.981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0.914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0.982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-0.025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-0.039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-0.004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-0.002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0.063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0.076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Locomotion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0.641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0.040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0.564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0.720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0.028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0.168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0.279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0.234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0.441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0.187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0.048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0.272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Foraging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0.439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0.045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0.428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0.609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0.193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0.045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0.194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0.492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0.265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0.550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0.246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0.282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Initiated affiliative </w:t>
            </w:r>
            <w:r w:rsidRPr="00B04255">
              <w:rPr>
                <w:lang w:val="en-GB"/>
              </w:rPr>
              <w:lastRenderedPageBreak/>
              <w:t>behaviour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0.900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0.768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1.031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-0.105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0.090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-0.282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0.006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-0.179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0.190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-0.131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-0.242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-0.020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-0.274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-0.394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-0.154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-0.144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-0.276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-0.013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0.232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0.081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0.391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-0.074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-0.226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0.077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0.174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-0.004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0.353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0.128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0.089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-0.047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0.303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0.012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-0.172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0.197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Control group*Phase </w:t>
            </w:r>
            <w:r w:rsidRPr="00B04255">
              <w:rPr>
                <w:lang w:val="en-GB"/>
              </w:rPr>
              <w:lastRenderedPageBreak/>
              <w:t>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-0.008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-0.194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0.179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Received affiliative behaviour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0.897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0.774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1.019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-0.071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0.084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-0.235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0.023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0.087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-0.148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0.195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-0.164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-0.268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-0.060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-0.353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-0.461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-0.245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-0.183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-0.305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-0.061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0.249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0.400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0.059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0.076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-0.091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0.209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0.284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0.086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0.116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0.452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0.188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0.085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0.023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0.354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Logger group*Phase </w:t>
            </w:r>
            <w:r w:rsidRPr="00B04255">
              <w:rPr>
                <w:lang w:val="en-GB"/>
              </w:rPr>
              <w:lastRenderedPageBreak/>
              <w:t>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0.151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0.092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-0.029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0.331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-0.020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0.090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-0.197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0.157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Received agonistic behaviour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0.886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0.825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0.948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0.060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0.000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0.120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-0.005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0.142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-0.010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0.036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-0.080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0.060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8494" w:type="dxa"/>
            <w:gridSpan w:val="7"/>
          </w:tcPr>
          <w:p w:rsidR="005E6394" w:rsidRPr="00B04255" w:rsidRDefault="005E63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>2) Physiological parameter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CM</w:t>
            </w: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104.266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10.117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84.437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124.094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-30.517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14.379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-58.699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-2.335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-17.682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14.353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-45.813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10.449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2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-31.243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26.293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-82.776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20.291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-33.004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11.749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-56.031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-9.977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-62.831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12.121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-86.588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-39.074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-29.239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12.121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-53.379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-5.098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2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-16.238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68.329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-150.161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117.684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 xml:space="preserve">Logger group*Phase </w:t>
            </w:r>
            <w:r w:rsidRPr="00B04255">
              <w:rPr>
                <w:lang w:val="en-GB"/>
              </w:rPr>
              <w:lastRenderedPageBreak/>
              <w:t>2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lastRenderedPageBreak/>
              <w:t>0.533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41.379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-80.568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81.635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24.244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16.708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-8.503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56.990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3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4.711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16.255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-27.148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36.570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29.116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17.264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-4.721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62.953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4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40.769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17.648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6.180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75.358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Control group*Phase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10.356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17.861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-24.651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45.364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  <w:tr w:rsidR="005E6394" w:rsidRPr="00B04255" w:rsidTr="00A87C1C">
        <w:tc>
          <w:tcPr>
            <w:tcW w:w="1390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5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Logger group*Phase 5</w:t>
            </w:r>
          </w:p>
        </w:tc>
        <w:tc>
          <w:tcPr>
            <w:tcW w:w="1097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11.563</w:t>
            </w:r>
          </w:p>
        </w:tc>
        <w:tc>
          <w:tcPr>
            <w:tcW w:w="1083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17.876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-23.474</w:t>
            </w:r>
          </w:p>
        </w:tc>
        <w:tc>
          <w:tcPr>
            <w:tcW w:w="108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46.600</w:t>
            </w:r>
          </w:p>
        </w:tc>
        <w:tc>
          <w:tcPr>
            <w:tcW w:w="1296" w:type="dxa"/>
          </w:tcPr>
          <w:p w:rsidR="005E6394" w:rsidRPr="00B04255" w:rsidRDefault="005E63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1</w:t>
            </w:r>
          </w:p>
        </w:tc>
      </w:tr>
    </w:tbl>
    <w:p w:rsidR="005E6394" w:rsidRPr="00B04255" w:rsidRDefault="005E6394" w:rsidP="005E6394">
      <w:pPr>
        <w:spacing w:line="480" w:lineRule="auto"/>
        <w:rPr>
          <w:lang w:val="en-GB"/>
        </w:rPr>
      </w:pPr>
      <w:r w:rsidRPr="00B04255">
        <w:rPr>
          <w:lang w:val="en-GB"/>
        </w:rPr>
        <w:t>For experimental group, handling group was set to zero.</w:t>
      </w:r>
    </w:p>
    <w:p w:rsidR="00A059AA" w:rsidRPr="005E6394" w:rsidRDefault="005E6394">
      <w:pPr>
        <w:rPr>
          <w:lang w:val="en-GB"/>
        </w:rPr>
      </w:pPr>
      <w:r w:rsidRPr="00B04255">
        <w:rPr>
          <w:lang w:val="en-GB"/>
        </w:rPr>
        <w:t>For phase, phase 1 was set to zero.</w:t>
      </w:r>
      <w:bookmarkStart w:id="0" w:name="_GoBack"/>
      <w:bookmarkEnd w:id="0"/>
    </w:p>
    <w:sectPr w:rsidR="00A059AA" w:rsidRPr="005E6394" w:rsidSect="001D5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tDCwMDI3szA3NTc2MTVX0lEKTi0uzszPAymwqAUANnvs9SwAAAA="/>
  </w:docVars>
  <w:rsids>
    <w:rsidRoot w:val="005E6394"/>
    <w:rsid w:val="000B01F7"/>
    <w:rsid w:val="0012113B"/>
    <w:rsid w:val="001226B6"/>
    <w:rsid w:val="001D5405"/>
    <w:rsid w:val="00210B4A"/>
    <w:rsid w:val="003F4E89"/>
    <w:rsid w:val="005E6394"/>
    <w:rsid w:val="00737E2A"/>
    <w:rsid w:val="0079229B"/>
    <w:rsid w:val="007A3A0A"/>
    <w:rsid w:val="008120D3"/>
    <w:rsid w:val="008E29D8"/>
    <w:rsid w:val="00A059AA"/>
    <w:rsid w:val="00C50959"/>
    <w:rsid w:val="00D41DFA"/>
    <w:rsid w:val="00DA305C"/>
    <w:rsid w:val="00F0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94"/>
    <w:pPr>
      <w:spacing w:after="0" w:line="240" w:lineRule="auto"/>
    </w:pPr>
    <w:rPr>
      <w:rFonts w:ascii="Times New Roman"/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94"/>
    <w:pPr>
      <w:spacing w:after="0" w:line="240" w:lineRule="auto"/>
    </w:pPr>
    <w:rPr>
      <w:rFonts w:ascii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9229B"/>
  </w:style>
  <w:style w:type="paragraph" w:styleId="BalloonText">
    <w:name w:val="Balloon Text"/>
    <w:basedOn w:val="Normal"/>
    <w:link w:val="BalloonTextChar"/>
    <w:uiPriority w:val="99"/>
    <w:semiHidden/>
    <w:unhideWhenUsed/>
    <w:rsid w:val="001D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05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Pühringer-Sturmayr</dc:creator>
  <cp:keywords/>
  <dc:description/>
  <cp:lastModifiedBy>0013359</cp:lastModifiedBy>
  <cp:revision>11</cp:revision>
  <dcterms:created xsi:type="dcterms:W3CDTF">2019-03-26T14:06:00Z</dcterms:created>
  <dcterms:modified xsi:type="dcterms:W3CDTF">2020-01-02T07:01:00Z</dcterms:modified>
</cp:coreProperties>
</file>