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38"/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0"/>
          <w:lang w:val="en-US" w:eastAsia="zh-CN"/>
        </w:rPr>
        <w:t>Figure S1</w:t>
      </w:r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0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Performance of 106-CDS panel 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with 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the other 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cut-point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for predicting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the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efficacy of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immunotherapy.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681220"/>
            <wp:effectExtent l="0" t="0" r="3175" b="12700"/>
            <wp:docPr id="1" name="图片 1" descr="Fig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0"/>
          <w:lang w:val="en-US" w:eastAsia="zh-CN"/>
        </w:rPr>
        <w:t>Figure S1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18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 xml:space="preserve">Performance of 106-CDS panel 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 xml:space="preserve">with 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the other 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cut-point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for predicting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the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efficac</w:t>
      </w:r>
      <w:bookmarkStart w:id="1" w:name="_GoBack"/>
      <w:bookmarkEnd w:id="1"/>
      <w:r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y of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immunotherapy. a Kaplan–Meier curves of progression-free survival (PFS) for 59 advanced lung adenocarcinoma (LUAD) patients in the Matthew dataset, using the 106-CDS panel with the cut-point of the upper quartiles. b Kaplan–Meier curves of progression-free survival (PFS) for 59 advanced lung adenocarcinoma (LUAD) patients in the Matthew dataset, using the 106-CDS panel with the cut-point of the upper tertiles. c Kaplan–Meier curves of progression-free survival (PFS) for 29 advanced lung adenocarcinoma (LUAD) patients in the Rizvi dataset, using the 106-CDS panel with the cut-point of the upper quartiles. d Kaplan–Meier curves of progression-free survival (PFS) for 29 advanced lung adenocarcinoma (LUAD) patients in the Rizvi dataset, using the 106-CDS panel with the cut-point of the upper tertiles. The hazard ratio (HR) and 95% confidence interval (CI) were determined using univariate Cox regression models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448D8"/>
    <w:rsid w:val="37A74073"/>
    <w:rsid w:val="3C7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2020-01-09T07:38:00Z</dcterms:created>
  <dc:creator>Administrator</dc:creator>
  <cp:lastModifiedBy>Administrator</cp:lastModifiedBy>
  <dcterms:modified xsi:type="dcterms:W3CDTF">2020-01-09T07:57:44Z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