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E7" w:rsidRDefault="00062E91" w:rsidP="00700786">
      <w:pPr>
        <w:spacing w:line="480" w:lineRule="auto"/>
        <w:rPr>
          <w:rFonts w:ascii="Times New Roman" w:hAnsi="Times New Roman"/>
          <w:sz w:val="24"/>
        </w:rPr>
      </w:pPr>
      <w:r>
        <w:rPr>
          <w:rFonts w:ascii="Times New Roman" w:hAnsi="Times New Roman"/>
          <w:b/>
          <w:bCs/>
          <w:sz w:val="24"/>
        </w:rPr>
        <w:t>Table S2</w:t>
      </w:r>
      <w:r>
        <w:rPr>
          <w:rFonts w:ascii="Times New Roman" w:hAnsi="Times New Roman" w:hint="eastAsia"/>
          <w:b/>
          <w:bCs/>
          <w:sz w:val="24"/>
        </w:rPr>
        <w:t>.</w:t>
      </w:r>
      <w:r>
        <w:rPr>
          <w:rFonts w:ascii="Times New Roman" w:hAnsi="Times New Roman"/>
          <w:sz w:val="24"/>
        </w:rPr>
        <w:t xml:space="preserve"> Technical details of TMB evaluation</w:t>
      </w:r>
    </w:p>
    <w:tbl>
      <w:tblPr>
        <w:tblStyle w:val="TableGrid"/>
        <w:tblW w:w="4998" w:type="pct"/>
        <w:tblBorders>
          <w:left w:val="none" w:sz="0" w:space="0" w:color="auto"/>
          <w:right w:val="none" w:sz="0" w:space="0" w:color="auto"/>
          <w:insideH w:val="none" w:sz="0" w:space="0" w:color="auto"/>
          <w:insideV w:val="none" w:sz="0" w:space="0" w:color="auto"/>
        </w:tblBorders>
        <w:tblLook w:val="04A0"/>
      </w:tblPr>
      <w:tblGrid>
        <w:gridCol w:w="2276"/>
        <w:gridCol w:w="6243"/>
      </w:tblGrid>
      <w:tr w:rsidR="00062E91" w:rsidTr="00062E91">
        <w:tc>
          <w:tcPr>
            <w:tcW w:w="1336" w:type="pct"/>
            <w:tcBorders>
              <w:top w:val="single" w:sz="8" w:space="0" w:color="auto"/>
              <w:bottom w:val="single" w:sz="8" w:space="0" w:color="auto"/>
            </w:tcBorders>
          </w:tcPr>
          <w:p w:rsidR="00062E91" w:rsidRDefault="00062E91">
            <w:pPr>
              <w:rPr>
                <w:rFonts w:ascii="Times New Roman" w:hAnsi="Times New Roman"/>
                <w:sz w:val="20"/>
                <w:szCs w:val="20"/>
              </w:rPr>
            </w:pPr>
            <w:r>
              <w:rPr>
                <w:rFonts w:ascii="Times New Roman" w:hAnsi="Times New Roman" w:hint="eastAsia"/>
                <w:sz w:val="20"/>
                <w:szCs w:val="20"/>
              </w:rPr>
              <w:t>Type</w:t>
            </w:r>
          </w:p>
        </w:tc>
        <w:tc>
          <w:tcPr>
            <w:tcW w:w="3664" w:type="pct"/>
            <w:tcBorders>
              <w:top w:val="single" w:sz="8" w:space="0" w:color="auto"/>
              <w:bottom w:val="single" w:sz="8" w:space="0" w:color="auto"/>
            </w:tcBorders>
          </w:tcPr>
          <w:p w:rsidR="00062E91" w:rsidRDefault="00062E91">
            <w:pPr>
              <w:rPr>
                <w:rFonts w:ascii="Times New Roman" w:hAnsi="Times New Roman"/>
                <w:sz w:val="20"/>
                <w:szCs w:val="20"/>
              </w:rPr>
            </w:pPr>
            <w:r>
              <w:rPr>
                <w:rFonts w:ascii="Times New Roman" w:hAnsi="Times New Roman" w:hint="eastAsia"/>
                <w:sz w:val="20"/>
                <w:szCs w:val="20"/>
              </w:rPr>
              <w:t>Parameter</w:t>
            </w:r>
          </w:p>
        </w:tc>
      </w:tr>
      <w:tr w:rsidR="00062E91" w:rsidTr="00062E91">
        <w:tc>
          <w:tcPr>
            <w:tcW w:w="1336" w:type="pct"/>
            <w:tcBorders>
              <w:top w:val="single" w:sz="8" w:space="0" w:color="auto"/>
            </w:tcBorders>
          </w:tcPr>
          <w:p w:rsidR="00062E91" w:rsidRDefault="00062E91" w:rsidP="00062E91">
            <w:pPr>
              <w:rPr>
                <w:rFonts w:ascii="Times New Roman" w:hAnsi="Times New Roman"/>
                <w:sz w:val="20"/>
                <w:szCs w:val="20"/>
              </w:rPr>
            </w:pPr>
            <w:r>
              <w:rPr>
                <w:rFonts w:ascii="Times New Roman" w:hAnsi="Times New Roman"/>
                <w:sz w:val="20"/>
                <w:szCs w:val="20"/>
              </w:rPr>
              <w:t>Cancer type</w:t>
            </w:r>
          </w:p>
        </w:tc>
        <w:tc>
          <w:tcPr>
            <w:tcW w:w="3664" w:type="pct"/>
            <w:tcBorders>
              <w:top w:val="single" w:sz="8" w:space="0" w:color="auto"/>
            </w:tcBorders>
          </w:tcPr>
          <w:p w:rsidR="00062E91" w:rsidRDefault="00062E91" w:rsidP="00062E91">
            <w:pPr>
              <w:rPr>
                <w:rFonts w:ascii="Times New Roman" w:hAnsi="Times New Roman"/>
                <w:sz w:val="20"/>
                <w:szCs w:val="20"/>
              </w:rPr>
            </w:pPr>
            <w:r>
              <w:rPr>
                <w:rFonts w:ascii="Times New Roman" w:hAnsi="Times New Roman"/>
                <w:sz w:val="20"/>
                <w:szCs w:val="20"/>
              </w:rPr>
              <w:t>LUAD</w:t>
            </w:r>
          </w:p>
        </w:tc>
      </w:tr>
      <w:tr w:rsidR="00062E91" w:rsidTr="00062E91">
        <w:tc>
          <w:tcPr>
            <w:tcW w:w="1336" w:type="pct"/>
          </w:tcPr>
          <w:p w:rsidR="00062E91" w:rsidRDefault="00062E91" w:rsidP="00062E91">
            <w:pPr>
              <w:rPr>
                <w:rFonts w:ascii="Times New Roman" w:hAnsi="Times New Roman"/>
                <w:sz w:val="20"/>
                <w:szCs w:val="20"/>
              </w:rPr>
            </w:pPr>
            <w:r>
              <w:rPr>
                <w:rFonts w:ascii="Times New Roman" w:hAnsi="Times New Roman"/>
                <w:sz w:val="20"/>
                <w:szCs w:val="20"/>
              </w:rPr>
              <w:t>Input material</w:t>
            </w:r>
          </w:p>
        </w:tc>
        <w:tc>
          <w:tcPr>
            <w:tcW w:w="3664" w:type="pct"/>
          </w:tcPr>
          <w:p w:rsidR="00062E91" w:rsidRDefault="00062E91" w:rsidP="00062E91">
            <w:pPr>
              <w:rPr>
                <w:rFonts w:ascii="Times New Roman" w:hAnsi="Times New Roman"/>
                <w:sz w:val="20"/>
                <w:szCs w:val="20"/>
              </w:rPr>
            </w:pPr>
            <w:r>
              <w:rPr>
                <w:rFonts w:ascii="Times New Roman" w:hAnsi="Times New Roman"/>
                <w:sz w:val="20"/>
                <w:szCs w:val="20"/>
              </w:rPr>
              <w:t>FFPE or frozen</w:t>
            </w:r>
          </w:p>
        </w:tc>
      </w:tr>
      <w:tr w:rsidR="00062E91" w:rsidTr="00062E91">
        <w:tc>
          <w:tcPr>
            <w:tcW w:w="1336" w:type="pct"/>
          </w:tcPr>
          <w:p w:rsidR="00062E91" w:rsidRDefault="00062E91" w:rsidP="00062E91">
            <w:pPr>
              <w:rPr>
                <w:rFonts w:ascii="Times New Roman" w:hAnsi="Times New Roman"/>
                <w:sz w:val="20"/>
                <w:szCs w:val="20"/>
              </w:rPr>
            </w:pPr>
            <w:r>
              <w:rPr>
                <w:rFonts w:ascii="Times New Roman" w:hAnsi="Times New Roman"/>
                <w:sz w:val="20"/>
                <w:szCs w:val="20"/>
              </w:rPr>
              <w:t>Tumor cellularity</w:t>
            </w:r>
          </w:p>
        </w:tc>
        <w:tc>
          <w:tcPr>
            <w:tcW w:w="3664" w:type="pct"/>
          </w:tcPr>
          <w:p w:rsidR="00062E91" w:rsidRDefault="00062E91" w:rsidP="00062E91">
            <w:pPr>
              <w:rPr>
                <w:rFonts w:ascii="Times New Roman" w:hAnsi="Times New Roman"/>
                <w:sz w:val="20"/>
                <w:szCs w:val="20"/>
              </w:rPr>
            </w:pPr>
            <w:r>
              <w:rPr>
                <w:rFonts w:ascii="Times New Roman" w:hAnsi="Times New Roman"/>
                <w:sz w:val="20"/>
                <w:szCs w:val="20"/>
              </w:rPr>
              <w:t>&gt;60% cellularity, &lt;20% necrosis</w:t>
            </w:r>
          </w:p>
        </w:tc>
      </w:tr>
      <w:tr w:rsidR="00062E91" w:rsidTr="00062E91">
        <w:tc>
          <w:tcPr>
            <w:tcW w:w="1336" w:type="pct"/>
          </w:tcPr>
          <w:p w:rsidR="00062E91" w:rsidRDefault="00062E91" w:rsidP="00062E91">
            <w:pPr>
              <w:rPr>
                <w:rFonts w:ascii="Times New Roman" w:hAnsi="Times New Roman"/>
                <w:sz w:val="20"/>
                <w:szCs w:val="20"/>
              </w:rPr>
            </w:pPr>
            <w:r>
              <w:rPr>
                <w:rFonts w:ascii="Times New Roman" w:hAnsi="Times New Roman"/>
                <w:sz w:val="20"/>
                <w:szCs w:val="20"/>
              </w:rPr>
              <w:t>DNA extraction</w:t>
            </w:r>
          </w:p>
        </w:tc>
        <w:tc>
          <w:tcPr>
            <w:tcW w:w="3664" w:type="pct"/>
          </w:tcPr>
          <w:p w:rsidR="00062E91" w:rsidRDefault="00062E91" w:rsidP="00062E91">
            <w:pPr>
              <w:rPr>
                <w:rFonts w:ascii="Times New Roman" w:hAnsi="Times New Roman"/>
                <w:sz w:val="20"/>
                <w:szCs w:val="20"/>
              </w:rPr>
            </w:pPr>
            <w:r>
              <w:rPr>
                <w:rFonts w:ascii="Times New Roman" w:hAnsi="Times New Roman"/>
                <w:sz w:val="20"/>
                <w:szCs w:val="20"/>
              </w:rPr>
              <w:t>DNEasy (Qiagen)</w:t>
            </w:r>
          </w:p>
        </w:tc>
      </w:tr>
      <w:tr w:rsidR="00062E91" w:rsidTr="00062E91">
        <w:tc>
          <w:tcPr>
            <w:tcW w:w="1336" w:type="pct"/>
          </w:tcPr>
          <w:p w:rsidR="00062E91" w:rsidRDefault="00062E91" w:rsidP="00062E91">
            <w:pPr>
              <w:rPr>
                <w:rFonts w:ascii="Times New Roman" w:hAnsi="Times New Roman"/>
                <w:sz w:val="20"/>
                <w:szCs w:val="20"/>
              </w:rPr>
            </w:pPr>
            <w:r>
              <w:rPr>
                <w:rFonts w:ascii="Times New Roman" w:hAnsi="Times New Roman"/>
                <w:sz w:val="20"/>
                <w:szCs w:val="20"/>
              </w:rPr>
              <w:t>Capture</w:t>
            </w:r>
          </w:p>
        </w:tc>
        <w:tc>
          <w:tcPr>
            <w:tcW w:w="3664" w:type="pct"/>
          </w:tcPr>
          <w:p w:rsidR="00062E91" w:rsidRDefault="00062E91" w:rsidP="00062E91">
            <w:pPr>
              <w:rPr>
                <w:rFonts w:ascii="Times New Roman" w:hAnsi="Times New Roman"/>
                <w:sz w:val="20"/>
                <w:szCs w:val="20"/>
              </w:rPr>
            </w:pPr>
            <w:r>
              <w:rPr>
                <w:rFonts w:ascii="Times New Roman" w:hAnsi="Times New Roman"/>
                <w:sz w:val="20"/>
                <w:szCs w:val="20"/>
              </w:rPr>
              <w:t>SureSelect All Exon v5 (50Mbp)</w:t>
            </w:r>
            <w:r>
              <w:rPr>
                <w:rFonts w:ascii="Times New Roman" w:hAnsi="Times New Roman" w:hint="eastAsia"/>
                <w:sz w:val="20"/>
                <w:szCs w:val="20"/>
              </w:rPr>
              <w:t xml:space="preserve"> </w:t>
            </w:r>
            <w:r>
              <w:rPr>
                <w:rFonts w:ascii="Times New Roman" w:hAnsi="Times New Roman"/>
                <w:sz w:val="20"/>
                <w:szCs w:val="20"/>
              </w:rPr>
              <w:t>(Agilent)</w:t>
            </w:r>
          </w:p>
        </w:tc>
      </w:tr>
      <w:tr w:rsidR="00062E91" w:rsidTr="00062E91">
        <w:tc>
          <w:tcPr>
            <w:tcW w:w="1336" w:type="pct"/>
          </w:tcPr>
          <w:p w:rsidR="00062E91" w:rsidRDefault="00062E91" w:rsidP="00062E91">
            <w:pPr>
              <w:rPr>
                <w:rFonts w:ascii="Times New Roman" w:hAnsi="Times New Roman"/>
                <w:sz w:val="20"/>
                <w:szCs w:val="20"/>
              </w:rPr>
            </w:pPr>
            <w:r>
              <w:rPr>
                <w:rFonts w:ascii="Times New Roman" w:hAnsi="Times New Roman"/>
                <w:sz w:val="20"/>
                <w:szCs w:val="20"/>
              </w:rPr>
              <w:t>Depth of coverage</w:t>
            </w:r>
          </w:p>
        </w:tc>
        <w:tc>
          <w:tcPr>
            <w:tcW w:w="3664" w:type="pct"/>
          </w:tcPr>
          <w:p w:rsidR="00062E91" w:rsidRDefault="00062E91" w:rsidP="00062E91">
            <w:pPr>
              <w:rPr>
                <w:rFonts w:ascii="Times New Roman" w:hAnsi="Times New Roman"/>
                <w:sz w:val="20"/>
                <w:szCs w:val="20"/>
              </w:rPr>
            </w:pPr>
            <w:r>
              <w:rPr>
                <w:rFonts w:ascii="Times New Roman" w:hAnsi="Times New Roman"/>
                <w:sz w:val="20"/>
                <w:szCs w:val="20"/>
              </w:rPr>
              <w:t>97.63×</w:t>
            </w:r>
          </w:p>
        </w:tc>
      </w:tr>
      <w:tr w:rsidR="00062E91" w:rsidTr="00062E91">
        <w:tc>
          <w:tcPr>
            <w:tcW w:w="1336" w:type="pct"/>
          </w:tcPr>
          <w:p w:rsidR="00062E91" w:rsidRDefault="00062E91" w:rsidP="00062E91">
            <w:pPr>
              <w:rPr>
                <w:rFonts w:ascii="Times New Roman" w:hAnsi="Times New Roman"/>
                <w:sz w:val="20"/>
                <w:szCs w:val="20"/>
              </w:rPr>
            </w:pPr>
            <w:r>
              <w:rPr>
                <w:rFonts w:ascii="Times New Roman" w:hAnsi="Times New Roman"/>
                <w:sz w:val="20"/>
                <w:szCs w:val="20"/>
              </w:rPr>
              <w:t>Sequencer</w:t>
            </w:r>
          </w:p>
        </w:tc>
        <w:tc>
          <w:tcPr>
            <w:tcW w:w="3664" w:type="pct"/>
          </w:tcPr>
          <w:p w:rsidR="00062E91" w:rsidRDefault="00062E91" w:rsidP="00062E91">
            <w:pPr>
              <w:rPr>
                <w:rFonts w:ascii="Times New Roman" w:hAnsi="Times New Roman"/>
                <w:sz w:val="20"/>
                <w:szCs w:val="20"/>
              </w:rPr>
            </w:pPr>
            <w:r>
              <w:rPr>
                <w:rFonts w:ascii="Times New Roman" w:hAnsi="Times New Roman"/>
                <w:sz w:val="20"/>
                <w:szCs w:val="20"/>
              </w:rPr>
              <w:t>HiSeq 2000</w:t>
            </w:r>
            <w:r>
              <w:rPr>
                <w:rFonts w:ascii="Times New Roman" w:hAnsi="Times New Roman" w:hint="eastAsia"/>
                <w:sz w:val="20"/>
                <w:szCs w:val="20"/>
              </w:rPr>
              <w:t xml:space="preserve"> </w:t>
            </w:r>
            <w:r>
              <w:rPr>
                <w:rFonts w:ascii="Times New Roman" w:hAnsi="Times New Roman"/>
                <w:sz w:val="20"/>
                <w:szCs w:val="20"/>
              </w:rPr>
              <w:t xml:space="preserve">(Illumina)  </w:t>
            </w:r>
          </w:p>
        </w:tc>
      </w:tr>
      <w:tr w:rsidR="00062E91" w:rsidTr="00062E91">
        <w:tc>
          <w:tcPr>
            <w:tcW w:w="1336" w:type="pct"/>
          </w:tcPr>
          <w:p w:rsidR="00062E91" w:rsidRDefault="00062E91" w:rsidP="00062E91">
            <w:pPr>
              <w:rPr>
                <w:rFonts w:ascii="Times New Roman" w:hAnsi="Times New Roman"/>
                <w:sz w:val="20"/>
                <w:szCs w:val="20"/>
              </w:rPr>
            </w:pPr>
            <w:r>
              <w:rPr>
                <w:rFonts w:ascii="Times New Roman" w:hAnsi="Times New Roman"/>
                <w:sz w:val="20"/>
                <w:szCs w:val="20"/>
              </w:rPr>
              <w:t>Mutation types</w:t>
            </w:r>
          </w:p>
        </w:tc>
        <w:tc>
          <w:tcPr>
            <w:tcW w:w="3664" w:type="pct"/>
          </w:tcPr>
          <w:p w:rsidR="00062E91" w:rsidRDefault="00062E91" w:rsidP="00062E91">
            <w:pPr>
              <w:rPr>
                <w:rFonts w:ascii="Times New Roman" w:hAnsi="Times New Roman"/>
                <w:sz w:val="20"/>
                <w:szCs w:val="20"/>
              </w:rPr>
            </w:pPr>
            <w:r>
              <w:rPr>
                <w:rFonts w:ascii="Times New Roman" w:hAnsi="Times New Roman"/>
                <w:sz w:val="20"/>
                <w:szCs w:val="20"/>
              </w:rPr>
              <w:t>nonsyn.</w:t>
            </w:r>
          </w:p>
        </w:tc>
      </w:tr>
      <w:tr w:rsidR="00062E91" w:rsidTr="00062E91">
        <w:tc>
          <w:tcPr>
            <w:tcW w:w="1336" w:type="pct"/>
          </w:tcPr>
          <w:p w:rsidR="00062E91" w:rsidRDefault="00062E91" w:rsidP="00062E91">
            <w:pPr>
              <w:rPr>
                <w:rFonts w:ascii="Times New Roman" w:hAnsi="Times New Roman"/>
                <w:sz w:val="20"/>
                <w:szCs w:val="20"/>
              </w:rPr>
            </w:pPr>
            <w:r>
              <w:rPr>
                <w:rFonts w:ascii="Times New Roman" w:hAnsi="Times New Roman"/>
                <w:sz w:val="20"/>
                <w:szCs w:val="20"/>
              </w:rPr>
              <w:t>Filtering germline</w:t>
            </w:r>
          </w:p>
        </w:tc>
        <w:tc>
          <w:tcPr>
            <w:tcW w:w="3664" w:type="pct"/>
          </w:tcPr>
          <w:p w:rsidR="00062E91" w:rsidRDefault="00062E91" w:rsidP="00062E91">
            <w:pPr>
              <w:rPr>
                <w:rFonts w:ascii="Times New Roman" w:hAnsi="Times New Roman"/>
                <w:sz w:val="20"/>
                <w:szCs w:val="20"/>
              </w:rPr>
            </w:pPr>
            <w:r>
              <w:rPr>
                <w:rFonts w:ascii="Times New Roman" w:hAnsi="Times New Roman"/>
                <w:sz w:val="20"/>
                <w:szCs w:val="20"/>
              </w:rPr>
              <w:t>(Blood or normal tissue)</w:t>
            </w:r>
          </w:p>
        </w:tc>
      </w:tr>
      <w:tr w:rsidR="00062E91" w:rsidTr="00062E91">
        <w:tc>
          <w:tcPr>
            <w:tcW w:w="1336" w:type="pct"/>
            <w:tcBorders>
              <w:bottom w:val="single" w:sz="8" w:space="0" w:color="auto"/>
            </w:tcBorders>
          </w:tcPr>
          <w:p w:rsidR="00062E91" w:rsidRDefault="00062E91" w:rsidP="00062E91">
            <w:pPr>
              <w:rPr>
                <w:rFonts w:ascii="Times New Roman" w:hAnsi="Times New Roman"/>
                <w:sz w:val="20"/>
                <w:szCs w:val="20"/>
              </w:rPr>
            </w:pPr>
            <w:r>
              <w:rPr>
                <w:rFonts w:ascii="Times New Roman" w:hAnsi="Times New Roman"/>
                <w:sz w:val="20"/>
                <w:szCs w:val="20"/>
              </w:rPr>
              <w:t>Ref.</w:t>
            </w:r>
          </w:p>
        </w:tc>
        <w:tc>
          <w:tcPr>
            <w:tcW w:w="3664" w:type="pct"/>
            <w:tcBorders>
              <w:bottom w:val="single" w:sz="8" w:space="0" w:color="auto"/>
            </w:tcBorders>
          </w:tcPr>
          <w:p w:rsidR="00062E91" w:rsidRDefault="00735195" w:rsidP="00062E91">
            <w:pPr>
              <w:rPr>
                <w:rFonts w:ascii="Times New Roman" w:hAnsi="Times New Roman"/>
                <w:sz w:val="20"/>
                <w:szCs w:val="20"/>
                <w:highlight w:val="yellow"/>
              </w:rPr>
            </w:pPr>
            <w:r w:rsidRPr="007D183D">
              <w:rPr>
                <w:rFonts w:ascii="Times New Roman" w:hAnsi="Times New Roman"/>
                <w:sz w:val="20"/>
                <w:szCs w:val="20"/>
              </w:rPr>
              <w:fldChar w:fldCharType="begin" w:fldLock="1"/>
            </w:r>
            <w:r w:rsidR="007D183D">
              <w:rPr>
                <w:rFonts w:ascii="Times New Roman" w:hAnsi="Times New Roman"/>
                <w:sz w:val="20"/>
                <w:szCs w:val="20"/>
              </w:rPr>
              <w:instrText>ADDIN CSL_CITATION {"citationItems":[{"id":"ITEM-1","itemData":{"DOI":"10.1038/nature13385","ISSN":"1476-4687","abstract":"Adenocarcinoma of the lung is the leading cause of cancer death worldwide. Here we report molecular profiling of 230 resected lung adenocarcinomas using messenger RNA, microRNA and DNA sequencing integrated with copy number, methylation and proteomic analyses. High rates of somatic mutation were seen (mean 8.9 mutations per megabase). Eighteen genes were statistically significantly mutated, including RIT1 activating mutations and newly described loss-of-function MGA mutations which are mutually exclusive with focal MYC amplification. EGFR mutations were more frequent in female patients, whereas mutations in RBM10 were more common in males. Aberrations in NF1, MET, ERBB2 and RIT1 occurred in 13% of cases and were enriched in samples otherwise lacking an activated oncogene, suggesting a driver role for these events in certain tumours. DNA and mRNA sequence from the same tumour highlighted splicing alterations driven by somatic genomic changes, including exon 14 skipping in MET mRNA in 4% of cases. MAPK and PI(3)K pathway activity, when measured at the protein level, was explained by known mutations in only a fraction of cases, suggesting additional, unexplained mechanisms of pathway activation. These data establish a foundation for classification and further investigations of lung adenocarcinoma molecular pathogenesis.","author":[{"dropping-particle":"","family":"Network","given":"Cancer Genome Atlas Research","non-dropping-particle":"","parse-names":false,"suffix":""}],"container-title":"Nature","edition":"2014/07/09","id":"ITEM-1","issue":"7511","issued":{"date-parts":[["2014","7","31"]]},"language":"eng","page":"543-550","title":"Comprehensive molecular profiling of lung adenocarcinoma","type":"article-journal","volume":"511"},"uris":["http://www.mendeley.com/documents/?uuid=aec348c6-d9d2-4a86-a479-cccbb9e9445d"]}],"mendeley":{"formattedCitation":"[1]","plainTextFormattedCitation":"[1]","previouslyFormattedCitation":"[1]"},"properties":{"noteIndex":0},"schema":"https://github.com/citation-style-language/schema/raw/master/csl-citation.json"}</w:instrText>
            </w:r>
            <w:r w:rsidRPr="007D183D">
              <w:rPr>
                <w:rFonts w:ascii="Times New Roman" w:hAnsi="Times New Roman"/>
                <w:sz w:val="20"/>
                <w:szCs w:val="20"/>
              </w:rPr>
              <w:fldChar w:fldCharType="separate"/>
            </w:r>
            <w:r w:rsidR="007D183D" w:rsidRPr="007D183D">
              <w:rPr>
                <w:rFonts w:ascii="Times New Roman" w:hAnsi="Times New Roman"/>
                <w:noProof/>
                <w:sz w:val="20"/>
                <w:szCs w:val="20"/>
              </w:rPr>
              <w:t>[1]</w:t>
            </w:r>
            <w:r w:rsidRPr="007D183D">
              <w:rPr>
                <w:rFonts w:ascii="Times New Roman" w:hAnsi="Times New Roman"/>
                <w:sz w:val="20"/>
                <w:szCs w:val="20"/>
              </w:rPr>
              <w:fldChar w:fldCharType="end"/>
            </w:r>
          </w:p>
        </w:tc>
      </w:tr>
    </w:tbl>
    <w:p w:rsidR="000A60E7" w:rsidRDefault="000A60E7" w:rsidP="00700786">
      <w:pPr>
        <w:spacing w:line="480" w:lineRule="auto"/>
      </w:pPr>
      <w:bookmarkStart w:id="0" w:name="_GoBack"/>
      <w:bookmarkEnd w:id="0"/>
    </w:p>
    <w:p w:rsidR="007D183D" w:rsidRPr="00700786" w:rsidRDefault="007D183D" w:rsidP="00700786">
      <w:pPr>
        <w:spacing w:line="480" w:lineRule="auto"/>
        <w:rPr>
          <w:rFonts w:ascii="Times New Roman" w:hAnsi="Times New Roman"/>
          <w:b/>
          <w:sz w:val="24"/>
        </w:rPr>
      </w:pPr>
      <w:r w:rsidRPr="00700786">
        <w:rPr>
          <w:rFonts w:ascii="Times New Roman" w:hAnsi="Times New Roman"/>
          <w:b/>
          <w:sz w:val="24"/>
        </w:rPr>
        <w:t>Reference</w:t>
      </w:r>
    </w:p>
    <w:p w:rsidR="007D183D" w:rsidRPr="00700786" w:rsidRDefault="007D183D" w:rsidP="00700786">
      <w:pPr>
        <w:spacing w:line="480" w:lineRule="auto"/>
        <w:rPr>
          <w:rFonts w:ascii="Times New Roman" w:hAnsi="Times New Roman"/>
          <w:sz w:val="24"/>
        </w:rPr>
      </w:pPr>
    </w:p>
    <w:p w:rsidR="007D183D" w:rsidRPr="00406D6D" w:rsidRDefault="00735195" w:rsidP="00700786">
      <w:pPr>
        <w:autoSpaceDE w:val="0"/>
        <w:autoSpaceDN w:val="0"/>
        <w:adjustRightInd w:val="0"/>
        <w:spacing w:line="480" w:lineRule="auto"/>
        <w:jc w:val="left"/>
        <w:rPr>
          <w:sz w:val="20"/>
          <w:szCs w:val="20"/>
        </w:rPr>
      </w:pPr>
      <w:r w:rsidRPr="00406D6D">
        <w:rPr>
          <w:rFonts w:ascii="Times New Roman" w:hAnsi="Times New Roman"/>
          <w:sz w:val="20"/>
          <w:szCs w:val="20"/>
        </w:rPr>
        <w:fldChar w:fldCharType="begin" w:fldLock="1"/>
      </w:r>
      <w:r w:rsidR="007D183D" w:rsidRPr="00406D6D">
        <w:rPr>
          <w:rFonts w:ascii="Times New Roman" w:hAnsi="Times New Roman"/>
          <w:sz w:val="20"/>
          <w:szCs w:val="20"/>
        </w:rPr>
        <w:instrText xml:space="preserve">ADDIN Mendeley Bibliography CSL_BIBLIOGRAPHY </w:instrText>
      </w:r>
      <w:r w:rsidRPr="00406D6D">
        <w:rPr>
          <w:rFonts w:ascii="Times New Roman" w:hAnsi="Times New Roman"/>
          <w:sz w:val="20"/>
          <w:szCs w:val="20"/>
        </w:rPr>
        <w:fldChar w:fldCharType="separate"/>
      </w:r>
      <w:r w:rsidR="007D183D" w:rsidRPr="00406D6D">
        <w:rPr>
          <w:rFonts w:ascii="Times New Roman" w:hAnsi="Times New Roman"/>
          <w:noProof/>
          <w:kern w:val="0"/>
          <w:sz w:val="20"/>
          <w:szCs w:val="20"/>
        </w:rPr>
        <w:t xml:space="preserve">1. Network CGAR. Comprehensive molecular profiling of lung adenocarcinoma. Nature. 2014/07/09. 2014;511:543–50. </w:t>
      </w:r>
      <w:r w:rsidRPr="00406D6D">
        <w:rPr>
          <w:rFonts w:ascii="Times New Roman" w:hAnsi="Times New Roman"/>
          <w:sz w:val="20"/>
          <w:szCs w:val="20"/>
        </w:rPr>
        <w:fldChar w:fldCharType="end"/>
      </w:r>
    </w:p>
    <w:sectPr w:rsidR="007D183D" w:rsidRPr="00406D6D" w:rsidSect="00285D7B">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76E" w:rsidRDefault="005E376E" w:rsidP="007D183D">
      <w:r>
        <w:separator/>
      </w:r>
    </w:p>
  </w:endnote>
  <w:endnote w:type="continuationSeparator" w:id="0">
    <w:p w:rsidR="005E376E" w:rsidRDefault="005E376E" w:rsidP="007D1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976985"/>
      <w:docPartObj>
        <w:docPartGallery w:val="Page Numbers (Bottom of Page)"/>
        <w:docPartUnique/>
      </w:docPartObj>
    </w:sdtPr>
    <w:sdtContent>
      <w:sdt>
        <w:sdtPr>
          <w:id w:val="-1705238520"/>
          <w:docPartObj>
            <w:docPartGallery w:val="Page Numbers (Top of Page)"/>
            <w:docPartUnique/>
          </w:docPartObj>
        </w:sdtPr>
        <w:sdtContent>
          <w:p w:rsidR="009E6EA0" w:rsidRDefault="009E6EA0">
            <w:pPr>
              <w:pStyle w:val="Footer"/>
            </w:pPr>
            <w:r>
              <w:rPr>
                <w:lang w:val="zh-CN"/>
              </w:rPr>
              <w:t xml:space="preserve"> </w:t>
            </w:r>
            <w:r w:rsidR="00735195">
              <w:rPr>
                <w:b/>
                <w:bCs/>
                <w:sz w:val="24"/>
                <w:szCs w:val="24"/>
              </w:rPr>
              <w:fldChar w:fldCharType="begin"/>
            </w:r>
            <w:r>
              <w:rPr>
                <w:b/>
                <w:bCs/>
              </w:rPr>
              <w:instrText>PAGE</w:instrText>
            </w:r>
            <w:r w:rsidR="00735195">
              <w:rPr>
                <w:b/>
                <w:bCs/>
                <w:sz w:val="24"/>
                <w:szCs w:val="24"/>
              </w:rPr>
              <w:fldChar w:fldCharType="separate"/>
            </w:r>
            <w:r w:rsidR="00285D7B">
              <w:rPr>
                <w:b/>
                <w:bCs/>
                <w:noProof/>
              </w:rPr>
              <w:t>1</w:t>
            </w:r>
            <w:r w:rsidR="00735195">
              <w:rPr>
                <w:b/>
                <w:bCs/>
                <w:sz w:val="24"/>
                <w:szCs w:val="24"/>
              </w:rPr>
              <w:fldChar w:fldCharType="end"/>
            </w:r>
            <w:r>
              <w:rPr>
                <w:lang w:val="zh-CN"/>
              </w:rPr>
              <w:t xml:space="preserve"> / </w:t>
            </w:r>
            <w:r w:rsidR="00735195">
              <w:rPr>
                <w:b/>
                <w:bCs/>
                <w:sz w:val="24"/>
                <w:szCs w:val="24"/>
              </w:rPr>
              <w:fldChar w:fldCharType="begin"/>
            </w:r>
            <w:r>
              <w:rPr>
                <w:b/>
                <w:bCs/>
              </w:rPr>
              <w:instrText>NUMPAGES</w:instrText>
            </w:r>
            <w:r w:rsidR="00735195">
              <w:rPr>
                <w:b/>
                <w:bCs/>
                <w:sz w:val="24"/>
                <w:szCs w:val="24"/>
              </w:rPr>
              <w:fldChar w:fldCharType="separate"/>
            </w:r>
            <w:r w:rsidR="00285D7B">
              <w:rPr>
                <w:b/>
                <w:bCs/>
                <w:noProof/>
              </w:rPr>
              <w:t>1</w:t>
            </w:r>
            <w:r w:rsidR="00735195">
              <w:rPr>
                <w:b/>
                <w:bCs/>
                <w:sz w:val="24"/>
                <w:szCs w:val="24"/>
              </w:rPr>
              <w:fldChar w:fldCharType="end"/>
            </w:r>
          </w:p>
        </w:sdtContent>
      </w:sdt>
    </w:sdtContent>
  </w:sdt>
  <w:p w:rsidR="009E6EA0" w:rsidRDefault="009E6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76E" w:rsidRDefault="005E376E" w:rsidP="007D183D">
      <w:r>
        <w:separator/>
      </w:r>
    </w:p>
  </w:footnote>
  <w:footnote w:type="continuationSeparator" w:id="0">
    <w:p w:rsidR="005E376E" w:rsidRDefault="005E376E" w:rsidP="007D18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4E31"/>
    <w:rsid w:val="0005548A"/>
    <w:rsid w:val="00062E91"/>
    <w:rsid w:val="00072983"/>
    <w:rsid w:val="000A60E7"/>
    <w:rsid w:val="001A077C"/>
    <w:rsid w:val="00227A4F"/>
    <w:rsid w:val="002363E6"/>
    <w:rsid w:val="0024387A"/>
    <w:rsid w:val="00285D7B"/>
    <w:rsid w:val="003E6050"/>
    <w:rsid w:val="00406D6D"/>
    <w:rsid w:val="00427C5D"/>
    <w:rsid w:val="00472CD6"/>
    <w:rsid w:val="005E376E"/>
    <w:rsid w:val="006A511F"/>
    <w:rsid w:val="00700786"/>
    <w:rsid w:val="00735195"/>
    <w:rsid w:val="007D183D"/>
    <w:rsid w:val="009E6EA0"/>
    <w:rsid w:val="00B56339"/>
    <w:rsid w:val="00BB5EC3"/>
    <w:rsid w:val="00BD4E31"/>
    <w:rsid w:val="00C6145C"/>
    <w:rsid w:val="00C8213B"/>
    <w:rsid w:val="00CC5ED6"/>
    <w:rsid w:val="1B2A2908"/>
    <w:rsid w:val="47CD5CCC"/>
    <w:rsid w:val="5B6753B5"/>
    <w:rsid w:val="5BBF7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95"/>
    <w:pPr>
      <w:widowControl w:val="0"/>
      <w:jc w:val="both"/>
    </w:pPr>
    <w:rPr>
      <w:rFonts w:ascii="Calibri" w:hAnsi="Calibr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5195"/>
    <w:pPr>
      <w:tabs>
        <w:tab w:val="center" w:pos="4153"/>
        <w:tab w:val="right" w:pos="8306"/>
      </w:tabs>
      <w:snapToGrid w:val="0"/>
      <w:jc w:val="left"/>
    </w:pPr>
    <w:rPr>
      <w:sz w:val="18"/>
      <w:szCs w:val="18"/>
    </w:rPr>
  </w:style>
  <w:style w:type="paragraph" w:styleId="Header">
    <w:name w:val="header"/>
    <w:basedOn w:val="Normal"/>
    <w:link w:val="HeaderChar"/>
    <w:rsid w:val="00735195"/>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rsid w:val="007351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735195"/>
    <w:rPr>
      <w:rFonts w:ascii="Calibri" w:hAnsi="Calibri"/>
      <w:kern w:val="2"/>
      <w:sz w:val="18"/>
      <w:szCs w:val="18"/>
    </w:rPr>
  </w:style>
  <w:style w:type="character" w:customStyle="1" w:styleId="FooterChar">
    <w:name w:val="Footer Char"/>
    <w:basedOn w:val="DefaultParagraphFont"/>
    <w:link w:val="Footer"/>
    <w:uiPriority w:val="99"/>
    <w:rsid w:val="00735195"/>
    <w:rPr>
      <w:rFonts w:ascii="Calibri" w:hAnsi="Calibri"/>
      <w:kern w:val="2"/>
      <w:sz w:val="18"/>
      <w:szCs w:val="18"/>
    </w:rPr>
  </w:style>
  <w:style w:type="character" w:styleId="LineNumber">
    <w:name w:val="line number"/>
    <w:basedOn w:val="DefaultParagraphFont"/>
    <w:semiHidden/>
    <w:unhideWhenUsed/>
    <w:rsid w:val="009E6EA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866533-8B09-4BA0-80F8-92EF0554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67</Words>
  <Characters>2693</Characters>
  <Application>Microsoft Office Word</Application>
  <DocSecurity>0</DocSecurity>
  <Lines>22</Lines>
  <Paragraphs>5</Paragraphs>
  <ScaleCrop>false</ScaleCrop>
  <Company>china</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0013359</cp:lastModifiedBy>
  <cp:revision>18</cp:revision>
  <dcterms:created xsi:type="dcterms:W3CDTF">2019-12-07T09:28:00Z</dcterms:created>
  <dcterms:modified xsi:type="dcterms:W3CDTF">2020-01-04T04:56:00Z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http://csl.mendeley.com/styles/499340731/HRB-2</vt:lpwstr>
  </property>
  <property fmtid="{D5CDD505-2E9C-101B-9397-08002B2CF9AE}" pid="12" name="Mendeley Recent Style Name 4_1">
    <vt:lpwstr>HRB</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http://www.zotero.org/styles/journal-of-translational-medicine</vt:lpwstr>
  </property>
  <property fmtid="{D5CDD505-2E9C-101B-9397-08002B2CF9AE}" pid="16" name="Mendeley Recent Style Name 6_1">
    <vt:lpwstr>Journal of Translational Medicine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ecaa0e43-aabd-3989-bc61-647f4713d17e</vt:lpwstr>
  </property>
  <property fmtid="{D5CDD505-2E9C-101B-9397-08002B2CF9AE}" pid="25" name="Mendeley Citation Style_1">
    <vt:lpwstr>http://www.zotero.org/styles/journal-of-translational-medicine</vt:lpwstr>
  </property>
</Properties>
</file>