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4460C" w14:textId="1B1731DD" w:rsidR="005858CB" w:rsidRPr="005858CB" w:rsidRDefault="00747D82" w:rsidP="002719FF">
      <w:pPr>
        <w:spacing w:line="240" w:lineRule="auto"/>
        <w:rPr>
          <w:rFonts w:ascii="Times New Roman" w:hAnsi="Times New Roman" w:cs="Times New Roman" w:hint="eastAsia"/>
          <w:b/>
          <w:sz w:val="24"/>
          <w:szCs w:val="24"/>
        </w:rPr>
      </w:pPr>
      <w:r>
        <w:rPr>
          <w:rFonts w:ascii="Times New Roman" w:hAnsi="Times New Roman" w:cs="Times New Roman" w:hint="eastAsia"/>
          <w:b/>
          <w:sz w:val="24"/>
          <w:szCs w:val="24"/>
        </w:rPr>
        <w:t>Table S</w:t>
      </w:r>
      <w:r w:rsidR="00B76E0C">
        <w:rPr>
          <w:rFonts w:ascii="Times New Roman" w:hAnsi="Times New Roman" w:cs="Times New Roman"/>
          <w:b/>
          <w:sz w:val="24"/>
          <w:szCs w:val="24"/>
        </w:rPr>
        <w:t>3</w:t>
      </w:r>
      <w:r w:rsidR="005E6909">
        <w:rPr>
          <w:rFonts w:ascii="Times New Roman" w:hAnsi="Times New Roman" w:cs="Times New Roman"/>
          <w:b/>
          <w:sz w:val="24"/>
          <w:szCs w:val="24"/>
        </w:rPr>
        <w:t xml:space="preserve"> </w:t>
      </w:r>
      <w:r w:rsidR="005858CB" w:rsidRPr="005858CB">
        <w:rPr>
          <w:rFonts w:ascii="Times New Roman" w:hAnsi="Times New Roman" w:cs="Times New Roman"/>
          <w:b/>
          <w:sz w:val="24"/>
          <w:szCs w:val="24"/>
        </w:rPr>
        <w:t>Comparison of odds ratios and 95% confidence intervals of three allergic diseases for individual-level air pollution concentrations with those for traffic measures (Yi et al. 2017) based on the identical population of 14, 614 children of the Seoul Atopy Friendly School Survey in Seoul, Korea, for 2010</w:t>
      </w:r>
      <w:bookmarkStart w:id="0" w:name="_GoBack"/>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8"/>
        <w:gridCol w:w="2218"/>
        <w:gridCol w:w="2218"/>
        <w:gridCol w:w="2219"/>
        <w:gridCol w:w="2947"/>
        <w:gridCol w:w="2948"/>
      </w:tblGrid>
      <w:tr w:rsidR="005E6909" w14:paraId="08058BDB" w14:textId="77777777" w:rsidTr="00D0559B">
        <w:trPr>
          <w:trHeight w:val="397"/>
        </w:trPr>
        <w:tc>
          <w:tcPr>
            <w:tcW w:w="2838" w:type="dxa"/>
            <w:vMerge w:val="restart"/>
            <w:vAlign w:val="center"/>
          </w:tcPr>
          <w:p w14:paraId="08058BD8" w14:textId="77777777" w:rsidR="005E6909" w:rsidRPr="005579C2" w:rsidRDefault="005E6909" w:rsidP="00D0559B">
            <w:pPr>
              <w:rPr>
                <w:rFonts w:ascii="Times New Roman" w:hAnsi="Times New Roman" w:cs="Times New Roman"/>
                <w:b/>
              </w:rPr>
            </w:pPr>
            <w:r w:rsidRPr="005579C2">
              <w:rPr>
                <w:rFonts w:ascii="Times New Roman" w:hAnsi="Times New Roman" w:cs="Times New Roman"/>
                <w:b/>
              </w:rPr>
              <w:t>Outcome</w:t>
            </w:r>
          </w:p>
        </w:tc>
        <w:tc>
          <w:tcPr>
            <w:tcW w:w="6655" w:type="dxa"/>
            <w:gridSpan w:val="3"/>
            <w:vAlign w:val="center"/>
          </w:tcPr>
          <w:p w14:paraId="08058BD9" w14:textId="77777777" w:rsidR="005E6909" w:rsidRPr="005579C2" w:rsidRDefault="005E6909" w:rsidP="00D0559B">
            <w:pPr>
              <w:rPr>
                <w:rFonts w:ascii="Times New Roman" w:hAnsi="Times New Roman" w:cs="Times New Roman"/>
                <w:b/>
              </w:rPr>
            </w:pPr>
            <w:r>
              <w:rPr>
                <w:rFonts w:ascii="Times New Roman" w:hAnsi="Times New Roman" w:cs="Times New Roman" w:hint="eastAsia"/>
                <w:b/>
              </w:rPr>
              <w:t>Min. et al. 2019 (t</w:t>
            </w:r>
            <w:r w:rsidRPr="005579C2">
              <w:rPr>
                <w:rFonts w:ascii="Times New Roman" w:hAnsi="Times New Roman" w:cs="Times New Roman"/>
                <w:b/>
              </w:rPr>
              <w:t>his study</w:t>
            </w:r>
            <w:r>
              <w:rPr>
                <w:rFonts w:ascii="Times New Roman" w:hAnsi="Times New Roman" w:cs="Times New Roman" w:hint="eastAsia"/>
                <w:b/>
              </w:rPr>
              <w:t>)</w:t>
            </w:r>
          </w:p>
        </w:tc>
        <w:tc>
          <w:tcPr>
            <w:tcW w:w="5895" w:type="dxa"/>
            <w:gridSpan w:val="2"/>
            <w:vAlign w:val="center"/>
          </w:tcPr>
          <w:p w14:paraId="08058BDA" w14:textId="77777777" w:rsidR="005E6909" w:rsidRPr="005579C2" w:rsidRDefault="005E6909" w:rsidP="00D0559B">
            <w:pPr>
              <w:rPr>
                <w:rFonts w:ascii="Times New Roman" w:hAnsi="Times New Roman" w:cs="Times New Roman"/>
                <w:b/>
              </w:rPr>
            </w:pPr>
            <w:r w:rsidRPr="005579C2">
              <w:rPr>
                <w:rFonts w:ascii="Times New Roman" w:hAnsi="Times New Roman" w:cs="Times New Roman"/>
                <w:b/>
              </w:rPr>
              <w:t>Yi et al (2017)</w:t>
            </w:r>
            <w:r>
              <w:rPr>
                <w:rFonts w:ascii="Times New Roman" w:hAnsi="Times New Roman" w:cs="Times New Roman"/>
                <w:b/>
              </w:rPr>
              <w:t>*</w:t>
            </w:r>
          </w:p>
        </w:tc>
      </w:tr>
      <w:tr w:rsidR="005E6909" w14:paraId="08058BE2" w14:textId="77777777" w:rsidTr="00D0559B">
        <w:trPr>
          <w:trHeight w:val="397"/>
        </w:trPr>
        <w:tc>
          <w:tcPr>
            <w:tcW w:w="2838" w:type="dxa"/>
            <w:vMerge/>
            <w:vAlign w:val="center"/>
          </w:tcPr>
          <w:p w14:paraId="08058BDC" w14:textId="77777777" w:rsidR="005E6909" w:rsidRPr="005579C2" w:rsidRDefault="005E6909" w:rsidP="00D0559B">
            <w:pPr>
              <w:rPr>
                <w:rFonts w:ascii="Times New Roman" w:hAnsi="Times New Roman" w:cs="Times New Roman"/>
                <w:b/>
              </w:rPr>
            </w:pPr>
          </w:p>
        </w:tc>
        <w:tc>
          <w:tcPr>
            <w:tcW w:w="2218" w:type="dxa"/>
            <w:vAlign w:val="center"/>
          </w:tcPr>
          <w:p w14:paraId="08058BDD" w14:textId="77777777" w:rsidR="005E6909" w:rsidRPr="005579C2" w:rsidRDefault="005E6909" w:rsidP="00D0559B">
            <w:pPr>
              <w:rPr>
                <w:rFonts w:ascii="Times New Roman" w:hAnsi="Times New Roman" w:cs="Times New Roman"/>
                <w:b/>
              </w:rPr>
            </w:pPr>
            <w:r w:rsidRPr="005579C2">
              <w:rPr>
                <w:rFonts w:ascii="Times New Roman" w:hAnsi="Times New Roman" w:cs="Times New Roman"/>
                <w:b/>
              </w:rPr>
              <w:t>NO</w:t>
            </w:r>
            <w:r w:rsidRPr="005579C2">
              <w:rPr>
                <w:rFonts w:ascii="Times New Roman" w:hAnsi="Times New Roman" w:cs="Times New Roman"/>
                <w:b/>
                <w:vertAlign w:val="subscript"/>
              </w:rPr>
              <w:t>2</w:t>
            </w:r>
          </w:p>
        </w:tc>
        <w:tc>
          <w:tcPr>
            <w:tcW w:w="2218" w:type="dxa"/>
            <w:vAlign w:val="center"/>
          </w:tcPr>
          <w:p w14:paraId="08058BDE" w14:textId="77777777" w:rsidR="005E6909" w:rsidRPr="005579C2" w:rsidRDefault="005E6909" w:rsidP="00D0559B">
            <w:pPr>
              <w:rPr>
                <w:rFonts w:ascii="Times New Roman" w:hAnsi="Times New Roman" w:cs="Times New Roman"/>
                <w:b/>
              </w:rPr>
            </w:pPr>
            <w:r w:rsidRPr="005579C2">
              <w:rPr>
                <w:rFonts w:ascii="Times New Roman" w:hAnsi="Times New Roman" w:cs="Times New Roman"/>
                <w:b/>
              </w:rPr>
              <w:t>PM</w:t>
            </w:r>
            <w:r w:rsidRPr="005579C2">
              <w:rPr>
                <w:rFonts w:ascii="Times New Roman" w:hAnsi="Times New Roman" w:cs="Times New Roman"/>
                <w:b/>
                <w:vertAlign w:val="subscript"/>
              </w:rPr>
              <w:t>10</w:t>
            </w:r>
          </w:p>
        </w:tc>
        <w:tc>
          <w:tcPr>
            <w:tcW w:w="2219" w:type="dxa"/>
            <w:vAlign w:val="center"/>
          </w:tcPr>
          <w:p w14:paraId="08058BDF" w14:textId="77777777" w:rsidR="005E6909" w:rsidRPr="005579C2" w:rsidRDefault="005E6909" w:rsidP="00D0559B">
            <w:pPr>
              <w:rPr>
                <w:rFonts w:ascii="Times New Roman" w:hAnsi="Times New Roman" w:cs="Times New Roman"/>
                <w:b/>
              </w:rPr>
            </w:pPr>
            <w:r w:rsidRPr="005579C2">
              <w:rPr>
                <w:rFonts w:ascii="Times New Roman" w:hAnsi="Times New Roman" w:cs="Times New Roman"/>
                <w:b/>
              </w:rPr>
              <w:t>PM</w:t>
            </w:r>
            <w:r w:rsidRPr="005579C2">
              <w:rPr>
                <w:rFonts w:ascii="Times New Roman" w:hAnsi="Times New Roman" w:cs="Times New Roman"/>
                <w:b/>
                <w:vertAlign w:val="subscript"/>
              </w:rPr>
              <w:t>2.5</w:t>
            </w:r>
          </w:p>
        </w:tc>
        <w:tc>
          <w:tcPr>
            <w:tcW w:w="2947" w:type="dxa"/>
            <w:vAlign w:val="center"/>
          </w:tcPr>
          <w:p w14:paraId="08058BE0" w14:textId="77777777" w:rsidR="005E6909" w:rsidRPr="005579C2" w:rsidRDefault="005E6909" w:rsidP="00D0559B">
            <w:pPr>
              <w:rPr>
                <w:rFonts w:ascii="Times New Roman" w:hAnsi="Times New Roman" w:cs="Times New Roman"/>
                <w:b/>
              </w:rPr>
            </w:pPr>
            <w:r w:rsidRPr="005579C2">
              <w:rPr>
                <w:rFonts w:ascii="Times New Roman" w:hAnsi="Times New Roman" w:cs="Times New Roman"/>
                <w:b/>
              </w:rPr>
              <w:t>Distance to the major roads</w:t>
            </w:r>
          </w:p>
        </w:tc>
        <w:tc>
          <w:tcPr>
            <w:tcW w:w="2948" w:type="dxa"/>
            <w:vAlign w:val="center"/>
          </w:tcPr>
          <w:p w14:paraId="08058BE1" w14:textId="77777777" w:rsidR="005E6909" w:rsidRPr="005579C2" w:rsidRDefault="005E6909" w:rsidP="00D0559B">
            <w:pPr>
              <w:rPr>
                <w:rFonts w:ascii="Times New Roman" w:hAnsi="Times New Roman" w:cs="Times New Roman"/>
                <w:b/>
              </w:rPr>
            </w:pPr>
            <w:r w:rsidRPr="005579C2">
              <w:rPr>
                <w:rFonts w:ascii="Times New Roman" w:hAnsi="Times New Roman" w:cs="Times New Roman"/>
                <w:b/>
              </w:rPr>
              <w:t>Density of major roads</w:t>
            </w:r>
          </w:p>
        </w:tc>
      </w:tr>
      <w:tr w:rsidR="005E6909" w14:paraId="08058BEC" w14:textId="77777777" w:rsidTr="00D0559B">
        <w:tc>
          <w:tcPr>
            <w:tcW w:w="2838" w:type="dxa"/>
            <w:vAlign w:val="center"/>
          </w:tcPr>
          <w:p w14:paraId="08058BE3"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Atopic eczema</w:t>
            </w:r>
          </w:p>
        </w:tc>
        <w:tc>
          <w:tcPr>
            <w:tcW w:w="2218" w:type="dxa"/>
            <w:vAlign w:val="center"/>
          </w:tcPr>
          <w:p w14:paraId="08058BE4"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1.07 (1.02 – 1.13</w:t>
            </w:r>
            <w:r w:rsidRPr="005579C2">
              <w:rPr>
                <w:rFonts w:ascii="Times New Roman" w:hAnsi="Times New Roman" w:cs="Times New Roman"/>
                <w:b/>
              </w:rPr>
              <w:t>)</w:t>
            </w:r>
          </w:p>
        </w:tc>
        <w:tc>
          <w:tcPr>
            <w:tcW w:w="2218" w:type="dxa"/>
            <w:vAlign w:val="center"/>
          </w:tcPr>
          <w:p w14:paraId="08058BE5"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1.06 (1.01– 1.12</w:t>
            </w:r>
            <w:r w:rsidRPr="005579C2">
              <w:rPr>
                <w:rFonts w:ascii="Times New Roman" w:hAnsi="Times New Roman" w:cs="Times New Roman"/>
                <w:b/>
              </w:rPr>
              <w:t>)</w:t>
            </w:r>
          </w:p>
        </w:tc>
        <w:tc>
          <w:tcPr>
            <w:tcW w:w="2219" w:type="dxa"/>
            <w:vAlign w:val="center"/>
          </w:tcPr>
          <w:p w14:paraId="08058BE6"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1.01 (0.95</w:t>
            </w:r>
            <w:r w:rsidRPr="005579C2">
              <w:rPr>
                <w:rFonts w:ascii="Times New Roman" w:hAnsi="Times New Roman" w:cs="Times New Roman"/>
                <w:b/>
              </w:rPr>
              <w:t xml:space="preserve"> – 1.07)</w:t>
            </w:r>
          </w:p>
        </w:tc>
        <w:tc>
          <w:tcPr>
            <w:tcW w:w="2947" w:type="dxa"/>
          </w:tcPr>
          <w:p w14:paraId="08058BE7"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 xml:space="preserve">≤150m  </w:t>
            </w:r>
            <w:r w:rsidRPr="005579C2">
              <w:rPr>
                <w:rFonts w:ascii="Times New Roman" w:hAnsi="Times New Roman" w:cs="Times New Roman"/>
                <w:b/>
                <w:sz w:val="28"/>
              </w:rPr>
              <w:t xml:space="preserve">  </w:t>
            </w:r>
            <w:r w:rsidRPr="005579C2">
              <w:rPr>
                <w:rFonts w:ascii="Times New Roman" w:hAnsi="Times New Roman" w:cs="Times New Roman"/>
                <w:b/>
              </w:rPr>
              <w:t>1.15 (1.01 – 1.32)</w:t>
            </w:r>
          </w:p>
          <w:p w14:paraId="08058BE8"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150-300</w:t>
            </w:r>
            <w:proofErr w:type="gramStart"/>
            <w:r w:rsidRPr="005579C2">
              <w:rPr>
                <w:rFonts w:ascii="Times New Roman" w:hAnsi="Times New Roman" w:cs="Times New Roman"/>
                <w:b/>
              </w:rPr>
              <w:t xml:space="preserve">m </w:t>
            </w:r>
            <w:r>
              <w:rPr>
                <w:rFonts w:ascii="Times New Roman" w:hAnsi="Times New Roman" w:cs="Times New Roman"/>
                <w:b/>
              </w:rPr>
              <w:t xml:space="preserve"> </w:t>
            </w:r>
            <w:r w:rsidRPr="005579C2">
              <w:rPr>
                <w:rFonts w:ascii="Times New Roman" w:hAnsi="Times New Roman" w:cs="Times New Roman"/>
                <w:b/>
              </w:rPr>
              <w:t>1.17</w:t>
            </w:r>
            <w:proofErr w:type="gramEnd"/>
            <w:r w:rsidRPr="005579C2">
              <w:rPr>
                <w:rFonts w:ascii="Times New Roman" w:hAnsi="Times New Roman" w:cs="Times New Roman"/>
                <w:b/>
              </w:rPr>
              <w:t xml:space="preserve"> (1.02 – 1.34)</w:t>
            </w:r>
          </w:p>
          <w:p w14:paraId="08058BE9" w14:textId="77777777" w:rsidR="005E6909" w:rsidRDefault="005E6909" w:rsidP="00D0559B">
            <w:pPr>
              <w:spacing w:line="360" w:lineRule="auto"/>
              <w:rPr>
                <w:rFonts w:ascii="Times New Roman" w:hAnsi="Times New Roman" w:cs="Times New Roman"/>
                <w:b/>
              </w:rPr>
            </w:pPr>
            <w:r w:rsidRPr="005579C2">
              <w:rPr>
                <w:rFonts w:ascii="Times New Roman" w:hAnsi="Times New Roman" w:cs="Times New Roman"/>
                <w:b/>
              </w:rPr>
              <w:t>300-500</w:t>
            </w:r>
            <w:proofErr w:type="gramStart"/>
            <w:r w:rsidRPr="005579C2">
              <w:rPr>
                <w:rFonts w:ascii="Times New Roman" w:hAnsi="Times New Roman" w:cs="Times New Roman"/>
                <w:b/>
              </w:rPr>
              <w:t xml:space="preserve">m </w:t>
            </w:r>
            <w:r>
              <w:rPr>
                <w:rFonts w:ascii="Times New Roman" w:hAnsi="Times New Roman" w:cs="Times New Roman"/>
                <w:b/>
              </w:rPr>
              <w:t xml:space="preserve"> </w:t>
            </w:r>
            <w:r w:rsidRPr="005579C2">
              <w:rPr>
                <w:rFonts w:ascii="Times New Roman" w:hAnsi="Times New Roman" w:cs="Times New Roman"/>
                <w:b/>
              </w:rPr>
              <w:t>1.16</w:t>
            </w:r>
            <w:proofErr w:type="gramEnd"/>
            <w:r w:rsidRPr="005579C2">
              <w:rPr>
                <w:rFonts w:ascii="Times New Roman" w:hAnsi="Times New Roman" w:cs="Times New Roman"/>
                <w:b/>
              </w:rPr>
              <w:t xml:space="preserve"> (1.01 – 1.33)</w:t>
            </w:r>
          </w:p>
          <w:p w14:paraId="08058BEA"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&gt;500</w:t>
            </w:r>
            <w:r>
              <w:rPr>
                <w:rFonts w:ascii="Times New Roman" w:hAnsi="Times New Roman" w:cs="Times New Roman" w:hint="eastAsia"/>
                <w:b/>
              </w:rPr>
              <w:t>m     1.00</w:t>
            </w:r>
          </w:p>
        </w:tc>
        <w:tc>
          <w:tcPr>
            <w:tcW w:w="2948" w:type="dxa"/>
            <w:vAlign w:val="center"/>
          </w:tcPr>
          <w:p w14:paraId="08058BEB"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1.08 (1.01 – 1.15)</w:t>
            </w:r>
          </w:p>
        </w:tc>
      </w:tr>
      <w:tr w:rsidR="005E6909" w14:paraId="08058BF6" w14:textId="77777777" w:rsidTr="00D0559B">
        <w:tc>
          <w:tcPr>
            <w:tcW w:w="2838" w:type="dxa"/>
            <w:vAlign w:val="center"/>
          </w:tcPr>
          <w:p w14:paraId="08058BED"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Asthma</w:t>
            </w:r>
          </w:p>
        </w:tc>
        <w:tc>
          <w:tcPr>
            <w:tcW w:w="2218" w:type="dxa"/>
            <w:vAlign w:val="center"/>
          </w:tcPr>
          <w:p w14:paraId="08058BEE"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0.99 (0.92 – 1.06)</w:t>
            </w:r>
          </w:p>
        </w:tc>
        <w:tc>
          <w:tcPr>
            <w:tcW w:w="2218" w:type="dxa"/>
            <w:vAlign w:val="center"/>
          </w:tcPr>
          <w:p w14:paraId="08058BEF"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1.00 (0.92</w:t>
            </w:r>
            <w:r w:rsidRPr="005579C2">
              <w:rPr>
                <w:rFonts w:ascii="Times New Roman" w:hAnsi="Times New Roman" w:cs="Times New Roman"/>
                <w:b/>
              </w:rPr>
              <w:t xml:space="preserve"> – 1.08)</w:t>
            </w:r>
          </w:p>
        </w:tc>
        <w:tc>
          <w:tcPr>
            <w:tcW w:w="2219" w:type="dxa"/>
            <w:vAlign w:val="center"/>
          </w:tcPr>
          <w:p w14:paraId="08058BF0"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0.98 (0.91 – 1.06</w:t>
            </w:r>
            <w:r w:rsidRPr="005579C2">
              <w:rPr>
                <w:rFonts w:ascii="Times New Roman" w:hAnsi="Times New Roman" w:cs="Times New Roman"/>
                <w:b/>
              </w:rPr>
              <w:t>)</w:t>
            </w:r>
          </w:p>
        </w:tc>
        <w:tc>
          <w:tcPr>
            <w:tcW w:w="2947" w:type="dxa"/>
          </w:tcPr>
          <w:p w14:paraId="08058BF1"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 xml:space="preserve">≤150m </w:t>
            </w:r>
            <w:r w:rsidRPr="005579C2">
              <w:rPr>
                <w:rFonts w:ascii="Times New Roman" w:hAnsi="Times New Roman" w:cs="Times New Roman"/>
                <w:b/>
                <w:sz w:val="28"/>
              </w:rPr>
              <w:t xml:space="preserve">  </w:t>
            </w:r>
            <w:r>
              <w:rPr>
                <w:rFonts w:ascii="Times New Roman" w:hAnsi="Times New Roman" w:cs="Times New Roman"/>
                <w:b/>
              </w:rPr>
              <w:t xml:space="preserve"> </w:t>
            </w:r>
            <w:r w:rsidRPr="005579C2">
              <w:rPr>
                <w:rFonts w:ascii="Times New Roman" w:hAnsi="Times New Roman" w:cs="Times New Roman"/>
                <w:b/>
              </w:rPr>
              <w:t>0.93 (0.78 – 1.11)</w:t>
            </w:r>
          </w:p>
          <w:p w14:paraId="08058BF2"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150-300</w:t>
            </w:r>
            <w:proofErr w:type="gramStart"/>
            <w:r w:rsidRPr="005579C2">
              <w:rPr>
                <w:rFonts w:ascii="Times New Roman" w:hAnsi="Times New Roman" w:cs="Times New Roman"/>
                <w:b/>
              </w:rPr>
              <w:t xml:space="preserve">m </w:t>
            </w:r>
            <w:r>
              <w:rPr>
                <w:rFonts w:ascii="Times New Roman" w:hAnsi="Times New Roman" w:cs="Times New Roman"/>
                <w:b/>
              </w:rPr>
              <w:t xml:space="preserve"> </w:t>
            </w:r>
            <w:r w:rsidRPr="005579C2">
              <w:rPr>
                <w:rFonts w:ascii="Times New Roman" w:hAnsi="Times New Roman" w:cs="Times New Roman"/>
                <w:b/>
              </w:rPr>
              <w:t>1.11</w:t>
            </w:r>
            <w:proofErr w:type="gramEnd"/>
            <w:r w:rsidRPr="005579C2">
              <w:rPr>
                <w:rFonts w:ascii="Times New Roman" w:hAnsi="Times New Roman" w:cs="Times New Roman"/>
                <w:b/>
              </w:rPr>
              <w:t xml:space="preserve"> (0.93 – 1.32)</w:t>
            </w:r>
          </w:p>
          <w:p w14:paraId="08058BF3" w14:textId="77777777" w:rsidR="005E6909" w:rsidRDefault="005E6909" w:rsidP="00D0559B">
            <w:pPr>
              <w:spacing w:line="360" w:lineRule="auto"/>
              <w:rPr>
                <w:rFonts w:ascii="Times New Roman" w:hAnsi="Times New Roman" w:cs="Times New Roman"/>
                <w:b/>
              </w:rPr>
            </w:pPr>
            <w:r w:rsidRPr="005579C2">
              <w:rPr>
                <w:rFonts w:ascii="Times New Roman" w:hAnsi="Times New Roman" w:cs="Times New Roman"/>
                <w:b/>
              </w:rPr>
              <w:t>300-500</w:t>
            </w:r>
            <w:proofErr w:type="gramStart"/>
            <w:r w:rsidRPr="005579C2">
              <w:rPr>
                <w:rFonts w:ascii="Times New Roman" w:hAnsi="Times New Roman" w:cs="Times New Roman"/>
                <w:b/>
              </w:rPr>
              <w:t xml:space="preserve">m </w:t>
            </w:r>
            <w:r>
              <w:rPr>
                <w:rFonts w:ascii="Times New Roman" w:hAnsi="Times New Roman" w:cs="Times New Roman"/>
                <w:b/>
              </w:rPr>
              <w:t xml:space="preserve"> </w:t>
            </w:r>
            <w:r w:rsidRPr="005579C2">
              <w:rPr>
                <w:rFonts w:ascii="Times New Roman" w:hAnsi="Times New Roman" w:cs="Times New Roman"/>
                <w:b/>
              </w:rPr>
              <w:t>1.00</w:t>
            </w:r>
            <w:proofErr w:type="gramEnd"/>
            <w:r w:rsidRPr="005579C2">
              <w:rPr>
                <w:rFonts w:ascii="Times New Roman" w:hAnsi="Times New Roman" w:cs="Times New Roman"/>
                <w:b/>
              </w:rPr>
              <w:t xml:space="preserve"> (0.83 – 1.20)</w:t>
            </w:r>
          </w:p>
          <w:p w14:paraId="08058BF4"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&gt;500</w:t>
            </w:r>
            <w:r>
              <w:rPr>
                <w:rFonts w:ascii="Times New Roman" w:hAnsi="Times New Roman" w:cs="Times New Roman" w:hint="eastAsia"/>
                <w:b/>
              </w:rPr>
              <w:t>m     1.00</w:t>
            </w:r>
          </w:p>
        </w:tc>
        <w:tc>
          <w:tcPr>
            <w:tcW w:w="2948" w:type="dxa"/>
            <w:vAlign w:val="center"/>
          </w:tcPr>
          <w:p w14:paraId="08058BF5"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0.94 (0.86 – 1.03)</w:t>
            </w:r>
          </w:p>
        </w:tc>
      </w:tr>
      <w:tr w:rsidR="005E6909" w14:paraId="08058C00" w14:textId="77777777" w:rsidTr="00D0559B">
        <w:tc>
          <w:tcPr>
            <w:tcW w:w="2838" w:type="dxa"/>
            <w:vAlign w:val="center"/>
          </w:tcPr>
          <w:p w14:paraId="08058BF7"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Allergic rhinitis</w:t>
            </w:r>
          </w:p>
        </w:tc>
        <w:tc>
          <w:tcPr>
            <w:tcW w:w="2218" w:type="dxa"/>
            <w:vAlign w:val="center"/>
          </w:tcPr>
          <w:p w14:paraId="08058BF8"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0.97 (0.94 – 1.01</w:t>
            </w:r>
            <w:r w:rsidRPr="005579C2">
              <w:rPr>
                <w:rFonts w:ascii="Times New Roman" w:hAnsi="Times New Roman" w:cs="Times New Roman"/>
                <w:b/>
              </w:rPr>
              <w:t>)</w:t>
            </w:r>
          </w:p>
        </w:tc>
        <w:tc>
          <w:tcPr>
            <w:tcW w:w="2218" w:type="dxa"/>
            <w:vAlign w:val="center"/>
          </w:tcPr>
          <w:p w14:paraId="08058BF9"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1.00 (0.95 – 1.04</w:t>
            </w:r>
            <w:r w:rsidRPr="005579C2">
              <w:rPr>
                <w:rFonts w:ascii="Times New Roman" w:hAnsi="Times New Roman" w:cs="Times New Roman"/>
                <w:b/>
              </w:rPr>
              <w:t>)</w:t>
            </w:r>
          </w:p>
        </w:tc>
        <w:tc>
          <w:tcPr>
            <w:tcW w:w="2219" w:type="dxa"/>
            <w:vAlign w:val="center"/>
          </w:tcPr>
          <w:p w14:paraId="08058BFA"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1.03 (0.94 – 1.01</w:t>
            </w:r>
            <w:r w:rsidRPr="005579C2">
              <w:rPr>
                <w:rFonts w:ascii="Times New Roman" w:hAnsi="Times New Roman" w:cs="Times New Roman"/>
                <w:b/>
              </w:rPr>
              <w:t>)</w:t>
            </w:r>
          </w:p>
        </w:tc>
        <w:tc>
          <w:tcPr>
            <w:tcW w:w="2947" w:type="dxa"/>
          </w:tcPr>
          <w:p w14:paraId="08058BFB"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 xml:space="preserve">≤150m </w:t>
            </w:r>
            <w:r w:rsidRPr="005579C2">
              <w:rPr>
                <w:rFonts w:ascii="Times New Roman" w:hAnsi="Times New Roman" w:cs="Times New Roman"/>
                <w:b/>
                <w:sz w:val="28"/>
              </w:rPr>
              <w:t xml:space="preserve">  </w:t>
            </w:r>
            <w:r>
              <w:rPr>
                <w:rFonts w:ascii="Times New Roman" w:hAnsi="Times New Roman" w:cs="Times New Roman"/>
                <w:b/>
              </w:rPr>
              <w:t xml:space="preserve"> </w:t>
            </w:r>
            <w:r w:rsidRPr="005579C2">
              <w:rPr>
                <w:rFonts w:ascii="Times New Roman" w:hAnsi="Times New Roman" w:cs="Times New Roman"/>
                <w:b/>
              </w:rPr>
              <w:t>0.97 (0.88 – 1.07)</w:t>
            </w:r>
          </w:p>
          <w:p w14:paraId="08058BFC"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150-300</w:t>
            </w:r>
            <w:proofErr w:type="gramStart"/>
            <w:r w:rsidRPr="005579C2">
              <w:rPr>
                <w:rFonts w:ascii="Times New Roman" w:hAnsi="Times New Roman" w:cs="Times New Roman"/>
                <w:b/>
              </w:rPr>
              <w:t xml:space="preserve">m </w:t>
            </w:r>
            <w:r>
              <w:rPr>
                <w:rFonts w:ascii="Times New Roman" w:hAnsi="Times New Roman" w:cs="Times New Roman"/>
                <w:b/>
              </w:rPr>
              <w:t xml:space="preserve"> </w:t>
            </w:r>
            <w:r w:rsidRPr="005579C2">
              <w:rPr>
                <w:rFonts w:ascii="Times New Roman" w:hAnsi="Times New Roman" w:cs="Times New Roman"/>
                <w:b/>
              </w:rPr>
              <w:t>1.05</w:t>
            </w:r>
            <w:proofErr w:type="gramEnd"/>
            <w:r w:rsidRPr="005579C2">
              <w:rPr>
                <w:rFonts w:ascii="Times New Roman" w:hAnsi="Times New Roman" w:cs="Times New Roman"/>
                <w:b/>
              </w:rPr>
              <w:t xml:space="preserve"> (0.95 – 1.16)</w:t>
            </w:r>
          </w:p>
          <w:p w14:paraId="08058BFD" w14:textId="77777777" w:rsidR="005E6909" w:rsidRDefault="005E6909" w:rsidP="00D0559B">
            <w:pPr>
              <w:spacing w:line="360" w:lineRule="auto"/>
              <w:rPr>
                <w:rFonts w:ascii="Times New Roman" w:hAnsi="Times New Roman" w:cs="Times New Roman"/>
                <w:b/>
              </w:rPr>
            </w:pPr>
            <w:r w:rsidRPr="005579C2">
              <w:rPr>
                <w:rFonts w:ascii="Times New Roman" w:hAnsi="Times New Roman" w:cs="Times New Roman"/>
                <w:b/>
              </w:rPr>
              <w:t>300-500</w:t>
            </w:r>
            <w:proofErr w:type="gramStart"/>
            <w:r w:rsidRPr="005579C2">
              <w:rPr>
                <w:rFonts w:ascii="Times New Roman" w:hAnsi="Times New Roman" w:cs="Times New Roman"/>
                <w:b/>
              </w:rPr>
              <w:t xml:space="preserve">m </w:t>
            </w:r>
            <w:r>
              <w:rPr>
                <w:rFonts w:ascii="Times New Roman" w:hAnsi="Times New Roman" w:cs="Times New Roman"/>
                <w:b/>
              </w:rPr>
              <w:t xml:space="preserve"> </w:t>
            </w:r>
            <w:r w:rsidRPr="005579C2">
              <w:rPr>
                <w:rFonts w:ascii="Times New Roman" w:hAnsi="Times New Roman" w:cs="Times New Roman"/>
                <w:b/>
              </w:rPr>
              <w:t>1.00</w:t>
            </w:r>
            <w:proofErr w:type="gramEnd"/>
            <w:r w:rsidRPr="005579C2">
              <w:rPr>
                <w:rFonts w:ascii="Times New Roman" w:hAnsi="Times New Roman" w:cs="Times New Roman"/>
                <w:b/>
              </w:rPr>
              <w:t xml:space="preserve"> (0.90 – 1.12)</w:t>
            </w:r>
          </w:p>
          <w:p w14:paraId="08058BFE" w14:textId="77777777" w:rsidR="005E6909" w:rsidRPr="005579C2" w:rsidRDefault="005E6909" w:rsidP="00D0559B">
            <w:pPr>
              <w:spacing w:line="360" w:lineRule="auto"/>
              <w:rPr>
                <w:rFonts w:ascii="Times New Roman" w:hAnsi="Times New Roman" w:cs="Times New Roman"/>
                <w:b/>
              </w:rPr>
            </w:pPr>
            <w:r>
              <w:rPr>
                <w:rFonts w:ascii="Times New Roman" w:hAnsi="Times New Roman" w:cs="Times New Roman"/>
                <w:b/>
              </w:rPr>
              <w:t>&gt;500</w:t>
            </w:r>
            <w:r>
              <w:rPr>
                <w:rFonts w:ascii="Times New Roman" w:hAnsi="Times New Roman" w:cs="Times New Roman" w:hint="eastAsia"/>
                <w:b/>
              </w:rPr>
              <w:t>m     1.00</w:t>
            </w:r>
          </w:p>
        </w:tc>
        <w:tc>
          <w:tcPr>
            <w:tcW w:w="2948" w:type="dxa"/>
            <w:vAlign w:val="center"/>
          </w:tcPr>
          <w:p w14:paraId="08058BFF" w14:textId="77777777" w:rsidR="005E6909" w:rsidRPr="005579C2" w:rsidRDefault="005E6909" w:rsidP="00D0559B">
            <w:pPr>
              <w:spacing w:line="360" w:lineRule="auto"/>
              <w:rPr>
                <w:rFonts w:ascii="Times New Roman" w:hAnsi="Times New Roman" w:cs="Times New Roman"/>
                <w:b/>
              </w:rPr>
            </w:pPr>
            <w:r w:rsidRPr="005579C2">
              <w:rPr>
                <w:rFonts w:ascii="Times New Roman" w:hAnsi="Times New Roman" w:cs="Times New Roman"/>
                <w:b/>
              </w:rPr>
              <w:t>0.97 (0.92 – 1.03)</w:t>
            </w:r>
          </w:p>
        </w:tc>
      </w:tr>
    </w:tbl>
    <w:p w14:paraId="08058C01" w14:textId="77777777" w:rsidR="005E6909" w:rsidRPr="00F77A7A" w:rsidRDefault="005E6909" w:rsidP="005E6909">
      <w:pPr>
        <w:rPr>
          <w:b/>
          <w:sz w:val="20"/>
        </w:rPr>
      </w:pPr>
      <w:r w:rsidRPr="00D01BBE">
        <w:rPr>
          <w:rFonts w:ascii="Times New Roman" w:hAnsi="Times New Roman" w:cs="Times New Roman"/>
          <w:sz w:val="24"/>
        </w:rPr>
        <w:t xml:space="preserve">* </w:t>
      </w:r>
      <w:r>
        <w:rPr>
          <w:rFonts w:ascii="Times New Roman" w:hAnsi="Times New Roman" w:cs="Times New Roman"/>
          <w:sz w:val="24"/>
        </w:rPr>
        <w:t>While this study assessed TRAP by using air pollution concentrations at children’s home address</w:t>
      </w:r>
      <w:r>
        <w:rPr>
          <w:rFonts w:ascii="Times New Roman" w:hAnsi="Times New Roman" w:cs="Times New Roman" w:hint="eastAsia"/>
          <w:sz w:val="24"/>
        </w:rPr>
        <w:t>es</w:t>
      </w:r>
      <w:r>
        <w:rPr>
          <w:rFonts w:ascii="Times New Roman" w:hAnsi="Times New Roman" w:cs="Times New Roman"/>
          <w:sz w:val="24"/>
        </w:rPr>
        <w:t xml:space="preserve">, Yi, et al. (2017) used proximity to and density of major roads from children’s homes. </w:t>
      </w:r>
    </w:p>
    <w:p w14:paraId="08058C02" w14:textId="77777777" w:rsidR="008A69C3" w:rsidRPr="005E6909" w:rsidRDefault="008A69C3"/>
    <w:sectPr w:rsidR="008A69C3" w:rsidRPr="005E6909" w:rsidSect="00C12CF7">
      <w:pgSz w:w="16838" w:h="11906" w:orient="landscape"/>
      <w:pgMar w:top="720" w:right="720" w:bottom="720" w:left="720" w:header="851" w:footer="22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73"/>
    <w:rsid w:val="000014B9"/>
    <w:rsid w:val="002719FF"/>
    <w:rsid w:val="005858CB"/>
    <w:rsid w:val="005E6909"/>
    <w:rsid w:val="006B0673"/>
    <w:rsid w:val="006F4C2C"/>
    <w:rsid w:val="00736754"/>
    <w:rsid w:val="00747D82"/>
    <w:rsid w:val="008A69C3"/>
    <w:rsid w:val="009F6D4D"/>
    <w:rsid w:val="00B76E0C"/>
    <w:rsid w:val="00D31C96"/>
    <w:rsid w:val="00ED0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8BD7"/>
  <w15:chartTrackingRefBased/>
  <w15:docId w15:val="{07B40E2D-4B53-4707-B21B-E0037425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73"/>
    <w:pPr>
      <w:jc w:val="left"/>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1C96"/>
    <w:rPr>
      <w:sz w:val="16"/>
      <w:szCs w:val="16"/>
    </w:rPr>
  </w:style>
  <w:style w:type="table" w:styleId="TableGrid">
    <w:name w:val="Table Grid"/>
    <w:basedOn w:val="TableNormal"/>
    <w:uiPriority w:val="39"/>
    <w:rsid w:val="005E6909"/>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06B3-9E61-4677-85A3-EEFDFFD1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kyungduk</dc:creator>
  <cp:keywords/>
  <dc:description/>
  <cp:lastModifiedBy>min kyungduk</cp:lastModifiedBy>
  <cp:revision>6</cp:revision>
  <dcterms:created xsi:type="dcterms:W3CDTF">2019-01-15T11:12:00Z</dcterms:created>
  <dcterms:modified xsi:type="dcterms:W3CDTF">2019-07-21T07:09:00Z</dcterms:modified>
</cp:coreProperties>
</file>