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C" w:rsidRPr="009E3A2F" w:rsidRDefault="005F631B" w:rsidP="0038785C">
      <w:pPr>
        <w:jc w:val="left"/>
        <w:rPr>
          <w:rFonts w:ascii="Arial" w:hAnsi="Arial" w:cs="Arial"/>
          <w:b/>
          <w:sz w:val="20"/>
          <w:szCs w:val="20"/>
        </w:rPr>
      </w:pPr>
      <w:bookmarkStart w:id="0" w:name="OLE_LINK13"/>
      <w:bookmarkStart w:id="1" w:name="OLE_LINK14"/>
      <w:bookmarkStart w:id="2" w:name="OLE_LINK23"/>
      <w:r w:rsidRPr="005F631B">
        <w:rPr>
          <w:rFonts w:ascii="Arial" w:hAnsi="Arial" w:cs="Arial"/>
          <w:b/>
          <w:sz w:val="20"/>
          <w:szCs w:val="20"/>
        </w:rPr>
        <w:t>Additional file</w:t>
      </w:r>
      <w:bookmarkStart w:id="3" w:name="_GoBack"/>
      <w:bookmarkEnd w:id="3"/>
      <w:r w:rsidR="0049746B" w:rsidRPr="0049746B">
        <w:rPr>
          <w:rFonts w:ascii="Arial" w:hAnsi="Arial" w:cs="Arial"/>
          <w:b/>
          <w:sz w:val="20"/>
          <w:szCs w:val="20"/>
        </w:rPr>
        <w:t xml:space="preserve"> 3</w:t>
      </w:r>
      <w:r w:rsidR="0038785C" w:rsidRPr="009E3A2F">
        <w:rPr>
          <w:rFonts w:ascii="Arial" w:hAnsi="Arial" w:cs="Arial"/>
          <w:b/>
          <w:sz w:val="20"/>
          <w:szCs w:val="20"/>
        </w:rPr>
        <w:t>.</w:t>
      </w:r>
      <w:bookmarkEnd w:id="0"/>
      <w:bookmarkEnd w:id="1"/>
      <w:r w:rsidR="0038785C" w:rsidRPr="009E3A2F">
        <w:rPr>
          <w:rFonts w:ascii="Arial" w:hAnsi="Arial" w:cs="Arial"/>
          <w:b/>
          <w:sz w:val="20"/>
          <w:szCs w:val="20"/>
        </w:rPr>
        <w:t xml:space="preserve"> Data used in the ‘TMAO concentration-risk of MACE’ analysis.</w:t>
      </w:r>
    </w:p>
    <w:bookmarkEnd w:id="2"/>
    <w:p w:rsidR="0038785C" w:rsidRPr="009E3A2F" w:rsidRDefault="0038785C" w:rsidP="0038785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1134"/>
        <w:gridCol w:w="1418"/>
        <w:gridCol w:w="850"/>
        <w:gridCol w:w="709"/>
        <w:gridCol w:w="992"/>
        <w:gridCol w:w="851"/>
        <w:gridCol w:w="850"/>
        <w:gridCol w:w="851"/>
      </w:tblGrid>
      <w:tr w:rsidR="0038785C" w:rsidRPr="009E3A2F" w:rsidTr="00A67475">
        <w:trPr>
          <w:trHeight w:val="270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Study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TMAO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Interval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Case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Control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HR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proofErr w:type="spellStart"/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Ub</w:t>
            </w:r>
            <w:proofErr w:type="spellEnd"/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 w:val="restart"/>
            <w:tcBorders>
              <w:top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CC </w:t>
            </w:r>
            <w:r w:rsidRPr="006757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 XS</w:t>
            </w: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[9</w:t>
            </w:r>
            <w:r w:rsidRPr="002E0CD6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1.335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0.12-2.55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3.415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2.56-4.27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0.554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1.399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6.085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4.28-7.89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0.974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2.099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9.492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7.91-186.10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3.15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 w:val="restart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SC </w:t>
            </w:r>
            <w:r w:rsidRPr="006757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Li XS</w:t>
            </w: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2017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[9</w:t>
            </w:r>
            <w:r w:rsidRPr="002E0CD6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1.005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0.08-1.93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1.94-2.86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418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0.669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0.981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3.855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2.87-4.84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0.842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  <w:vertAlign w:val="superscript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1.235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  <w:vertAlign w:val="superscript"/>
              </w:rPr>
              <w:t>b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5.82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4.85-246.6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2.41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 w:val="restart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b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67579B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Tang WH</w:t>
            </w: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 2013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[5</w:t>
            </w:r>
            <w:r w:rsidRPr="002E0CD6">
              <w:rPr>
                <w:rFonts w:ascii="Arial" w:eastAsia="宋体" w:hAnsi="Arial" w:cs="Arial" w:hint="eastAsia"/>
                <w:b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1.215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&lt;2.43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3.045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2.43-3.66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1.45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4.925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3.67-6.18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835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1.51</w:t>
            </w:r>
          </w:p>
        </w:tc>
      </w:tr>
      <w:tr w:rsidR="0038785C" w:rsidRPr="009E3A2F" w:rsidTr="00A67475">
        <w:trPr>
          <w:trHeight w:val="270"/>
        </w:trPr>
        <w:tc>
          <w:tcPr>
            <w:tcW w:w="392" w:type="dxa"/>
            <w:vMerge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7.416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&gt;6.18</w:t>
            </w:r>
          </w:p>
        </w:tc>
        <w:tc>
          <w:tcPr>
            <w:tcW w:w="850" w:type="dxa"/>
            <w:vAlign w:val="center"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8785C" w:rsidRPr="009E3A2F" w:rsidRDefault="0038785C" w:rsidP="00A67475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9E3A2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1.94</w:t>
            </w:r>
          </w:p>
        </w:tc>
      </w:tr>
    </w:tbl>
    <w:p w:rsidR="0038785C" w:rsidRPr="009E3A2F" w:rsidRDefault="0038785C" w:rsidP="0038785C">
      <w:pPr>
        <w:spacing w:line="360" w:lineRule="auto"/>
        <w:ind w:leftChars="-67" w:left="-141"/>
        <w:jc w:val="left"/>
        <w:rPr>
          <w:rFonts w:ascii="Arial" w:hAnsi="Arial" w:cs="Arial"/>
          <w:b/>
          <w:i/>
          <w:sz w:val="20"/>
          <w:szCs w:val="20"/>
        </w:rPr>
      </w:pPr>
      <w:r w:rsidRPr="009E3A2F">
        <w:rPr>
          <w:rFonts w:ascii="Arial" w:hAnsi="Arial" w:cs="Arial"/>
          <w:b/>
          <w:sz w:val="20"/>
          <w:szCs w:val="20"/>
        </w:rPr>
        <w:t>Case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the numbers of patients with major adverse cardiovascular events; </w:t>
      </w:r>
      <w:r w:rsidRPr="009E3A2F">
        <w:rPr>
          <w:rFonts w:ascii="Arial" w:hAnsi="Arial" w:cs="Arial"/>
          <w:b/>
          <w:sz w:val="20"/>
          <w:szCs w:val="20"/>
        </w:rPr>
        <w:t>CC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Cleveland acute coronary syndrome cohort; </w:t>
      </w:r>
      <w:r w:rsidRPr="009E3A2F">
        <w:rPr>
          <w:rFonts w:ascii="Arial" w:hAnsi="Arial" w:cs="Arial"/>
          <w:b/>
          <w:sz w:val="20"/>
          <w:szCs w:val="20"/>
        </w:rPr>
        <w:t>Control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the numbers of patients without MACE; </w:t>
      </w:r>
      <w:r w:rsidRPr="009E3A2F">
        <w:rPr>
          <w:rFonts w:ascii="Arial" w:hAnsi="Arial" w:cs="Arial"/>
          <w:b/>
          <w:sz w:val="20"/>
          <w:szCs w:val="20"/>
        </w:rPr>
        <w:t>HR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hazard ratios for MACEs in every level of TMAO; </w:t>
      </w:r>
      <w:r w:rsidRPr="009E3A2F">
        <w:rPr>
          <w:rFonts w:ascii="Arial" w:hAnsi="Arial" w:cs="Arial"/>
          <w:b/>
          <w:sz w:val="20"/>
          <w:szCs w:val="20"/>
        </w:rPr>
        <w:t>Interval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the range of TMAO in every level; </w:t>
      </w:r>
      <w:proofErr w:type="spellStart"/>
      <w:r w:rsidRPr="009E3A2F">
        <w:rPr>
          <w:rFonts w:ascii="Arial" w:hAnsi="Arial" w:cs="Arial"/>
          <w:b/>
          <w:sz w:val="20"/>
          <w:szCs w:val="20"/>
        </w:rPr>
        <w:t>Lb</w:t>
      </w:r>
      <w:proofErr w:type="spellEnd"/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lower limit of HRs; </w:t>
      </w:r>
      <w:r w:rsidRPr="009E3A2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the total numbers of patients; </w:t>
      </w:r>
      <w:r w:rsidRPr="009E3A2F">
        <w:rPr>
          <w:rFonts w:ascii="Arial" w:hAnsi="Arial" w:cs="Arial"/>
          <w:b/>
          <w:sz w:val="20"/>
          <w:szCs w:val="20"/>
        </w:rPr>
        <w:t>MACE</w:t>
      </w:r>
      <w:r>
        <w:rPr>
          <w:rFonts w:ascii="Arial" w:hAnsi="Arial" w:cs="Arial" w:hint="eastAsia"/>
          <w:b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major adverse cardiovascular events; </w:t>
      </w:r>
      <w:r w:rsidRPr="009E3A2F">
        <w:rPr>
          <w:rFonts w:ascii="Arial" w:hAnsi="Arial" w:cs="Arial"/>
          <w:b/>
          <w:sz w:val="20"/>
          <w:szCs w:val="20"/>
        </w:rPr>
        <w:t>SC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Swiss ACS cohort; </w:t>
      </w:r>
      <w:r w:rsidRPr="009E3A2F">
        <w:rPr>
          <w:rFonts w:ascii="Arial" w:hAnsi="Arial" w:cs="Arial"/>
          <w:b/>
          <w:sz w:val="20"/>
          <w:szCs w:val="20"/>
        </w:rPr>
        <w:t>TMAO</w:t>
      </w:r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trimethylamine-N-oxide; </w:t>
      </w:r>
      <w:proofErr w:type="spellStart"/>
      <w:r w:rsidRPr="009E3A2F">
        <w:rPr>
          <w:rFonts w:ascii="Arial" w:hAnsi="Arial" w:cs="Arial"/>
          <w:b/>
          <w:sz w:val="20"/>
          <w:szCs w:val="20"/>
        </w:rPr>
        <w:t>Ub</w:t>
      </w:r>
      <w:proofErr w:type="spellEnd"/>
      <w:r>
        <w:rPr>
          <w:rFonts w:ascii="Arial" w:hAnsi="Arial" w:cs="Arial" w:hint="eastAsia"/>
          <w:sz w:val="20"/>
          <w:szCs w:val="20"/>
        </w:rPr>
        <w:t>,</w:t>
      </w:r>
      <w:r w:rsidRPr="009E3A2F">
        <w:rPr>
          <w:rFonts w:ascii="Arial" w:hAnsi="Arial" w:cs="Arial"/>
          <w:sz w:val="20"/>
          <w:szCs w:val="20"/>
        </w:rPr>
        <w:t xml:space="preserve"> upper limit of </w:t>
      </w:r>
      <w:proofErr w:type="spellStart"/>
      <w:r w:rsidRPr="009E3A2F">
        <w:rPr>
          <w:rFonts w:ascii="Arial" w:hAnsi="Arial" w:cs="Arial"/>
          <w:sz w:val="20"/>
          <w:szCs w:val="20"/>
        </w:rPr>
        <w:t>HRs.</w:t>
      </w:r>
      <w:proofErr w:type="spellEnd"/>
    </w:p>
    <w:p w:rsidR="0070103E" w:rsidRDefault="0038785C" w:rsidP="0070103E">
      <w:pPr>
        <w:spacing w:line="360" w:lineRule="auto"/>
        <w:ind w:leftChars="-68" w:hangingChars="71" w:hanging="143"/>
        <w:jc w:val="left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9E3A2F">
        <w:rPr>
          <w:rFonts w:ascii="Arial" w:hAnsi="Arial" w:cs="Arial"/>
          <w:b/>
          <w:sz w:val="20"/>
          <w:szCs w:val="20"/>
          <w:vertAlign w:val="superscript"/>
        </w:rPr>
        <w:t>a</w:t>
      </w:r>
      <w:proofErr w:type="spellEnd"/>
      <w:proofErr w:type="gramEnd"/>
      <w:r w:rsidRPr="009E3A2F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Pr="009E3A2F">
        <w:rPr>
          <w:rFonts w:ascii="Arial" w:hAnsi="Arial" w:cs="Arial"/>
          <w:sz w:val="20"/>
          <w:szCs w:val="20"/>
        </w:rPr>
        <w:t>The midpoint of TMAO in each category of interval. Particularly, when the interval was an open-ending, TMAO was calculated by the lowest limit multiplying by 1.2.</w:t>
      </w:r>
    </w:p>
    <w:p w:rsidR="00FF327C" w:rsidRPr="0070103E" w:rsidRDefault="0038785C" w:rsidP="0070103E">
      <w:pPr>
        <w:spacing w:line="360" w:lineRule="auto"/>
        <w:ind w:leftChars="-68" w:hangingChars="71" w:hanging="143"/>
        <w:jc w:val="left"/>
        <w:rPr>
          <w:rFonts w:ascii="Arial" w:hAnsi="Arial" w:cs="Arial"/>
          <w:sz w:val="20"/>
          <w:szCs w:val="20"/>
        </w:rPr>
      </w:pPr>
      <w:r w:rsidRPr="009E3A2F">
        <w:rPr>
          <w:rFonts w:ascii="Arial" w:hAnsi="Arial" w:cs="Arial"/>
          <w:b/>
          <w:sz w:val="20"/>
          <w:szCs w:val="20"/>
          <w:vertAlign w:val="superscript"/>
        </w:rPr>
        <w:t xml:space="preserve">b </w:t>
      </w:r>
      <w:r w:rsidRPr="009E3A2F">
        <w:rPr>
          <w:rFonts w:ascii="Arial" w:hAnsi="Arial" w:cs="Arial"/>
          <w:sz w:val="20"/>
          <w:szCs w:val="20"/>
        </w:rPr>
        <w:t xml:space="preserve">Data were calculated by a HR meta-analysis spreadsheet developed by Hans </w:t>
      </w:r>
      <w:proofErr w:type="spellStart"/>
      <w:r w:rsidRPr="009E3A2F">
        <w:rPr>
          <w:rFonts w:ascii="Arial" w:hAnsi="Arial" w:cs="Arial"/>
          <w:sz w:val="20"/>
          <w:szCs w:val="20"/>
        </w:rPr>
        <w:t>Messersmith</w:t>
      </w:r>
      <w:proofErr w:type="spellEnd"/>
      <w:r>
        <w:rPr>
          <w:rFonts w:ascii="Arial" w:hAnsi="Arial" w:cs="Arial" w:hint="eastAsia"/>
          <w:sz w:val="20"/>
          <w:szCs w:val="20"/>
        </w:rPr>
        <w:t>.</w:t>
      </w:r>
    </w:p>
    <w:sectPr w:rsidR="00FF327C" w:rsidRPr="0070103E" w:rsidSect="009E7540">
      <w:pgSz w:w="16838" w:h="11906" w:orient="landscape"/>
      <w:pgMar w:top="1701" w:right="1797" w:bottom="170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0A50C503-9359-4D16-9CE5-D29DE472D13A}"/>
    <w:docVar w:name="KY_MEDREF_VERSION" w:val="3"/>
  </w:docVars>
  <w:rsids>
    <w:rsidRoot w:val="00C9230E"/>
    <w:rsid w:val="00055EF1"/>
    <w:rsid w:val="0038785C"/>
    <w:rsid w:val="0049746B"/>
    <w:rsid w:val="005F631B"/>
    <w:rsid w:val="0070103E"/>
    <w:rsid w:val="008D2D5C"/>
    <w:rsid w:val="009E7540"/>
    <w:rsid w:val="00C9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DATTAD</dc:creator>
  <cp:keywords/>
  <dc:description/>
  <cp:lastModifiedBy>DATTAD</cp:lastModifiedBy>
  <cp:revision>6</cp:revision>
  <dcterms:created xsi:type="dcterms:W3CDTF">2018-09-01T06:47:00Z</dcterms:created>
  <dcterms:modified xsi:type="dcterms:W3CDTF">2019-12-11T15:30:00Z</dcterms:modified>
</cp:coreProperties>
</file>