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DB477" w14:textId="16050900" w:rsidR="00476EF4" w:rsidRPr="00476EF4" w:rsidRDefault="00476EF4" w:rsidP="00476EF4">
      <w:pPr>
        <w:pStyle w:val="Heading1"/>
        <w:spacing w:before="0" w:line="240" w:lineRule="auto"/>
        <w:rPr>
          <w:rFonts w:asciiTheme="minorHAnsi" w:eastAsia="Times New Roman" w:hAnsiTheme="minorHAnsi" w:cstheme="minorHAnsi"/>
          <w:b/>
          <w:color w:val="auto"/>
          <w:sz w:val="22"/>
          <w:szCs w:val="11"/>
          <w:lang w:val="en-GB" w:eastAsia="de-CH"/>
        </w:rPr>
      </w:pPr>
      <w:r>
        <w:rPr>
          <w:rFonts w:asciiTheme="minorHAnsi" w:eastAsia="Times New Roman" w:hAnsiTheme="minorHAnsi" w:cstheme="minorHAnsi"/>
          <w:b/>
          <w:color w:val="auto"/>
          <w:sz w:val="22"/>
          <w:szCs w:val="11"/>
          <w:lang w:val="en-GB" w:eastAsia="de-CH"/>
        </w:rPr>
        <w:t xml:space="preserve">Additional File </w:t>
      </w:r>
      <w:bookmarkStart w:id="0" w:name="_GoBack"/>
      <w:bookmarkEnd w:id="0"/>
      <w:r w:rsidR="00682BCD">
        <w:rPr>
          <w:rFonts w:asciiTheme="minorHAnsi" w:eastAsia="Times New Roman" w:hAnsiTheme="minorHAnsi" w:cstheme="minorHAnsi"/>
          <w:b/>
          <w:color w:val="auto"/>
          <w:sz w:val="22"/>
          <w:szCs w:val="11"/>
          <w:lang w:val="en-GB" w:eastAsia="de-CH"/>
        </w:rPr>
        <w:t>2</w:t>
      </w:r>
      <w:r w:rsidRPr="0092785A">
        <w:rPr>
          <w:rFonts w:asciiTheme="minorHAnsi" w:eastAsia="Times New Roman" w:hAnsiTheme="minorHAnsi" w:cstheme="minorHAnsi"/>
          <w:b/>
          <w:color w:val="auto"/>
          <w:sz w:val="22"/>
          <w:szCs w:val="11"/>
          <w:lang w:val="en-GB" w:eastAsia="de-CH"/>
        </w:rPr>
        <w:t xml:space="preserve">. List of </w:t>
      </w:r>
      <w:r>
        <w:rPr>
          <w:rFonts w:asciiTheme="minorHAnsi" w:eastAsia="Times New Roman" w:hAnsiTheme="minorHAnsi" w:cstheme="minorHAnsi"/>
          <w:b/>
          <w:color w:val="auto"/>
          <w:sz w:val="22"/>
          <w:szCs w:val="11"/>
          <w:lang w:val="en-GB" w:eastAsia="de-CH"/>
        </w:rPr>
        <w:t>Themes and justification of their ethical relevance.</w:t>
      </w:r>
      <w:r w:rsidRPr="0092785A">
        <w:rPr>
          <w:rFonts w:asciiTheme="minorHAnsi" w:eastAsia="Times New Roman" w:hAnsiTheme="minorHAnsi" w:cstheme="minorHAnsi"/>
          <w:b/>
          <w:color w:val="auto"/>
          <w:sz w:val="22"/>
          <w:szCs w:val="11"/>
          <w:lang w:val="en-GB" w:eastAsia="de-CH"/>
        </w:rPr>
        <w:t xml:space="preserve"> </w:t>
      </w:r>
    </w:p>
    <w:tbl>
      <w:tblPr>
        <w:tblStyle w:val="TableGrid"/>
        <w:tblW w:w="14792" w:type="dxa"/>
        <w:tblLook w:val="04A0" w:firstRow="1" w:lastRow="0" w:firstColumn="1" w:lastColumn="0" w:noHBand="0" w:noVBand="1"/>
      </w:tblPr>
      <w:tblGrid>
        <w:gridCol w:w="2405"/>
        <w:gridCol w:w="1843"/>
        <w:gridCol w:w="2410"/>
        <w:gridCol w:w="8134"/>
      </w:tblGrid>
      <w:tr w:rsidR="00C80BB8" w:rsidRPr="0066283E" w14:paraId="59D67BCC" w14:textId="77777777" w:rsidTr="00FB41A8">
        <w:trPr>
          <w:trHeight w:val="516"/>
        </w:trPr>
        <w:tc>
          <w:tcPr>
            <w:tcW w:w="2405" w:type="dxa"/>
          </w:tcPr>
          <w:p w14:paraId="4C512667" w14:textId="77777777" w:rsidR="00C80BB8" w:rsidRPr="00C80BB8" w:rsidRDefault="00C80BB8">
            <w:pPr>
              <w:rPr>
                <w:b/>
                <w:lang w:val="en-AU"/>
              </w:rPr>
            </w:pPr>
            <w:r w:rsidRPr="00C80BB8">
              <w:rPr>
                <w:b/>
                <w:lang w:val="en-AU"/>
              </w:rPr>
              <w:t xml:space="preserve">Ethically relevant </w:t>
            </w:r>
            <w:proofErr w:type="spellStart"/>
            <w:r w:rsidRPr="00C80BB8">
              <w:rPr>
                <w:b/>
                <w:lang w:val="en-AU"/>
              </w:rPr>
              <w:t>issue</w:t>
            </w:r>
            <w:r w:rsidRPr="00C80BB8">
              <w:rPr>
                <w:b/>
                <w:vertAlign w:val="superscript"/>
                <w:lang w:val="en-AU"/>
              </w:rPr>
              <w:t>a</w:t>
            </w:r>
            <w:proofErr w:type="spellEnd"/>
          </w:p>
        </w:tc>
        <w:tc>
          <w:tcPr>
            <w:tcW w:w="1843" w:type="dxa"/>
          </w:tcPr>
          <w:p w14:paraId="603B09EB" w14:textId="77777777" w:rsidR="00C80BB8" w:rsidRPr="00C80BB8" w:rsidRDefault="00C80BB8">
            <w:pPr>
              <w:rPr>
                <w:b/>
                <w:lang w:val="en-AU"/>
              </w:rPr>
            </w:pPr>
            <w:r w:rsidRPr="00C80BB8">
              <w:rPr>
                <w:b/>
                <w:lang w:val="en-AU"/>
              </w:rPr>
              <w:t>Domain to which it is pertinent</w:t>
            </w:r>
          </w:p>
        </w:tc>
        <w:tc>
          <w:tcPr>
            <w:tcW w:w="2410" w:type="dxa"/>
          </w:tcPr>
          <w:p w14:paraId="53F867AB" w14:textId="77777777" w:rsidR="00C80BB8" w:rsidRPr="00C80BB8" w:rsidRDefault="00FB41A8">
            <w:pPr>
              <w:rPr>
                <w:b/>
                <w:lang w:val="en-AU"/>
              </w:rPr>
            </w:pPr>
            <w:r>
              <w:rPr>
                <w:b/>
                <w:lang w:val="en-AU"/>
              </w:rPr>
              <w:t>Bioe</w:t>
            </w:r>
            <w:r w:rsidR="00C80BB8" w:rsidRPr="00C80BB8">
              <w:rPr>
                <w:b/>
                <w:lang w:val="en-AU"/>
              </w:rPr>
              <w:t>thical principles to which it is connected</w:t>
            </w:r>
          </w:p>
        </w:tc>
        <w:tc>
          <w:tcPr>
            <w:tcW w:w="8134" w:type="dxa"/>
          </w:tcPr>
          <w:p w14:paraId="7BADE927" w14:textId="433AB1BF" w:rsidR="00C80BB8" w:rsidRPr="00C80BB8" w:rsidRDefault="0066283E" w:rsidP="00C80BB8">
            <w:pPr>
              <w:rPr>
                <w:b/>
                <w:lang w:val="en-AU"/>
              </w:rPr>
            </w:pPr>
            <w:r>
              <w:rPr>
                <w:b/>
                <w:lang w:val="en-AU"/>
              </w:rPr>
              <w:t>Reason for considering this an “ethically relevant issue”</w:t>
            </w:r>
          </w:p>
        </w:tc>
      </w:tr>
      <w:tr w:rsidR="00C80BB8" w:rsidRPr="0066283E" w14:paraId="7F6FFBA7" w14:textId="77777777" w:rsidTr="00FB41A8">
        <w:trPr>
          <w:trHeight w:val="265"/>
        </w:trPr>
        <w:tc>
          <w:tcPr>
            <w:tcW w:w="2405" w:type="dxa"/>
          </w:tcPr>
          <w:p w14:paraId="14581A0D" w14:textId="77777777" w:rsidR="00C80BB8" w:rsidRPr="00C80BB8" w:rsidRDefault="00C80BB8">
            <w:pPr>
              <w:rPr>
                <w:lang w:val="en-AU"/>
              </w:rPr>
            </w:pPr>
            <w:r w:rsidRPr="00C80BB8">
              <w:rPr>
                <w:lang w:val="en-AU"/>
              </w:rPr>
              <w:t xml:space="preserve">Beneficial impacts </w:t>
            </w:r>
          </w:p>
        </w:tc>
        <w:tc>
          <w:tcPr>
            <w:tcW w:w="1843" w:type="dxa"/>
          </w:tcPr>
          <w:p w14:paraId="12EC2F81" w14:textId="77777777" w:rsidR="00C80BB8" w:rsidRPr="00C80BB8" w:rsidRDefault="00C80BB8">
            <w:pPr>
              <w:rPr>
                <w:lang w:val="en-AU"/>
              </w:rPr>
            </w:pPr>
            <w:r w:rsidRPr="00C80BB8">
              <w:rPr>
                <w:lang w:val="en-AU"/>
              </w:rPr>
              <w:t>Patient-related</w:t>
            </w:r>
          </w:p>
        </w:tc>
        <w:tc>
          <w:tcPr>
            <w:tcW w:w="2410" w:type="dxa"/>
          </w:tcPr>
          <w:p w14:paraId="09E725FC" w14:textId="77777777" w:rsidR="00C80BB8" w:rsidRPr="00C80BB8" w:rsidRDefault="00C80BB8">
            <w:pPr>
              <w:rPr>
                <w:lang w:val="en-AU"/>
              </w:rPr>
            </w:pPr>
            <w:r w:rsidRPr="00C80BB8">
              <w:rPr>
                <w:lang w:val="en-AU"/>
              </w:rPr>
              <w:t>Beneficence</w:t>
            </w:r>
          </w:p>
        </w:tc>
        <w:tc>
          <w:tcPr>
            <w:tcW w:w="8134" w:type="dxa"/>
          </w:tcPr>
          <w:p w14:paraId="03A8D7EB" w14:textId="77777777" w:rsidR="00C80BB8" w:rsidRPr="00C80BB8" w:rsidRDefault="00C80BB8" w:rsidP="00834636">
            <w:pPr>
              <w:rPr>
                <w:lang w:val="en-AU"/>
              </w:rPr>
            </w:pPr>
            <w:r w:rsidRPr="00C80BB8">
              <w:rPr>
                <w:lang w:val="en-AU"/>
              </w:rPr>
              <w:t xml:space="preserve">The </w:t>
            </w:r>
            <w:r w:rsidR="008D4B0B">
              <w:rPr>
                <w:lang w:val="en-AU"/>
              </w:rPr>
              <w:t>“</w:t>
            </w:r>
            <w:r w:rsidRPr="00C80BB8">
              <w:rPr>
                <w:lang w:val="en-AU"/>
              </w:rPr>
              <w:t xml:space="preserve">beneficial </w:t>
            </w:r>
            <w:r>
              <w:rPr>
                <w:lang w:val="en-AU"/>
              </w:rPr>
              <w:t>impacts</w:t>
            </w:r>
            <w:r w:rsidR="008D4B0B">
              <w:rPr>
                <w:lang w:val="en-AU"/>
              </w:rPr>
              <w:t>”</w:t>
            </w:r>
            <w:r>
              <w:rPr>
                <w:lang w:val="en-AU"/>
              </w:rPr>
              <w:t xml:space="preserve"> -</w:t>
            </w:r>
            <w:r w:rsidRPr="00C80BB8">
              <w:rPr>
                <w:lang w:val="en-AU"/>
              </w:rPr>
              <w:t xml:space="preserve"> </w:t>
            </w:r>
            <w:r>
              <w:rPr>
                <w:lang w:val="en-AU"/>
              </w:rPr>
              <w:t>that</w:t>
            </w:r>
            <w:r w:rsidRPr="00C80BB8">
              <w:rPr>
                <w:lang w:val="en-AU"/>
              </w:rPr>
              <w:t xml:space="preserve"> are lis</w:t>
            </w:r>
            <w:r>
              <w:rPr>
                <w:lang w:val="en-AU"/>
              </w:rPr>
              <w:t xml:space="preserve">ted or mentioned in the studies - help </w:t>
            </w:r>
            <w:r w:rsidRPr="00C80BB8">
              <w:rPr>
                <w:lang w:val="en-AU"/>
              </w:rPr>
              <w:t>define what the advantage</w:t>
            </w:r>
            <w:r>
              <w:rPr>
                <w:lang w:val="en-AU"/>
              </w:rPr>
              <w:t>s</w:t>
            </w:r>
            <w:r w:rsidRPr="00C80BB8">
              <w:rPr>
                <w:lang w:val="en-AU"/>
              </w:rPr>
              <w:t xml:space="preserve"> for</w:t>
            </w:r>
            <w:r>
              <w:rPr>
                <w:lang w:val="en-AU"/>
              </w:rPr>
              <w:t xml:space="preserve"> patients who use DP are</w:t>
            </w:r>
            <w:r w:rsidRPr="00C80BB8">
              <w:rPr>
                <w:lang w:val="en-AU"/>
              </w:rPr>
              <w:t xml:space="preserve">. </w:t>
            </w:r>
            <w:r>
              <w:rPr>
                <w:lang w:val="en-AU"/>
              </w:rPr>
              <w:t xml:space="preserve">Put it differently, highlighting the beneficial impacts contributes to answer the question: “What is the </w:t>
            </w:r>
            <w:r w:rsidR="008D4B0B">
              <w:rPr>
                <w:lang w:val="en-AU"/>
              </w:rPr>
              <w:t>benefit for patients if they use DP?”</w:t>
            </w:r>
          </w:p>
        </w:tc>
      </w:tr>
      <w:tr w:rsidR="008D4B0B" w:rsidRPr="0066283E" w14:paraId="3F1FD007" w14:textId="77777777" w:rsidTr="00FB41A8">
        <w:trPr>
          <w:trHeight w:val="265"/>
        </w:trPr>
        <w:tc>
          <w:tcPr>
            <w:tcW w:w="2405" w:type="dxa"/>
          </w:tcPr>
          <w:p w14:paraId="06163919" w14:textId="77777777" w:rsidR="008D4B0B" w:rsidRPr="00C80BB8" w:rsidRDefault="008D4B0B">
            <w:pPr>
              <w:rPr>
                <w:lang w:val="en-AU"/>
              </w:rPr>
            </w:pPr>
            <w:r>
              <w:rPr>
                <w:lang w:val="en-AU"/>
              </w:rPr>
              <w:t>Benefits to society</w:t>
            </w:r>
          </w:p>
        </w:tc>
        <w:tc>
          <w:tcPr>
            <w:tcW w:w="1843" w:type="dxa"/>
          </w:tcPr>
          <w:p w14:paraId="1D991846" w14:textId="77777777" w:rsidR="008D4B0B" w:rsidRPr="00C80BB8" w:rsidRDefault="008D4B0B">
            <w:pPr>
              <w:rPr>
                <w:lang w:val="en-AU"/>
              </w:rPr>
            </w:pPr>
            <w:r>
              <w:rPr>
                <w:lang w:val="en-AU"/>
              </w:rPr>
              <w:t>Society-related</w:t>
            </w:r>
          </w:p>
        </w:tc>
        <w:tc>
          <w:tcPr>
            <w:tcW w:w="2410" w:type="dxa"/>
          </w:tcPr>
          <w:p w14:paraId="15450502" w14:textId="77777777" w:rsidR="008D4B0B" w:rsidRPr="00C80BB8" w:rsidRDefault="008D4B0B">
            <w:pPr>
              <w:rPr>
                <w:lang w:val="en-AU"/>
              </w:rPr>
            </w:pPr>
            <w:r>
              <w:rPr>
                <w:lang w:val="en-AU"/>
              </w:rPr>
              <w:t>Justice</w:t>
            </w:r>
          </w:p>
        </w:tc>
        <w:tc>
          <w:tcPr>
            <w:tcW w:w="8134" w:type="dxa"/>
          </w:tcPr>
          <w:p w14:paraId="13DDCD75" w14:textId="77777777" w:rsidR="008D4B0B" w:rsidRPr="00C80BB8" w:rsidRDefault="008D4B0B">
            <w:pPr>
              <w:rPr>
                <w:lang w:val="en-AU"/>
              </w:rPr>
            </w:pPr>
            <w:r>
              <w:rPr>
                <w:lang w:val="en-AU"/>
              </w:rPr>
              <w:t xml:space="preserve">“Benefits to society” </w:t>
            </w:r>
            <w:proofErr w:type="gramStart"/>
            <w:r>
              <w:rPr>
                <w:lang w:val="en-AU"/>
              </w:rPr>
              <w:t>are linked</w:t>
            </w:r>
            <w:proofErr w:type="gramEnd"/>
            <w:r>
              <w:rPr>
                <w:lang w:val="en-AU"/>
              </w:rPr>
              <w:t xml:space="preserve"> to justice since the adoption of a new technology in the field of medicine is also addressed to solve problems at the collective level, especially concerning better use of resources. For example, in the case of DP, one of the reasons why they were developed is to tackle poor medication-adherence, which is causing severe problems at a societal level, especially due to waste of resources. With this issue, we wanted to look for insights to the question: “What does society stands to benefit from the introduction of DP?”</w:t>
            </w:r>
          </w:p>
        </w:tc>
      </w:tr>
      <w:tr w:rsidR="00C80BB8" w:rsidRPr="0066283E" w14:paraId="0977EA69" w14:textId="77777777" w:rsidTr="00FB41A8">
        <w:trPr>
          <w:trHeight w:val="265"/>
        </w:trPr>
        <w:tc>
          <w:tcPr>
            <w:tcW w:w="2405" w:type="dxa"/>
          </w:tcPr>
          <w:p w14:paraId="33A19C84" w14:textId="77777777" w:rsidR="00C80BB8" w:rsidRPr="00C80BB8" w:rsidRDefault="008D4B0B">
            <w:pPr>
              <w:rPr>
                <w:lang w:val="en-AU"/>
              </w:rPr>
            </w:pPr>
            <w:r>
              <w:rPr>
                <w:lang w:val="en-AU"/>
              </w:rPr>
              <w:t>Data access</w:t>
            </w:r>
          </w:p>
        </w:tc>
        <w:tc>
          <w:tcPr>
            <w:tcW w:w="1843" w:type="dxa"/>
          </w:tcPr>
          <w:p w14:paraId="59FE5462" w14:textId="77777777" w:rsidR="00C80BB8" w:rsidRPr="00C80BB8" w:rsidRDefault="009D1966">
            <w:pPr>
              <w:rPr>
                <w:lang w:val="en-AU"/>
              </w:rPr>
            </w:pPr>
            <w:r>
              <w:rPr>
                <w:lang w:val="en-AU"/>
              </w:rPr>
              <w:t>Provider-related</w:t>
            </w:r>
          </w:p>
        </w:tc>
        <w:tc>
          <w:tcPr>
            <w:tcW w:w="2410" w:type="dxa"/>
          </w:tcPr>
          <w:p w14:paraId="0CF82B0A" w14:textId="77777777" w:rsidR="00C80BB8" w:rsidRPr="00C80BB8" w:rsidRDefault="009D1966">
            <w:pPr>
              <w:rPr>
                <w:lang w:val="en-AU"/>
              </w:rPr>
            </w:pPr>
            <w:r>
              <w:rPr>
                <w:lang w:val="en-AU"/>
              </w:rPr>
              <w:t>Autonomy</w:t>
            </w:r>
          </w:p>
        </w:tc>
        <w:tc>
          <w:tcPr>
            <w:tcW w:w="8134" w:type="dxa"/>
          </w:tcPr>
          <w:p w14:paraId="2797E6A4" w14:textId="77777777" w:rsidR="00C80BB8" w:rsidRPr="00C80BB8" w:rsidRDefault="001472C8">
            <w:pPr>
              <w:rPr>
                <w:lang w:val="en-AU"/>
              </w:rPr>
            </w:pPr>
            <w:r>
              <w:rPr>
                <w:lang w:val="en-AU"/>
              </w:rPr>
              <w:t>We concluded that c</w:t>
            </w:r>
            <w:r w:rsidR="00834636">
              <w:rPr>
                <w:lang w:val="en-AU"/>
              </w:rPr>
              <w:t xml:space="preserve">onsiderations about </w:t>
            </w:r>
            <w:r>
              <w:rPr>
                <w:lang w:val="en-AU"/>
              </w:rPr>
              <w:t xml:space="preserve">the access to the data that patients produce by ingesting DP affect patients’ autonomy, in that they reveal information about their behaviour to the healthcare provider. In other words, issues concerning data access are relevant to autonomy since they determine to what extent patient’s health related behaviour is monitored and </w:t>
            </w:r>
            <w:proofErr w:type="gramStart"/>
            <w:r>
              <w:rPr>
                <w:lang w:val="en-AU"/>
              </w:rPr>
              <w:t>can also</w:t>
            </w:r>
            <w:proofErr w:type="gramEnd"/>
            <w:r>
              <w:rPr>
                <w:lang w:val="en-AU"/>
              </w:rPr>
              <w:t xml:space="preserve"> be steered. </w:t>
            </w:r>
          </w:p>
        </w:tc>
      </w:tr>
      <w:tr w:rsidR="00C80BB8" w:rsidRPr="0066283E" w14:paraId="191EF74E" w14:textId="77777777" w:rsidTr="00FB41A8">
        <w:trPr>
          <w:trHeight w:val="251"/>
        </w:trPr>
        <w:tc>
          <w:tcPr>
            <w:tcW w:w="2405" w:type="dxa"/>
          </w:tcPr>
          <w:p w14:paraId="586886E6" w14:textId="77777777" w:rsidR="00C80BB8" w:rsidRPr="00C80BB8" w:rsidRDefault="008D4B0B">
            <w:pPr>
              <w:rPr>
                <w:lang w:val="en-AU"/>
              </w:rPr>
            </w:pPr>
            <w:r>
              <w:rPr>
                <w:lang w:val="en-AU"/>
              </w:rPr>
              <w:t>Data (in)accuracy</w:t>
            </w:r>
          </w:p>
        </w:tc>
        <w:tc>
          <w:tcPr>
            <w:tcW w:w="1843" w:type="dxa"/>
          </w:tcPr>
          <w:p w14:paraId="3D0C0DB5" w14:textId="77777777" w:rsidR="00C80BB8" w:rsidRPr="00C80BB8" w:rsidRDefault="009D1966">
            <w:pPr>
              <w:rPr>
                <w:lang w:val="en-AU"/>
              </w:rPr>
            </w:pPr>
            <w:r w:rsidRPr="00C80BB8">
              <w:rPr>
                <w:lang w:val="en-AU"/>
              </w:rPr>
              <w:t>Patient-related</w:t>
            </w:r>
          </w:p>
        </w:tc>
        <w:tc>
          <w:tcPr>
            <w:tcW w:w="2410" w:type="dxa"/>
          </w:tcPr>
          <w:p w14:paraId="12769EAA" w14:textId="77777777" w:rsidR="00C80BB8" w:rsidRPr="00C80BB8" w:rsidRDefault="009D1966">
            <w:pPr>
              <w:rPr>
                <w:lang w:val="en-AU"/>
              </w:rPr>
            </w:pPr>
            <w:r>
              <w:rPr>
                <w:lang w:val="en-AU"/>
              </w:rPr>
              <w:t>Beneficence</w:t>
            </w:r>
          </w:p>
        </w:tc>
        <w:tc>
          <w:tcPr>
            <w:tcW w:w="8134" w:type="dxa"/>
          </w:tcPr>
          <w:p w14:paraId="6BB1A54A" w14:textId="77777777" w:rsidR="00C80BB8" w:rsidRPr="00C80BB8" w:rsidRDefault="001472C8" w:rsidP="001472C8">
            <w:pPr>
              <w:rPr>
                <w:lang w:val="en-AU"/>
              </w:rPr>
            </w:pPr>
            <w:r>
              <w:rPr>
                <w:lang w:val="en-AU"/>
              </w:rPr>
              <w:t xml:space="preserve">The level of accuracy of one of the main functions of DP (namely monitoring </w:t>
            </w:r>
            <w:proofErr w:type="gramStart"/>
            <w:r>
              <w:rPr>
                <w:lang w:val="en-AU"/>
              </w:rPr>
              <w:t>medicine taking</w:t>
            </w:r>
            <w:proofErr w:type="gramEnd"/>
            <w:r>
              <w:rPr>
                <w:lang w:val="en-AU"/>
              </w:rPr>
              <w:t xml:space="preserve"> behaviour) is quite an important issue concerning the beneficence for the patient. In fact, “how accurate DP are” is a factor that helps to determine the overall benefit that patients might derive from using </w:t>
            </w:r>
            <w:proofErr w:type="gramStart"/>
            <w:r>
              <w:rPr>
                <w:lang w:val="en-AU"/>
              </w:rPr>
              <w:t>them.</w:t>
            </w:r>
            <w:proofErr w:type="gramEnd"/>
          </w:p>
        </w:tc>
      </w:tr>
      <w:tr w:rsidR="008D4B0B" w:rsidRPr="0066283E" w14:paraId="2B23C592" w14:textId="77777777" w:rsidTr="00FB41A8">
        <w:trPr>
          <w:trHeight w:val="251"/>
        </w:trPr>
        <w:tc>
          <w:tcPr>
            <w:tcW w:w="2405" w:type="dxa"/>
          </w:tcPr>
          <w:p w14:paraId="540222B5" w14:textId="77777777" w:rsidR="008D4B0B" w:rsidRPr="00C80BB8" w:rsidRDefault="008D4B0B">
            <w:pPr>
              <w:rPr>
                <w:lang w:val="en-AU"/>
              </w:rPr>
            </w:pPr>
            <w:r>
              <w:rPr>
                <w:lang w:val="en-AU"/>
              </w:rPr>
              <w:t xml:space="preserve">Data security </w:t>
            </w:r>
          </w:p>
        </w:tc>
        <w:tc>
          <w:tcPr>
            <w:tcW w:w="1843" w:type="dxa"/>
          </w:tcPr>
          <w:p w14:paraId="70FA5C82" w14:textId="77777777" w:rsidR="008D4B0B" w:rsidRPr="00C80BB8" w:rsidRDefault="009D1966">
            <w:pPr>
              <w:rPr>
                <w:lang w:val="en-AU"/>
              </w:rPr>
            </w:pPr>
            <w:r w:rsidRPr="00C80BB8">
              <w:rPr>
                <w:lang w:val="en-AU"/>
              </w:rPr>
              <w:t>Patient-related</w:t>
            </w:r>
          </w:p>
        </w:tc>
        <w:tc>
          <w:tcPr>
            <w:tcW w:w="2410" w:type="dxa"/>
          </w:tcPr>
          <w:p w14:paraId="4FBBD080" w14:textId="77777777" w:rsidR="008D4B0B" w:rsidRPr="00C80BB8" w:rsidRDefault="009D1966">
            <w:pPr>
              <w:rPr>
                <w:lang w:val="en-AU"/>
              </w:rPr>
            </w:pPr>
            <w:r>
              <w:rPr>
                <w:lang w:val="en-AU"/>
              </w:rPr>
              <w:t>Autonomy</w:t>
            </w:r>
          </w:p>
        </w:tc>
        <w:tc>
          <w:tcPr>
            <w:tcW w:w="8134" w:type="dxa"/>
          </w:tcPr>
          <w:p w14:paraId="733AA047" w14:textId="77777777" w:rsidR="008D4B0B" w:rsidRPr="00C80BB8" w:rsidRDefault="001472C8" w:rsidP="001472C8">
            <w:pPr>
              <w:rPr>
                <w:lang w:val="en-AU"/>
              </w:rPr>
            </w:pPr>
            <w:r>
              <w:rPr>
                <w:lang w:val="en-AU"/>
              </w:rPr>
              <w:t xml:space="preserve">“Data security” </w:t>
            </w:r>
            <w:proofErr w:type="gramStart"/>
            <w:r>
              <w:rPr>
                <w:lang w:val="en-AU"/>
              </w:rPr>
              <w:t>is closely linked</w:t>
            </w:r>
            <w:proofErr w:type="gramEnd"/>
            <w:r>
              <w:rPr>
                <w:lang w:val="en-AU"/>
              </w:rPr>
              <w:t xml:space="preserve"> to autonomy. The data DP collect (mediation taking behaviour and other lifestyle data such as heartbeat and steps made) are sensitive health-related data. The level of security and the measures taken to achieve </w:t>
            </w:r>
            <w:proofErr w:type="gramStart"/>
            <w:r>
              <w:rPr>
                <w:lang w:val="en-AU"/>
              </w:rPr>
              <w:t>it,</w:t>
            </w:r>
            <w:proofErr w:type="gramEnd"/>
            <w:r>
              <w:rPr>
                <w:lang w:val="en-AU"/>
              </w:rPr>
              <w:t xml:space="preserve"> are thus two important elements to determine how these data about the intimate sphere of the patient are safeguarded from potential intrusion of third non-authorised parties.</w:t>
            </w:r>
          </w:p>
        </w:tc>
      </w:tr>
      <w:tr w:rsidR="009D1966" w:rsidRPr="0066283E" w14:paraId="781D291C" w14:textId="77777777" w:rsidTr="00FB41A8">
        <w:trPr>
          <w:trHeight w:val="251"/>
        </w:trPr>
        <w:tc>
          <w:tcPr>
            <w:tcW w:w="2405" w:type="dxa"/>
          </w:tcPr>
          <w:p w14:paraId="165F3C98" w14:textId="77777777" w:rsidR="009D1966" w:rsidRDefault="009D1966">
            <w:pPr>
              <w:rPr>
                <w:lang w:val="en-AU"/>
              </w:rPr>
            </w:pPr>
            <w:r>
              <w:rPr>
                <w:lang w:val="en-AU"/>
              </w:rPr>
              <w:t>Device or medicine</w:t>
            </w:r>
          </w:p>
        </w:tc>
        <w:tc>
          <w:tcPr>
            <w:tcW w:w="1843" w:type="dxa"/>
          </w:tcPr>
          <w:p w14:paraId="5EA462CB" w14:textId="77777777" w:rsidR="009D1966" w:rsidRPr="00C80BB8" w:rsidRDefault="009D1966">
            <w:pPr>
              <w:rPr>
                <w:lang w:val="en-AU"/>
              </w:rPr>
            </w:pPr>
            <w:r>
              <w:rPr>
                <w:lang w:val="en-AU"/>
              </w:rPr>
              <w:t>Society-related</w:t>
            </w:r>
          </w:p>
        </w:tc>
        <w:tc>
          <w:tcPr>
            <w:tcW w:w="2410" w:type="dxa"/>
          </w:tcPr>
          <w:p w14:paraId="636EDBD6" w14:textId="77777777" w:rsidR="009D1966" w:rsidRPr="00C80BB8" w:rsidRDefault="009D1966">
            <w:pPr>
              <w:rPr>
                <w:lang w:val="en-AU"/>
              </w:rPr>
            </w:pPr>
            <w:r>
              <w:rPr>
                <w:lang w:val="en-AU"/>
              </w:rPr>
              <w:t>Justice</w:t>
            </w:r>
          </w:p>
        </w:tc>
        <w:tc>
          <w:tcPr>
            <w:tcW w:w="8134" w:type="dxa"/>
          </w:tcPr>
          <w:p w14:paraId="2EF495A2" w14:textId="6072796F" w:rsidR="009D1966" w:rsidRPr="00C80BB8" w:rsidRDefault="00251A9E" w:rsidP="00365B2C">
            <w:pPr>
              <w:rPr>
                <w:lang w:val="en-AU"/>
              </w:rPr>
            </w:pPr>
            <w:r>
              <w:rPr>
                <w:lang w:val="en-AU"/>
              </w:rPr>
              <w:t xml:space="preserve">Issues concerning the approval of DP by a public authority (e.g. FDA) are important to reflect on societal questions concerning </w:t>
            </w:r>
            <w:r w:rsidR="00870E77">
              <w:rPr>
                <w:lang w:val="en-AU"/>
              </w:rPr>
              <w:t>appropriateness</w:t>
            </w:r>
            <w:r>
              <w:rPr>
                <w:lang w:val="en-AU"/>
              </w:rPr>
              <w:t xml:space="preserve"> of the procedures used to approve </w:t>
            </w:r>
            <w:proofErr w:type="gramStart"/>
            <w:r>
              <w:rPr>
                <w:lang w:val="en-AU"/>
              </w:rPr>
              <w:t>these product</w:t>
            </w:r>
            <w:proofErr w:type="gramEnd"/>
            <w:r>
              <w:rPr>
                <w:lang w:val="en-AU"/>
              </w:rPr>
              <w:t xml:space="preserve">. This is particularly interesting for a technology such as DP, which are a medical device to </w:t>
            </w:r>
            <w:proofErr w:type="gramStart"/>
            <w:r>
              <w:rPr>
                <w:lang w:val="en-AU"/>
              </w:rPr>
              <w:t>be integrated</w:t>
            </w:r>
            <w:proofErr w:type="gramEnd"/>
            <w:r>
              <w:rPr>
                <w:lang w:val="en-AU"/>
              </w:rPr>
              <w:t xml:space="preserve"> with a drug (thus – to some extent – blurring the boundaries between these two categories).</w:t>
            </w:r>
            <w:r w:rsidR="00870E77">
              <w:rPr>
                <w:lang w:val="en-AU"/>
              </w:rPr>
              <w:t xml:space="preserve"> Moreover, the process of approval of a </w:t>
            </w:r>
            <w:r w:rsidR="00870E77">
              <w:rPr>
                <w:lang w:val="en-AU"/>
              </w:rPr>
              <w:lastRenderedPageBreak/>
              <w:t>medical device or a drug – as a matter of fact – determine the level of safety and effectiveness that society deems acceptable to allow a product on the market</w:t>
            </w:r>
            <w:r w:rsidR="00365B2C">
              <w:rPr>
                <w:lang w:val="en-AU"/>
              </w:rPr>
              <w:t>, which might vary with time and with technological advancement</w:t>
            </w:r>
            <w:r w:rsidR="00870E77">
              <w:rPr>
                <w:lang w:val="en-AU"/>
              </w:rPr>
              <w:t>.</w:t>
            </w:r>
          </w:p>
        </w:tc>
      </w:tr>
      <w:tr w:rsidR="009D1966" w:rsidRPr="0066283E" w14:paraId="6871300F" w14:textId="77777777" w:rsidTr="00FB41A8">
        <w:trPr>
          <w:trHeight w:val="251"/>
        </w:trPr>
        <w:tc>
          <w:tcPr>
            <w:tcW w:w="2405" w:type="dxa"/>
          </w:tcPr>
          <w:p w14:paraId="103B928B" w14:textId="77777777" w:rsidR="009D1966" w:rsidRPr="00C80BB8" w:rsidRDefault="009D1966">
            <w:pPr>
              <w:rPr>
                <w:lang w:val="en-AU"/>
              </w:rPr>
            </w:pPr>
            <w:r>
              <w:rPr>
                <w:lang w:val="en-AU"/>
              </w:rPr>
              <w:lastRenderedPageBreak/>
              <w:t>Doctor-patient relationship</w:t>
            </w:r>
          </w:p>
        </w:tc>
        <w:tc>
          <w:tcPr>
            <w:tcW w:w="1843" w:type="dxa"/>
          </w:tcPr>
          <w:p w14:paraId="5871871B" w14:textId="77777777" w:rsidR="009D1966" w:rsidRPr="00C80BB8" w:rsidRDefault="009D1966">
            <w:pPr>
              <w:rPr>
                <w:lang w:val="en-AU"/>
              </w:rPr>
            </w:pPr>
            <w:r>
              <w:rPr>
                <w:lang w:val="en-AU"/>
              </w:rPr>
              <w:t>Provider-related</w:t>
            </w:r>
          </w:p>
        </w:tc>
        <w:tc>
          <w:tcPr>
            <w:tcW w:w="2410" w:type="dxa"/>
          </w:tcPr>
          <w:p w14:paraId="165901E2" w14:textId="6507D03C" w:rsidR="009D1966" w:rsidRPr="00C80BB8" w:rsidRDefault="00870E77">
            <w:pPr>
              <w:rPr>
                <w:lang w:val="en-AU"/>
              </w:rPr>
            </w:pPr>
            <w:r>
              <w:rPr>
                <w:lang w:val="en-AU"/>
              </w:rPr>
              <w:t>Beneficence</w:t>
            </w:r>
          </w:p>
        </w:tc>
        <w:tc>
          <w:tcPr>
            <w:tcW w:w="8134" w:type="dxa"/>
          </w:tcPr>
          <w:p w14:paraId="6FAA043B" w14:textId="1C684739" w:rsidR="009D1966" w:rsidRPr="00C80BB8" w:rsidRDefault="00870E77" w:rsidP="00D00DF3">
            <w:pPr>
              <w:rPr>
                <w:lang w:val="en-AU"/>
              </w:rPr>
            </w:pPr>
            <w:r>
              <w:rPr>
                <w:lang w:val="en-AU"/>
              </w:rPr>
              <w:t xml:space="preserve">At the same </w:t>
            </w:r>
            <w:proofErr w:type="gramStart"/>
            <w:r>
              <w:rPr>
                <w:lang w:val="en-AU"/>
              </w:rPr>
              <w:t>time</w:t>
            </w:r>
            <w:proofErr w:type="gramEnd"/>
            <w:r>
              <w:rPr>
                <w:lang w:val="en-AU"/>
              </w:rPr>
              <w:t xml:space="preserve"> the “doctor patient relationship” also concerns the principle of beneficence. For example, if DP reduce the number of visits to GPs, this might have a negative impact on the welfare of the patient. At the same time, reducing visits to GPs might also have positive impacts if – for example – this reduction requires less travelling to the healthcare facility and the quality (and length) of the fewer visits is improved.</w:t>
            </w:r>
          </w:p>
        </w:tc>
      </w:tr>
      <w:tr w:rsidR="008D4B0B" w:rsidRPr="0066283E" w14:paraId="3A5D00F7" w14:textId="77777777" w:rsidTr="00FB41A8">
        <w:trPr>
          <w:trHeight w:val="251"/>
        </w:trPr>
        <w:tc>
          <w:tcPr>
            <w:tcW w:w="2405" w:type="dxa"/>
          </w:tcPr>
          <w:p w14:paraId="7698E53A" w14:textId="77777777" w:rsidR="008D4B0B" w:rsidRPr="00C80BB8" w:rsidRDefault="009D1966">
            <w:pPr>
              <w:rPr>
                <w:lang w:val="en-AU"/>
              </w:rPr>
            </w:pPr>
            <w:r>
              <w:rPr>
                <w:lang w:val="en-AU"/>
              </w:rPr>
              <w:t>Equipment failure</w:t>
            </w:r>
          </w:p>
        </w:tc>
        <w:tc>
          <w:tcPr>
            <w:tcW w:w="1843" w:type="dxa"/>
          </w:tcPr>
          <w:p w14:paraId="629EDB3B" w14:textId="77777777" w:rsidR="008D4B0B" w:rsidRPr="00C80BB8" w:rsidRDefault="009D1966">
            <w:pPr>
              <w:rPr>
                <w:lang w:val="en-AU"/>
              </w:rPr>
            </w:pPr>
            <w:r w:rsidRPr="00C80BB8">
              <w:rPr>
                <w:lang w:val="en-AU"/>
              </w:rPr>
              <w:t>Patient-related</w:t>
            </w:r>
          </w:p>
        </w:tc>
        <w:tc>
          <w:tcPr>
            <w:tcW w:w="2410" w:type="dxa"/>
          </w:tcPr>
          <w:p w14:paraId="034D40E0" w14:textId="77777777" w:rsidR="008D4B0B" w:rsidRPr="00C80BB8" w:rsidRDefault="004E429A">
            <w:pPr>
              <w:rPr>
                <w:lang w:val="en-AU"/>
              </w:rPr>
            </w:pPr>
            <w:r>
              <w:rPr>
                <w:lang w:val="en-AU"/>
              </w:rPr>
              <w:t>Non-maleficence</w:t>
            </w:r>
          </w:p>
        </w:tc>
        <w:tc>
          <w:tcPr>
            <w:tcW w:w="8134" w:type="dxa"/>
          </w:tcPr>
          <w:p w14:paraId="45BE8E11" w14:textId="77777777" w:rsidR="008D4B0B" w:rsidRPr="004E429A" w:rsidRDefault="004E429A">
            <w:pPr>
              <w:rPr>
                <w:lang w:val="en-AU"/>
              </w:rPr>
            </w:pPr>
            <w:r>
              <w:rPr>
                <w:lang w:val="en-AU"/>
              </w:rPr>
              <w:t xml:space="preserve">“Equipment failure” is an issue that plays an important role with respect to the principle of non-maleficence. In fact, if a device is </w:t>
            </w:r>
            <w:r w:rsidRPr="004E429A">
              <w:rPr>
                <w:i/>
                <w:lang w:val="en-AU"/>
              </w:rPr>
              <w:t>per se</w:t>
            </w:r>
            <w:r>
              <w:rPr>
                <w:i/>
                <w:lang w:val="en-AU"/>
              </w:rPr>
              <w:t xml:space="preserve"> </w:t>
            </w:r>
            <w:r>
              <w:rPr>
                <w:lang w:val="en-AU"/>
              </w:rPr>
              <w:t>accurate and effective, but at the same time subjects to malfunctions, this might result damaging to the well-being of the patient.</w:t>
            </w:r>
          </w:p>
        </w:tc>
      </w:tr>
      <w:tr w:rsidR="009D1966" w:rsidRPr="0066283E" w14:paraId="1A7BBAD1" w14:textId="77777777" w:rsidTr="00FB41A8">
        <w:trPr>
          <w:trHeight w:val="251"/>
        </w:trPr>
        <w:tc>
          <w:tcPr>
            <w:tcW w:w="2405" w:type="dxa"/>
          </w:tcPr>
          <w:p w14:paraId="1CFAC598" w14:textId="77777777" w:rsidR="009D1966" w:rsidRDefault="009D1966" w:rsidP="009D1966">
            <w:pPr>
              <w:rPr>
                <w:lang w:val="en-AU"/>
              </w:rPr>
            </w:pPr>
            <w:r>
              <w:rPr>
                <w:lang w:val="en-AU"/>
              </w:rPr>
              <w:t>Health-related risks</w:t>
            </w:r>
          </w:p>
        </w:tc>
        <w:tc>
          <w:tcPr>
            <w:tcW w:w="1843" w:type="dxa"/>
          </w:tcPr>
          <w:p w14:paraId="5B7B2518" w14:textId="77777777" w:rsidR="009D1966" w:rsidRPr="00C80BB8" w:rsidRDefault="009D1966">
            <w:pPr>
              <w:rPr>
                <w:lang w:val="en-AU"/>
              </w:rPr>
            </w:pPr>
            <w:r w:rsidRPr="00C80BB8">
              <w:rPr>
                <w:lang w:val="en-AU"/>
              </w:rPr>
              <w:t>Patient-related</w:t>
            </w:r>
          </w:p>
        </w:tc>
        <w:tc>
          <w:tcPr>
            <w:tcW w:w="2410" w:type="dxa"/>
          </w:tcPr>
          <w:p w14:paraId="1E4AF17F" w14:textId="77777777" w:rsidR="009D1966" w:rsidRPr="00C80BB8" w:rsidRDefault="009D1966">
            <w:pPr>
              <w:rPr>
                <w:lang w:val="en-AU"/>
              </w:rPr>
            </w:pPr>
            <w:r>
              <w:rPr>
                <w:lang w:val="en-AU"/>
              </w:rPr>
              <w:t>Non-maleficence</w:t>
            </w:r>
          </w:p>
        </w:tc>
        <w:tc>
          <w:tcPr>
            <w:tcW w:w="8134" w:type="dxa"/>
          </w:tcPr>
          <w:p w14:paraId="3C1F5E91" w14:textId="77CC81B5" w:rsidR="009D1966" w:rsidRPr="00C80BB8" w:rsidRDefault="004E429A" w:rsidP="00D00DF3">
            <w:pPr>
              <w:rPr>
                <w:lang w:val="en-AU"/>
              </w:rPr>
            </w:pPr>
            <w:r>
              <w:rPr>
                <w:lang w:val="en-AU"/>
              </w:rPr>
              <w:t>“Health related risks”, especially in terms of potential adverse reactions, are relevant to consider for the principle of non-maleficence</w:t>
            </w:r>
            <w:r w:rsidR="00D00DF3">
              <w:rPr>
                <w:lang w:val="en-AU"/>
              </w:rPr>
              <w:t xml:space="preserve"> to avoid </w:t>
            </w:r>
            <w:r>
              <w:rPr>
                <w:lang w:val="en-AU"/>
              </w:rPr>
              <w:t>negative health outcomes for patients.</w:t>
            </w:r>
          </w:p>
        </w:tc>
      </w:tr>
      <w:tr w:rsidR="009D1966" w:rsidRPr="0066283E" w14:paraId="2A319CE9" w14:textId="77777777" w:rsidTr="00FB41A8">
        <w:trPr>
          <w:trHeight w:val="251"/>
        </w:trPr>
        <w:tc>
          <w:tcPr>
            <w:tcW w:w="2405" w:type="dxa"/>
          </w:tcPr>
          <w:p w14:paraId="17BAAB1C" w14:textId="77777777" w:rsidR="009D1966" w:rsidRPr="00C80BB8" w:rsidRDefault="009D1966">
            <w:pPr>
              <w:rPr>
                <w:lang w:val="en-AU"/>
              </w:rPr>
            </w:pPr>
            <w:r>
              <w:rPr>
                <w:lang w:val="en-AU"/>
              </w:rPr>
              <w:t xml:space="preserve">Need for training </w:t>
            </w:r>
          </w:p>
        </w:tc>
        <w:tc>
          <w:tcPr>
            <w:tcW w:w="1843" w:type="dxa"/>
          </w:tcPr>
          <w:p w14:paraId="6F431A13" w14:textId="77777777" w:rsidR="009D1966" w:rsidRPr="00C80BB8" w:rsidRDefault="009D1966">
            <w:pPr>
              <w:rPr>
                <w:lang w:val="en-AU"/>
              </w:rPr>
            </w:pPr>
            <w:r w:rsidRPr="00C80BB8">
              <w:rPr>
                <w:lang w:val="en-AU"/>
              </w:rPr>
              <w:t>Patient-related</w:t>
            </w:r>
          </w:p>
        </w:tc>
        <w:tc>
          <w:tcPr>
            <w:tcW w:w="2410" w:type="dxa"/>
          </w:tcPr>
          <w:p w14:paraId="7C4C40FC" w14:textId="77777777" w:rsidR="009D1966" w:rsidRPr="00C80BB8" w:rsidRDefault="009D1966">
            <w:pPr>
              <w:rPr>
                <w:lang w:val="en-AU"/>
              </w:rPr>
            </w:pPr>
            <w:r>
              <w:rPr>
                <w:lang w:val="en-AU"/>
              </w:rPr>
              <w:t>Autonomy</w:t>
            </w:r>
          </w:p>
        </w:tc>
        <w:tc>
          <w:tcPr>
            <w:tcW w:w="8134" w:type="dxa"/>
          </w:tcPr>
          <w:p w14:paraId="14660DF1" w14:textId="77777777" w:rsidR="009D1966" w:rsidRPr="00C80BB8" w:rsidRDefault="004E429A">
            <w:pPr>
              <w:rPr>
                <w:lang w:val="en-AU"/>
              </w:rPr>
            </w:pPr>
            <w:r>
              <w:rPr>
                <w:lang w:val="en-AU"/>
              </w:rPr>
              <w:t xml:space="preserve">The presence or absence of a “need for training” might have an impact on autonomy at least in two ways. On the one hand, more training needed means that patients require more support in operating the device and then exercise their autonomy with respect to the treatment. On the other day, the presence of training might also help patients expand their autonomy, in that after the training they might become less dependent on, for example, their doctor. </w:t>
            </w:r>
          </w:p>
        </w:tc>
      </w:tr>
      <w:tr w:rsidR="009D1966" w:rsidRPr="0066283E" w14:paraId="267BACED" w14:textId="77777777" w:rsidTr="00FB41A8">
        <w:trPr>
          <w:trHeight w:val="251"/>
        </w:trPr>
        <w:tc>
          <w:tcPr>
            <w:tcW w:w="2405" w:type="dxa"/>
          </w:tcPr>
          <w:p w14:paraId="7CDF5A00" w14:textId="77777777" w:rsidR="009D1966" w:rsidRDefault="009D1966">
            <w:pPr>
              <w:rPr>
                <w:lang w:val="en-AU"/>
              </w:rPr>
            </w:pPr>
            <w:r>
              <w:rPr>
                <w:lang w:val="en-AU"/>
              </w:rPr>
              <w:t>Privacy</w:t>
            </w:r>
          </w:p>
        </w:tc>
        <w:tc>
          <w:tcPr>
            <w:tcW w:w="1843" w:type="dxa"/>
          </w:tcPr>
          <w:p w14:paraId="1F8CA159" w14:textId="77777777" w:rsidR="009D1966" w:rsidRPr="00C80BB8" w:rsidRDefault="009D1966">
            <w:pPr>
              <w:rPr>
                <w:lang w:val="en-AU"/>
              </w:rPr>
            </w:pPr>
            <w:r w:rsidRPr="00C80BB8">
              <w:rPr>
                <w:lang w:val="en-AU"/>
              </w:rPr>
              <w:t>Patient-related</w:t>
            </w:r>
          </w:p>
        </w:tc>
        <w:tc>
          <w:tcPr>
            <w:tcW w:w="2410" w:type="dxa"/>
          </w:tcPr>
          <w:p w14:paraId="711683CF" w14:textId="77777777" w:rsidR="009D1966" w:rsidRPr="00C80BB8" w:rsidRDefault="009D1966">
            <w:pPr>
              <w:rPr>
                <w:lang w:val="en-AU"/>
              </w:rPr>
            </w:pPr>
            <w:r>
              <w:rPr>
                <w:lang w:val="en-AU"/>
              </w:rPr>
              <w:t>Autonomy</w:t>
            </w:r>
          </w:p>
        </w:tc>
        <w:tc>
          <w:tcPr>
            <w:tcW w:w="8134" w:type="dxa"/>
          </w:tcPr>
          <w:p w14:paraId="07CB8A0C" w14:textId="7D03C540" w:rsidR="009D1966" w:rsidRPr="00C80BB8" w:rsidRDefault="004E429A" w:rsidP="00870E77">
            <w:pPr>
              <w:rPr>
                <w:lang w:val="en-AU"/>
              </w:rPr>
            </w:pPr>
            <w:r>
              <w:rPr>
                <w:lang w:val="en-AU"/>
              </w:rPr>
              <w:t xml:space="preserve">“Privacy” is strictly related to autonomy, since the </w:t>
            </w:r>
            <w:r w:rsidR="00870E77">
              <w:rPr>
                <w:lang w:val="en-AU"/>
              </w:rPr>
              <w:t xml:space="preserve">intrusion </w:t>
            </w:r>
            <w:r>
              <w:rPr>
                <w:lang w:val="en-AU"/>
              </w:rPr>
              <w:t xml:space="preserve">in the personal and intimate sphere </w:t>
            </w:r>
            <w:proofErr w:type="gramStart"/>
            <w:r>
              <w:rPr>
                <w:lang w:val="en-AU"/>
              </w:rPr>
              <w:t>of a patients impacts</w:t>
            </w:r>
            <w:proofErr w:type="gramEnd"/>
            <w:r>
              <w:rPr>
                <w:lang w:val="en-AU"/>
              </w:rPr>
              <w:t xml:space="preserve"> on his freedom to act freely – especially with respect to the healthcare provider.</w:t>
            </w:r>
          </w:p>
        </w:tc>
      </w:tr>
      <w:tr w:rsidR="008D4B0B" w:rsidRPr="0066283E" w14:paraId="678313AA" w14:textId="77777777" w:rsidTr="00FB41A8">
        <w:trPr>
          <w:trHeight w:val="251"/>
        </w:trPr>
        <w:tc>
          <w:tcPr>
            <w:tcW w:w="2405" w:type="dxa"/>
          </w:tcPr>
          <w:p w14:paraId="71A5CD45" w14:textId="77777777" w:rsidR="008D4B0B" w:rsidRPr="00C80BB8" w:rsidRDefault="009D1966">
            <w:pPr>
              <w:rPr>
                <w:lang w:val="en-AU"/>
              </w:rPr>
            </w:pPr>
            <w:r>
              <w:rPr>
                <w:lang w:val="en-AU"/>
              </w:rPr>
              <w:t>Quality of evidence</w:t>
            </w:r>
          </w:p>
        </w:tc>
        <w:tc>
          <w:tcPr>
            <w:tcW w:w="1843" w:type="dxa"/>
          </w:tcPr>
          <w:p w14:paraId="00C0D3B8" w14:textId="77777777" w:rsidR="008D4B0B" w:rsidRPr="00C80BB8" w:rsidRDefault="009D1966">
            <w:pPr>
              <w:rPr>
                <w:lang w:val="en-AU"/>
              </w:rPr>
            </w:pPr>
            <w:r>
              <w:rPr>
                <w:lang w:val="en-AU"/>
              </w:rPr>
              <w:t>Society-related</w:t>
            </w:r>
          </w:p>
        </w:tc>
        <w:tc>
          <w:tcPr>
            <w:tcW w:w="2410" w:type="dxa"/>
          </w:tcPr>
          <w:p w14:paraId="0086F2DE" w14:textId="77777777" w:rsidR="008D4B0B" w:rsidRPr="00C80BB8" w:rsidRDefault="009D1966">
            <w:pPr>
              <w:rPr>
                <w:lang w:val="en-AU"/>
              </w:rPr>
            </w:pPr>
            <w:r>
              <w:rPr>
                <w:lang w:val="en-AU"/>
              </w:rPr>
              <w:t>Justice</w:t>
            </w:r>
          </w:p>
        </w:tc>
        <w:tc>
          <w:tcPr>
            <w:tcW w:w="8134" w:type="dxa"/>
          </w:tcPr>
          <w:p w14:paraId="541FEAE4" w14:textId="315B6DE0" w:rsidR="008D4B0B" w:rsidRPr="00C80BB8" w:rsidRDefault="00870E77" w:rsidP="00870E77">
            <w:pPr>
              <w:rPr>
                <w:lang w:val="en-AU"/>
              </w:rPr>
            </w:pPr>
            <w:r>
              <w:rPr>
                <w:lang w:val="en-AU"/>
              </w:rPr>
              <w:t xml:space="preserve">The </w:t>
            </w:r>
            <w:r w:rsidR="004E429A">
              <w:rPr>
                <w:lang w:val="en-AU"/>
              </w:rPr>
              <w:t>“</w:t>
            </w:r>
            <w:r>
              <w:rPr>
                <w:lang w:val="en-AU"/>
              </w:rPr>
              <w:t>q</w:t>
            </w:r>
            <w:r w:rsidR="004E429A">
              <w:rPr>
                <w:lang w:val="en-AU"/>
              </w:rPr>
              <w:t>uality of the evidence” concerning a</w:t>
            </w:r>
            <w:r>
              <w:rPr>
                <w:lang w:val="en-AU"/>
              </w:rPr>
              <w:t xml:space="preserve"> the performance of a</w:t>
            </w:r>
            <w:r w:rsidR="004E429A">
              <w:rPr>
                <w:lang w:val="en-AU"/>
              </w:rPr>
              <w:t xml:space="preserve"> </w:t>
            </w:r>
            <w:r>
              <w:rPr>
                <w:lang w:val="en-AU"/>
              </w:rPr>
              <w:t xml:space="preserve">health </w:t>
            </w:r>
            <w:r w:rsidR="004E429A">
              <w:rPr>
                <w:lang w:val="en-AU"/>
              </w:rPr>
              <w:t xml:space="preserve">technology </w:t>
            </w:r>
            <w:r>
              <w:rPr>
                <w:lang w:val="en-AU"/>
              </w:rPr>
              <w:t>is</w:t>
            </w:r>
            <w:r w:rsidR="004E429A">
              <w:rPr>
                <w:lang w:val="en-AU"/>
              </w:rPr>
              <w:t xml:space="preserve"> a key feature to </w:t>
            </w:r>
            <w:r w:rsidR="00EA675E">
              <w:rPr>
                <w:lang w:val="en-AU"/>
              </w:rPr>
              <w:t>reflect</w:t>
            </w:r>
            <w:r>
              <w:rPr>
                <w:lang w:val="en-AU"/>
              </w:rPr>
              <w:t>, for example,</w:t>
            </w:r>
            <w:r w:rsidR="00EA675E">
              <w:rPr>
                <w:lang w:val="en-AU"/>
              </w:rPr>
              <w:t xml:space="preserve"> whether that technology </w:t>
            </w:r>
            <w:r>
              <w:rPr>
                <w:lang w:val="en-AU"/>
              </w:rPr>
              <w:t>should be financed in the publicly-funded health system, or if can be used by health insurances to adjust coverage</w:t>
            </w:r>
            <w:r w:rsidR="00EA675E">
              <w:rPr>
                <w:lang w:val="en-AU"/>
              </w:rPr>
              <w:t xml:space="preserve">. </w:t>
            </w:r>
          </w:p>
        </w:tc>
      </w:tr>
      <w:tr w:rsidR="009D1966" w:rsidRPr="0066283E" w14:paraId="7F8532FB" w14:textId="77777777" w:rsidTr="00FB41A8">
        <w:trPr>
          <w:trHeight w:val="251"/>
        </w:trPr>
        <w:tc>
          <w:tcPr>
            <w:tcW w:w="2405" w:type="dxa"/>
          </w:tcPr>
          <w:p w14:paraId="2A964264" w14:textId="77777777" w:rsidR="009D1966" w:rsidRPr="00C80BB8" w:rsidRDefault="009D1966">
            <w:pPr>
              <w:rPr>
                <w:lang w:val="en-AU"/>
              </w:rPr>
            </w:pPr>
            <w:r>
              <w:rPr>
                <w:lang w:val="en-AU"/>
              </w:rPr>
              <w:t>Usability</w:t>
            </w:r>
          </w:p>
        </w:tc>
        <w:tc>
          <w:tcPr>
            <w:tcW w:w="1843" w:type="dxa"/>
          </w:tcPr>
          <w:p w14:paraId="617DC3CD" w14:textId="77777777" w:rsidR="009D1966" w:rsidRPr="00C80BB8" w:rsidRDefault="009D1966">
            <w:pPr>
              <w:rPr>
                <w:lang w:val="en-AU"/>
              </w:rPr>
            </w:pPr>
            <w:r w:rsidRPr="00C80BB8">
              <w:rPr>
                <w:lang w:val="en-AU"/>
              </w:rPr>
              <w:t>Patient-related</w:t>
            </w:r>
          </w:p>
        </w:tc>
        <w:tc>
          <w:tcPr>
            <w:tcW w:w="2410" w:type="dxa"/>
          </w:tcPr>
          <w:p w14:paraId="30CD88A2" w14:textId="77777777" w:rsidR="009D1966" w:rsidRPr="00C80BB8" w:rsidRDefault="009D1966">
            <w:pPr>
              <w:rPr>
                <w:lang w:val="en-AU"/>
              </w:rPr>
            </w:pPr>
            <w:r>
              <w:rPr>
                <w:lang w:val="en-AU"/>
              </w:rPr>
              <w:t>Beneficence</w:t>
            </w:r>
          </w:p>
        </w:tc>
        <w:tc>
          <w:tcPr>
            <w:tcW w:w="8134" w:type="dxa"/>
          </w:tcPr>
          <w:p w14:paraId="57FF7DAD" w14:textId="77E8D960" w:rsidR="009D1966" w:rsidRPr="00C80BB8" w:rsidRDefault="00FB41A8" w:rsidP="005B33D5">
            <w:pPr>
              <w:rPr>
                <w:lang w:val="en-AU"/>
              </w:rPr>
            </w:pPr>
            <w:r>
              <w:rPr>
                <w:lang w:val="en-AU"/>
              </w:rPr>
              <w:t xml:space="preserve">“Usability” </w:t>
            </w:r>
            <w:proofErr w:type="gramStart"/>
            <w:r>
              <w:rPr>
                <w:lang w:val="en-AU"/>
              </w:rPr>
              <w:t>is closely linked</w:t>
            </w:r>
            <w:proofErr w:type="gramEnd"/>
            <w:r>
              <w:rPr>
                <w:lang w:val="en-AU"/>
              </w:rPr>
              <w:t xml:space="preserve"> to beneficence, since a device </w:t>
            </w:r>
            <w:r w:rsidR="005B33D5">
              <w:rPr>
                <w:lang w:val="en-AU"/>
              </w:rPr>
              <w:t>that is</w:t>
            </w:r>
            <w:r>
              <w:rPr>
                <w:lang w:val="en-AU"/>
              </w:rPr>
              <w:t xml:space="preserve"> non-user-friendly</w:t>
            </w:r>
            <w:r w:rsidR="005B33D5">
              <w:rPr>
                <w:lang w:val="en-AU"/>
              </w:rPr>
              <w:t xml:space="preserve"> can </w:t>
            </w:r>
            <w:r>
              <w:rPr>
                <w:lang w:val="en-AU"/>
              </w:rPr>
              <w:t>compromise its usefulness for the patients</w:t>
            </w:r>
            <w:r w:rsidR="00870E77">
              <w:rPr>
                <w:lang w:val="en-AU"/>
              </w:rPr>
              <w:t xml:space="preserve"> and impact on patients’ welfare.</w:t>
            </w:r>
          </w:p>
        </w:tc>
      </w:tr>
    </w:tbl>
    <w:p w14:paraId="11D6745B" w14:textId="77777777" w:rsidR="00E95B0D" w:rsidRPr="00C80BB8" w:rsidRDefault="00C80BB8">
      <w:pPr>
        <w:rPr>
          <w:lang w:val="en-AU"/>
        </w:rPr>
      </w:pPr>
      <w:proofErr w:type="spellStart"/>
      <w:proofErr w:type="gramStart"/>
      <w:r w:rsidRPr="00C80BB8">
        <w:rPr>
          <w:vertAlign w:val="superscript"/>
          <w:lang w:val="en-AU"/>
        </w:rPr>
        <w:t>a</w:t>
      </w:r>
      <w:proofErr w:type="spellEnd"/>
      <w:proofErr w:type="gramEnd"/>
      <w:r w:rsidRPr="00C80BB8">
        <w:rPr>
          <w:vertAlign w:val="superscript"/>
          <w:lang w:val="en-AU"/>
        </w:rPr>
        <w:t xml:space="preserve"> </w:t>
      </w:r>
      <w:r w:rsidRPr="00C80BB8">
        <w:rPr>
          <w:lang w:val="en-AU"/>
        </w:rPr>
        <w:t>alphabetical order</w:t>
      </w:r>
    </w:p>
    <w:sectPr w:rsidR="00E95B0D" w:rsidRPr="00C80BB8" w:rsidSect="00C80BB8">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BB8"/>
    <w:rsid w:val="001022A7"/>
    <w:rsid w:val="001472C8"/>
    <w:rsid w:val="00251A9E"/>
    <w:rsid w:val="00365B2C"/>
    <w:rsid w:val="003C03A5"/>
    <w:rsid w:val="00476EF4"/>
    <w:rsid w:val="004E429A"/>
    <w:rsid w:val="005B33D5"/>
    <w:rsid w:val="0066283E"/>
    <w:rsid w:val="00682BCD"/>
    <w:rsid w:val="00707EB0"/>
    <w:rsid w:val="00834636"/>
    <w:rsid w:val="00870E77"/>
    <w:rsid w:val="008D4B0B"/>
    <w:rsid w:val="00907AA2"/>
    <w:rsid w:val="009D1966"/>
    <w:rsid w:val="00AD6A3B"/>
    <w:rsid w:val="00C80BB8"/>
    <w:rsid w:val="00D00DF3"/>
    <w:rsid w:val="00E95B0D"/>
    <w:rsid w:val="00EA675E"/>
    <w:rsid w:val="00FB41A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2C881"/>
  <w15:chartTrackingRefBased/>
  <w15:docId w15:val="{D790971C-2F22-4C34-B75A-0CDD6685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6EF4"/>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0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6EF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B3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3D5"/>
    <w:rPr>
      <w:rFonts w:ascii="Segoe UI" w:hAnsi="Segoe UI" w:cs="Segoe UI"/>
      <w:sz w:val="18"/>
      <w:szCs w:val="18"/>
    </w:rPr>
  </w:style>
  <w:style w:type="character" w:styleId="CommentReference">
    <w:name w:val="annotation reference"/>
    <w:basedOn w:val="DefaultParagraphFont"/>
    <w:uiPriority w:val="99"/>
    <w:semiHidden/>
    <w:unhideWhenUsed/>
    <w:rsid w:val="005B33D5"/>
    <w:rPr>
      <w:sz w:val="16"/>
      <w:szCs w:val="16"/>
    </w:rPr>
  </w:style>
  <w:style w:type="paragraph" w:styleId="CommentText">
    <w:name w:val="annotation text"/>
    <w:basedOn w:val="Normal"/>
    <w:link w:val="CommentTextChar"/>
    <w:uiPriority w:val="99"/>
    <w:semiHidden/>
    <w:unhideWhenUsed/>
    <w:rsid w:val="005B33D5"/>
    <w:pPr>
      <w:spacing w:line="240" w:lineRule="auto"/>
    </w:pPr>
    <w:rPr>
      <w:sz w:val="20"/>
      <w:szCs w:val="20"/>
    </w:rPr>
  </w:style>
  <w:style w:type="character" w:customStyle="1" w:styleId="CommentTextChar">
    <w:name w:val="Comment Text Char"/>
    <w:basedOn w:val="DefaultParagraphFont"/>
    <w:link w:val="CommentText"/>
    <w:uiPriority w:val="99"/>
    <w:semiHidden/>
    <w:rsid w:val="005B33D5"/>
    <w:rPr>
      <w:sz w:val="20"/>
      <w:szCs w:val="20"/>
    </w:rPr>
  </w:style>
  <w:style w:type="paragraph" w:styleId="CommentSubject">
    <w:name w:val="annotation subject"/>
    <w:basedOn w:val="CommentText"/>
    <w:next w:val="CommentText"/>
    <w:link w:val="CommentSubjectChar"/>
    <w:uiPriority w:val="99"/>
    <w:semiHidden/>
    <w:unhideWhenUsed/>
    <w:rsid w:val="005B33D5"/>
    <w:rPr>
      <w:b/>
      <w:bCs/>
    </w:rPr>
  </w:style>
  <w:style w:type="character" w:customStyle="1" w:styleId="CommentSubjectChar">
    <w:name w:val="Comment Subject Char"/>
    <w:basedOn w:val="CommentTextChar"/>
    <w:link w:val="CommentSubject"/>
    <w:uiPriority w:val="99"/>
    <w:semiHidden/>
    <w:rsid w:val="005B33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4704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Universität Basel</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Martani</dc:creator>
  <cp:keywords/>
  <dc:description/>
  <cp:lastModifiedBy>Andrea Martani</cp:lastModifiedBy>
  <cp:revision>5</cp:revision>
  <dcterms:created xsi:type="dcterms:W3CDTF">2019-11-01T15:17:00Z</dcterms:created>
  <dcterms:modified xsi:type="dcterms:W3CDTF">2019-12-23T14:36:00Z</dcterms:modified>
</cp:coreProperties>
</file>