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780"/>
        <w:tblW w:w="13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83"/>
        <w:gridCol w:w="222"/>
        <w:gridCol w:w="1108"/>
        <w:gridCol w:w="1108"/>
        <w:gridCol w:w="1108"/>
        <w:gridCol w:w="1108"/>
        <w:gridCol w:w="964"/>
        <w:gridCol w:w="222"/>
        <w:gridCol w:w="1108"/>
        <w:gridCol w:w="1108"/>
        <w:gridCol w:w="1108"/>
        <w:gridCol w:w="1080"/>
        <w:gridCol w:w="1040"/>
      </w:tblGrid>
      <w:tr w:rsidR="009E4168" w:rsidRPr="00DB1AAB" w:rsidTr="00F10041">
        <w:trPr>
          <w:trHeight w:val="300"/>
        </w:trPr>
        <w:tc>
          <w:tcPr>
            <w:tcW w:w="13467" w:type="dxa"/>
            <w:gridSpan w:val="13"/>
            <w:shd w:val="clear" w:color="auto" w:fill="auto"/>
            <w:noWrap/>
            <w:hideMark/>
          </w:tcPr>
          <w:p w:rsidR="009E4168" w:rsidRPr="00DB1AAB" w:rsidRDefault="00630D64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Table 1. Covariabl</w:t>
            </w:r>
            <w:r w:rsidR="009E4168" w:rsidRPr="00DB1A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 information for non-missing data, by exposure (RAAS blocke</w:t>
            </w:r>
            <w:r w:rsidR="009E416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rs / diuretics) and outcome (acute kidney injury</w:t>
            </w:r>
            <w:r w:rsidR="009E4168" w:rsidRPr="00DB1A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)</w:t>
            </w:r>
          </w:p>
        </w:tc>
      </w:tr>
      <w:tr w:rsidR="00DB1AAB" w:rsidRPr="00DB1AAB" w:rsidTr="00DB1AAB">
        <w:trPr>
          <w:trHeight w:val="18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396" w:type="dxa"/>
            <w:gridSpan w:val="5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Exposed (n=41,422)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44" w:type="dxa"/>
            <w:gridSpan w:val="5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Unexposed (n=42,774)</w:t>
            </w:r>
          </w:p>
        </w:tc>
      </w:tr>
      <w:tr w:rsidR="00DB1AAB" w:rsidRPr="00DB1AAB" w:rsidTr="00DB1AAB">
        <w:trPr>
          <w:trHeight w:val="135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265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0.6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40,998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99.0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42,509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99.4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258 (60.8)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166 (39.2)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153 (57.7)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112 (42.3)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22,346 (54.5)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18,652 (45.5)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23,051 (54.2)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19,458 (45.8)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5A763" wp14:editId="198352F0">
                      <wp:simplePos x="0" y="0"/>
                      <wp:positionH relativeFrom="column">
                        <wp:posOffset>-8395970</wp:posOffset>
                      </wp:positionH>
                      <wp:positionV relativeFrom="paragraph">
                        <wp:posOffset>-2988310</wp:posOffset>
                      </wp:positionV>
                      <wp:extent cx="9534525" cy="1403985"/>
                      <wp:effectExtent l="0" t="0" r="9525" b="19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452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1AAB" w:rsidRPr="00DB1AAB" w:rsidRDefault="001801A1" w:rsidP="00DB1AAB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Additional File 3</w:t>
                                  </w:r>
                                  <w:bookmarkStart w:id="0" w:name="_GoBack"/>
                                  <w:bookmarkEnd w:id="0"/>
                                  <w:r w:rsidR="00B774F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DB1AAB" w:rsidRPr="00DB1AAB" w:rsidRDefault="00735FE2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Sensitivity analys</w:t>
                                  </w:r>
                                  <w:r w:rsidR="00C424B3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is: Analyses l</w:t>
                                  </w:r>
                                  <w:r w:rsidR="00DB1AAB" w:rsidRPr="00DB1AA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imited to those patients eligible for linkage to Hospital Episode Statistics an</w:t>
                                  </w:r>
                                  <w:r w:rsidR="005A639B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d quintiles of the Index of Multiple Deprivation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661.1pt;margin-top:-235.3pt;width:75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/4sIQIAAB4EAAAOAAAAZHJzL2Uyb0RvYy54bWysU9tu2zAMfR+wfxD0vti5rYkRp+jSZRjQ&#10;XYB2H0DLcixMFjVJiZ19/SglTbPtbZgeBFEkjw4PqdXt0Gl2kM4rNCUfj3LOpBFYK7Mr+ben7ZsF&#10;Zz6AqUGjkSU/Ss9v169frXpbyAm2qGvpGIEYX/S25G0ItsgyL1rZgR+hlYacDboOAplul9UOekLv&#10;dDbJ87dZj662DoX0nm7vT06+TvhNI0X40jReBqZLTtxC2l3aq7hn6xUUOwe2VeJMA/6BRQfK0KMX&#10;qHsIwPZO/QXVKeHQYxNGArsMm0YJmWqgasb5H9U8tmBlqoXE8fYik/9/sOLz4atjqi75NL/hzEBH&#10;TXqSQ2DvcGCTqE9vfUFhj5YCw0DX1OdUq7cPKL57ZnDTgtnJO+ewbyXUxG8cM7Or1BOOjyBV/wlr&#10;egb2ARPQ0LguikdyMEKnPh0vvYlUBF0u59PZfDLnTJBvPMuny8U8vQHFc7p1PnyQ2LF4KLmj5id4&#10;ODz4EOlA8RwSX/OoVb1VWifD7aqNduwANCjbtM7ov4Vpw/rIhYjELIMxP81QpwINslZdyRd5XDEd&#10;iijHe1OncwClT2dios1ZnyjJSZwwVAMFRtEqrI+klMPTwNIHo0OL7idnPQ1ryf2PPTjJmf5oSO3l&#10;eDaL052M2fxmQoa79lTXHjCCoEoeODsdNyH9iKSDvaOubFXS64XJmSsNYZLx/GHilF/bKerlW69/&#10;AQAA//8DAFBLAwQUAAYACAAAACEA/kQgreIAAAAPAQAADwAAAGRycy9kb3ducmV2LnhtbEyPy07D&#10;MBBF90j8gzVI7Fqn7ouGOFVFxaYLJAoSLN14Ekf4JdtNw9/jrspuHkd3zlTb0WgyYIi9sxxm0wII&#10;2sbJ3nYcPj9eJ09AYhJWCu0scvjFCNv6/q4SpXQX+47DMXUkh9hYCg4qJV9SGhuFRsSp82jzrnXB&#10;iJTb0FEZxCWHG01ZUayoEb3NF5Tw+KKw+TmeDYcvo3q5D2/frdTD/tDuln4MnvPHh3H3DCThmG4w&#10;XPWzOtTZ6eTOVkaiOUxmc8ZYhnO5WBcrIFdovZkDOeURW2yWQOuK/v+j/gMAAP//AwBQSwECLQAU&#10;AAYACAAAACEAtoM4kv4AAADhAQAAEwAAAAAAAAAAAAAAAAAAAAAAW0NvbnRlbnRfVHlwZXNdLnht&#10;bFBLAQItABQABgAIAAAAIQA4/SH/1gAAAJQBAAALAAAAAAAAAAAAAAAAAC8BAABfcmVscy8ucmVs&#10;c1BLAQItABQABgAIAAAAIQBhP/4sIQIAAB4EAAAOAAAAAAAAAAAAAAAAAC4CAABkcnMvZTJvRG9j&#10;LnhtbFBLAQItABQABgAIAAAAIQD+RCCt4gAAAA8BAAAPAAAAAAAAAAAAAAAAAHsEAABkcnMvZG93&#10;bnJldi54bWxQSwUGAAAAAAQABADzAAAAigUAAAAA&#10;" stroked="f">
                      <v:textbox style="mso-fit-shape-to-text:t">
                        <w:txbxContent>
                          <w:p w:rsidR="00DB1AAB" w:rsidRPr="00DB1AAB" w:rsidRDefault="001801A1" w:rsidP="00DB1AAB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Additional File 3</w:t>
                            </w:r>
                            <w:bookmarkStart w:id="1" w:name="_GoBack"/>
                            <w:bookmarkEnd w:id="1"/>
                            <w:r w:rsidR="00B774F9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B1AAB" w:rsidRPr="00DB1AAB" w:rsidRDefault="00735FE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Sensitivity analys</w:t>
                            </w:r>
                            <w:r w:rsidR="00C424B3">
                              <w:rPr>
                                <w:b/>
                                <w:sz w:val="28"/>
                                <w:szCs w:val="28"/>
                              </w:rPr>
                              <w:t>is: Analyses l</w:t>
                            </w:r>
                            <w:r w:rsidR="00DB1AAB" w:rsidRPr="00DB1AAB">
                              <w:rPr>
                                <w:b/>
                                <w:sz w:val="28"/>
                                <w:szCs w:val="28"/>
                              </w:rPr>
                              <w:t>imited to those patients eligible for linkage to Hospital Episode Statistics an</w:t>
                            </w:r>
                            <w:r w:rsidR="005A639B">
                              <w:rPr>
                                <w:b/>
                                <w:sz w:val="28"/>
                                <w:szCs w:val="28"/>
                              </w:rPr>
                              <w:t>d quintiles of the Index of Multiple Deprivation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 at Exposure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&lt;65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&gt;=75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&lt;65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&gt;=75</w:t>
            </w: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194 (45.8)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127 (30)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103 (24.3)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110 (41.5)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93 (35.1)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62 (23.4)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21,586 (52.7)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11,290 (27.5)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8,122 (19.8)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22,157 (52.1)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12,307 (29)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8,045 (18.9)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Diagnosis to Exposure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30 days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30-179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180-364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365</w:t>
            </w: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30 days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30-179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180-364</w:t>
            </w: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365</w:t>
            </w: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149 (35.1)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63 (14.9)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 (7.5)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180 (42.5)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 (10.6)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88 (33.2)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28 (10.6)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121 (45.7)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15,187 (37)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5,181 (12.6)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2,347 (5.7)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18,283 (44.6)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4,424 (10.4)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15,804 (37.2)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3,505 (8.2)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18,776 (44.2)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# Medications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199 (46.9)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225 (53.1)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223 (84.2)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42 (15.8)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20,256 (49.4)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20,742 (50.6)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36,722 (86.4)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5,787 (13.6)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# GP Consultations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&lt;10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10-19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&gt;=30</w:t>
            </w: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&lt;10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10-19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&gt;=30</w:t>
            </w: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 (27.6)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148 (34.9)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87 (20.5)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 (17)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59 (22.3)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99 (37.4)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61 (23)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46 (17.4)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11,899 (29)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14,849 (36.2)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7,697 (18.8)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6,553 (16)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11,115 (26.1)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15,994 (37.6)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8,320 (19.6)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7,080 (16.7)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Systolic Blood Pressure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&lt; 120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120-139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140-159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&gt;=160</w:t>
            </w: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&lt; 120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120-139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140-159</w:t>
            </w: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&gt;=160</w:t>
            </w: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 (4.3)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99 (24.9)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171 (43.1)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110 (27.7)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16 (6.1)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100 (38.2)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116 (44.3)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 (11.5)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1.1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1,179 (3.1)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8,029 (21.1)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18,004 (47.3)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10,821 (28.5)</w:t>
            </w: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7.2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2,979 (7.3)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14,403 (35.1)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17,772 (43.3)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5,873 (14.3)</w:t>
            </w: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Smoking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Yes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Ex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Yes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Ex (%)</w:t>
            </w: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78 (18.5)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189 (44.9)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154 (36.6)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0.7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54 (20.4)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117 (44.2)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94 (35.5)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6,796 (16.7)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20,614 (50.5)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13,400 (32.8)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0.5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6,905 (16.3)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21,861 (51.5)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13,660 (32.2)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0.2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GFR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60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45-59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45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60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45-59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45</w:t>
            </w: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309 (82.2)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48 (12.8)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19 (5.1)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11.3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209 (85.7)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 (9.4)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 (4.9)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7.9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23,495 (86.5)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3,087 (11.4)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577 (2.1)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33.8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22,081 (87.3)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2,870 (11.3)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337 (1.3)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40.5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# Chronic Conditions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 (%)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Missing (%)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316 (74.5)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108 (25.5)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220 (83)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45 (17)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No AKI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32,926 (80.3)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8,072 (19.7)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37,775 (88.9)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4,734 (11.1)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0.0</w:t>
            </w: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Chronic Conditions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Count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%</w:t>
            </w:r>
          </w:p>
        </w:tc>
        <w:tc>
          <w:tcPr>
            <w:tcW w:w="1108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000000" w:fill="D9D9D9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Chronic Kidney Disease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4,320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4,877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6,409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4,391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10.3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Heart Failure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1,222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155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0.4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Hypertension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31,973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77.2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30,827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72.1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Ischaemic Heart Disease</w:t>
            </w: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6,579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15.9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7,702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18.0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DB1AAB" w:rsidRPr="00DB1AAB" w:rsidTr="00DB1AAB">
        <w:trPr>
          <w:trHeight w:val="300"/>
        </w:trPr>
        <w:tc>
          <w:tcPr>
            <w:tcW w:w="2183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4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108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8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40" w:type="dxa"/>
            <w:shd w:val="clear" w:color="auto" w:fill="auto"/>
            <w:noWrap/>
            <w:hideMark/>
          </w:tcPr>
          <w:p w:rsidR="00DB1AAB" w:rsidRPr="00DB1AAB" w:rsidRDefault="00DB1AAB" w:rsidP="00DB1A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AB27D9" w:rsidRDefault="00AB27D9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9E4168" w:rsidRPr="009E4168" w:rsidRDefault="009E4168" w:rsidP="009E4168">
      <w:pPr>
        <w:rPr>
          <w:i/>
        </w:rPr>
      </w:pPr>
      <w:r w:rsidRPr="009E4168">
        <w:rPr>
          <w:i/>
        </w:rPr>
        <w:t>Percentages exclude missing values, except for the “Missing” column which shows the percentage of patients with missing data.</w:t>
      </w:r>
    </w:p>
    <w:p w:rsidR="009E4168" w:rsidRDefault="009E4168"/>
    <w:tbl>
      <w:tblPr>
        <w:tblpPr w:leftFromText="180" w:rightFromText="180" w:vertAnchor="text" w:horzAnchor="margin" w:tblpXSpec="right" w:tblpY="-3"/>
        <w:tblW w:w="14142" w:type="dxa"/>
        <w:tblLook w:val="04A0" w:firstRow="1" w:lastRow="0" w:firstColumn="1" w:lastColumn="0" w:noHBand="0" w:noVBand="1"/>
      </w:tblPr>
      <w:tblGrid>
        <w:gridCol w:w="2000"/>
        <w:gridCol w:w="283"/>
        <w:gridCol w:w="1418"/>
        <w:gridCol w:w="1417"/>
        <w:gridCol w:w="1560"/>
        <w:gridCol w:w="1417"/>
        <w:gridCol w:w="284"/>
        <w:gridCol w:w="1417"/>
        <w:gridCol w:w="1418"/>
        <w:gridCol w:w="1417"/>
        <w:gridCol w:w="1511"/>
      </w:tblGrid>
      <w:tr w:rsidR="009E4168" w:rsidRPr="00DB1AAB" w:rsidTr="009E4168">
        <w:trPr>
          <w:trHeight w:val="300"/>
        </w:trPr>
        <w:tc>
          <w:tcPr>
            <w:tcW w:w="1414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E4168" w:rsidRPr="00DB1AAB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Table 2. Acute kidney injury r</w:t>
            </w: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ates (per 1,000 p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erson-years) by covariables (non-</w:t>
            </w: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missing)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Exposed (n=41,422)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Unexposed (n=42,774)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Overall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Rate (95% CI)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Rate (95% CI)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3.25 (2.95-3.57)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2.24 (1.98-2.52)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3.61 (3.19-4.08)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2.81 (2.41-3.27)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 (2.03-2.79)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2.06 (1.71-2.48)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Age at Exposure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&lt;65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65-74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&gt;=75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2.75 (2.39-3.17)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3.52 (2.96-4.19)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4.27 (3.52-5.18)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1.71 (1.42-2.07)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2.71 (2.21-3.33)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3.07 (2.39-3.93)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Diagnosis to Exposure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30 days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30-179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180-364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365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30 days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30-179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180-364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365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3.16 (2.69-3.71)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4.12 (3.22-5.27)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4.39 (3.11-6.21)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2.95 (2.55-3.42)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2.73 (1.88-3.95)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2.02 (1.64-2.49)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2.92 (2.01-4.22)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2.19 (1.83-2.62)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# Medications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2.97 (2.58-3.41)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3.54 (3.11-4.03)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 (1.93-2.51)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2.46 (1.82-3.33)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# GP Consultations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10-19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&gt;=30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10-19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20-29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&gt;=30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2.86 (2.39-3.43)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3.07 (2.61-3.61)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3.71 (3-4.57)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3.99 (3.17-5.03)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1.72 (1.33-2.22)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2.15 (1.77-2.63)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2.79 (2.17-3.59)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2.79 (2.09-3.73)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Systolic Blood Pressure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&lt; 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120-139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140-159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&gt;=160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&lt; 120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120-139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140-159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&gt;=160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5.26 (3.27-8.46)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4.06 (3.33-4.94)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2.95 (2.54-3.43)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3.05 (2.53-3.67)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1.87 (1.15-3.06)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2.38 (1.96-2.89)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2.39 (1.99-2.86)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1.93 (1.34-2.78)</w:t>
            </w: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Smoking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Yes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Ex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Yes (%)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 (%)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Ex (%)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3.66 (2.93-4.57)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2.86 (2.48-3.3)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3.62 (3.09-4.24)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2.87 (2.2-3.75)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 (1.58-2.28)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2.48 (2.02-3.03)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GFR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45-59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45-59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&lt; 45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3.89 (3.48-4.35)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4.3 (3.24-5.71)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9.61 (6.13-15.06)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3.07 (2.68-3.52)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2.57 (1.71-3.87)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11.03 (6.11-19.92)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# Chronic Conditions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&gt;= 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3.04 (2.73-3.4)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4.02 (3.33-4.86)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2.08 (1.82-2.37)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3.54 (2.64-4.74)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Chronic Conditions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Chronic Kidney Disease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3.16 (2.85-3.5)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3.99 (3.06-5.2)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2.16 (1.9-2.46)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2.85 (2.06-3.93)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Diabetes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2.93 (2.62-3.26)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4.99 (4.1-6.06)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1.95 (1.71-2.24)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5.1 (3.91-6.66)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Heart Failure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3.03 (2.74-3.35)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12.66 (9.17-17.47)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2.23 (1.98-2.52)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3.24 (0.46-22.98)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lastRenderedPageBreak/>
              <w:t>Hypertension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5.03 (4.25-5.94)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2.78 (2.47-3.12)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2.97 (2.44-3.62)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1.94 (1.67-2.26)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Ischaemic Heart Disease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3.17 (2.85-3.52)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3.68 (2.93-4.62)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2.18 (1.9-2.5)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  <w:r w:rsidRPr="00DB1AA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  <w:t>2.47 (1.91-3.19)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GB"/>
              </w:rPr>
            </w:pPr>
          </w:p>
        </w:tc>
      </w:tr>
      <w:tr w:rsidR="00F26548" w:rsidRPr="00DB1AAB" w:rsidTr="00F26548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548" w:rsidRPr="00DB1AAB" w:rsidRDefault="00F26548" w:rsidP="00F265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9E4168" w:rsidRPr="009E4168" w:rsidRDefault="009E4168" w:rsidP="009E4168">
      <w:pPr>
        <w:rPr>
          <w:rFonts w:ascii="Calibri" w:hAnsi="Calibri" w:cs="Calibri"/>
          <w:bCs/>
          <w:i/>
          <w:color w:val="000000"/>
        </w:rPr>
      </w:pPr>
      <w:r w:rsidRPr="009E4168">
        <w:rPr>
          <w:rFonts w:ascii="Calibri" w:hAnsi="Calibri" w:cs="Calibri"/>
          <w:bCs/>
          <w:i/>
          <w:color w:val="000000"/>
        </w:rPr>
        <w:t>Numbers in brackets are 95% confidence intervals</w:t>
      </w:r>
    </w:p>
    <w:p w:rsidR="00DB1AAB" w:rsidRDefault="00DB1AAB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tbl>
      <w:tblPr>
        <w:tblpPr w:leftFromText="180" w:rightFromText="180" w:vertAnchor="text" w:horzAnchor="margin" w:tblpY="268"/>
        <w:tblW w:w="6120" w:type="dxa"/>
        <w:tblLook w:val="04A0" w:firstRow="1" w:lastRow="0" w:firstColumn="1" w:lastColumn="0" w:noHBand="0" w:noVBand="1"/>
      </w:tblPr>
      <w:tblGrid>
        <w:gridCol w:w="2664"/>
        <w:gridCol w:w="1224"/>
        <w:gridCol w:w="732"/>
        <w:gridCol w:w="740"/>
        <w:gridCol w:w="760"/>
      </w:tblGrid>
      <w:tr w:rsidR="00304B99" w:rsidRPr="00304B99" w:rsidTr="00304B99">
        <w:trPr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Table 3. Cox Regression Models (n= 84,196)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Covariates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HR (AKI)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95% LCI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95% UCI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</w:t>
            </w:r>
            <w:r w:rsidR="009E4168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Sex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0.95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Age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&lt; 65 years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65-74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&gt;=75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2.02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Chronic_Time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1.72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&lt; 30 days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30 - 179 days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180 - 364 days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 365 days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1.11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CKD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 CKD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CKD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DM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 DM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DM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2.36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HF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 HF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HF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3.02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5.86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HT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1.76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 HT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HT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0.69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IHD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 IHD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IHD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Medications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1.59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 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1.39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GP Consultations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&lt;10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10-19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1.39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20-29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1.45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&gt;=30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1.95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SBP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&lt;120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120-139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1.46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140-159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1.21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&gt;=160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1.15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Baseline + Smoking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1.38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1.09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1.52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Basline + GFR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1.66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&gt;=60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45-59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1.28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&lt; 45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3.62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Model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1.41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Model (inc meds*exposure)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 (exposed)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1.13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1.41</w:t>
            </w:r>
          </w:p>
        </w:tc>
      </w:tr>
      <w:tr w:rsidR="00304B99" w:rsidRPr="00304B99" w:rsidTr="00304B99">
        <w:trPr>
          <w:trHeight w:val="300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 2 (exposed)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4B99" w:rsidRPr="00304B99" w:rsidRDefault="00304B99" w:rsidP="00304B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1.63</w:t>
            </w:r>
          </w:p>
        </w:tc>
      </w:tr>
    </w:tbl>
    <w:p w:rsidR="00DB1AAB" w:rsidRDefault="00DB1AAB"/>
    <w:p w:rsidR="00DB1AAB" w:rsidRDefault="00DB1AAB"/>
    <w:p w:rsidR="00DB1AAB" w:rsidRDefault="00DB1AAB"/>
    <w:p w:rsidR="00DB1AAB" w:rsidRDefault="00DB1AAB"/>
    <w:p w:rsidR="00DB1AAB" w:rsidRDefault="00DB1AAB"/>
    <w:p w:rsidR="00DB1AAB" w:rsidRDefault="00DB1AAB"/>
    <w:p w:rsidR="00DB1AAB" w:rsidRDefault="00DB1AAB"/>
    <w:p w:rsidR="00DB1AAB" w:rsidRDefault="00DB1AAB"/>
    <w:p w:rsidR="00DB1AAB" w:rsidRDefault="00DB1AAB"/>
    <w:p w:rsidR="009E4168" w:rsidRDefault="009E4168" w:rsidP="009E4168">
      <w:pPr>
        <w:spacing w:after="0"/>
      </w:pPr>
    </w:p>
    <w:p w:rsidR="009E4168" w:rsidRPr="009E4168" w:rsidRDefault="009E4168" w:rsidP="009E4168">
      <w:pPr>
        <w:rPr>
          <w:i/>
        </w:rPr>
      </w:pPr>
      <w:r>
        <w:rPr>
          <w:i/>
          <w:vertAlign w:val="superscript"/>
        </w:rPr>
        <w:t>1</w:t>
      </w:r>
      <w:r w:rsidRPr="009E4168">
        <w:rPr>
          <w:i/>
        </w:rPr>
        <w:t>“Baseline” – hazard ratio prior to adjustment for covariable(s).</w:t>
      </w:r>
    </w:p>
    <w:p w:rsidR="009E4168" w:rsidRDefault="009E4168" w:rsidP="009E4168">
      <w:pPr>
        <w:spacing w:after="0"/>
      </w:pPr>
    </w:p>
    <w:p w:rsidR="00DB1AAB" w:rsidRDefault="00DB1AAB"/>
    <w:p w:rsidR="0026733A" w:rsidRDefault="0026733A"/>
    <w:p w:rsidR="0026733A" w:rsidRDefault="0026733A"/>
    <w:p w:rsidR="0026733A" w:rsidRDefault="0026733A"/>
    <w:p w:rsidR="0026733A" w:rsidRDefault="0026733A"/>
    <w:p w:rsidR="00304B99" w:rsidRDefault="00304B99"/>
    <w:tbl>
      <w:tblPr>
        <w:tblpPr w:leftFromText="180" w:rightFromText="180" w:vertAnchor="text" w:horzAnchor="margin" w:tblpY="-104"/>
        <w:tblW w:w="9029" w:type="dxa"/>
        <w:tblLook w:val="04A0" w:firstRow="1" w:lastRow="0" w:firstColumn="1" w:lastColumn="0" w:noHBand="0" w:noVBand="1"/>
      </w:tblPr>
      <w:tblGrid>
        <w:gridCol w:w="3898"/>
        <w:gridCol w:w="1789"/>
        <w:gridCol w:w="1072"/>
        <w:gridCol w:w="990"/>
        <w:gridCol w:w="1058"/>
        <w:gridCol w:w="222"/>
      </w:tblGrid>
      <w:tr w:rsidR="009E4168" w:rsidRPr="00304B99" w:rsidTr="009E4168">
        <w:trPr>
          <w:trHeight w:val="300"/>
        </w:trPr>
        <w:tc>
          <w:tcPr>
            <w:tcW w:w="902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>Table 4. Cox Regression Models adjusted by Propensity Scores for Disease Severity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1</w:t>
            </w: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(n = 84,196)</w:t>
            </w: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285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Model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Covariates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HR (AKI)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95% LCI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95% UCI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Baseline + P-Score (Full Model)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Unexposed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Exposed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Full Model (inc meds*exposure)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1 (exposed)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&gt;= 2 (exposed)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0.82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1.77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300"/>
        </w:trPr>
        <w:tc>
          <w:tcPr>
            <w:tcW w:w="38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GB"/>
              </w:rPr>
              <w:t>Notes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9E4168" w:rsidRPr="00304B99" w:rsidTr="009E4168">
        <w:trPr>
          <w:trHeight w:val="975"/>
        </w:trPr>
        <w:tc>
          <w:tcPr>
            <w:tcW w:w="88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Variables in the propensity score model were: gender, age, time since first chronic condition, number of medications, number of GP consultations, chronic condition flags, systolic blood pressure, kidney function (GFR), and smoking status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4168" w:rsidRPr="00304B99" w:rsidRDefault="009E4168" w:rsidP="009E41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04B99" w:rsidRDefault="00304B99"/>
    <w:p w:rsidR="00304B99" w:rsidRDefault="00304B99"/>
    <w:p w:rsidR="00304B99" w:rsidRDefault="00304B99"/>
    <w:p w:rsidR="00304B99" w:rsidRDefault="00304B99"/>
    <w:p w:rsidR="00304B99" w:rsidRDefault="00304B99"/>
    <w:p w:rsidR="009E4168" w:rsidRDefault="009E4168"/>
    <w:p w:rsidR="009E4168" w:rsidRDefault="009E4168"/>
    <w:p w:rsidR="009E4168" w:rsidRDefault="009E4168"/>
    <w:p w:rsidR="009E4168" w:rsidRDefault="009E4168"/>
    <w:p w:rsidR="009E4168" w:rsidRDefault="009E4168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p w:rsidR="0026733A" w:rsidRDefault="0026733A"/>
    <w:tbl>
      <w:tblPr>
        <w:tblW w:w="5760" w:type="dxa"/>
        <w:tblInd w:w="93" w:type="dxa"/>
        <w:tblLook w:val="04A0" w:firstRow="1" w:lastRow="0" w:firstColumn="1" w:lastColumn="0" w:noHBand="0" w:noVBand="1"/>
      </w:tblPr>
      <w:tblGrid>
        <w:gridCol w:w="1788"/>
        <w:gridCol w:w="1788"/>
        <w:gridCol w:w="1924"/>
        <w:gridCol w:w="260"/>
      </w:tblGrid>
      <w:tr w:rsidR="00304B99" w:rsidRPr="00304B99" w:rsidTr="00304B99">
        <w:trPr>
          <w:trHeight w:val="660"/>
        </w:trPr>
        <w:tc>
          <w:tcPr>
            <w:tcW w:w="55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lastRenderedPageBreak/>
              <w:t xml:space="preserve">Table 5. Prior-Event-Rate-Ratio (PERR) Analysis. 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165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1275"/>
        </w:trPr>
        <w:tc>
          <w:tcPr>
            <w:tcW w:w="57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With left truncation at 3 years and excluding those with no days before exposure or AKI within 42 days and excluding those not eligible for linkage to HES and ONS; right truncation at 3 years (n=148,148)</w:t>
            </w:r>
          </w:p>
        </w:tc>
      </w:tr>
      <w:tr w:rsidR="00304B99" w:rsidRPr="00304B99" w:rsidTr="00304B99">
        <w:trPr>
          <w:trHeight w:val="300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 (prior)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HR (post)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PERR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lang w:eastAsia="en-GB"/>
              </w:rPr>
              <w:t>1.45 (1.08-1.95)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lang w:eastAsia="en-GB"/>
              </w:rPr>
              <w:t>1.55 (1.30-1.84)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color w:val="000000"/>
                <w:lang w:eastAsia="en-GB"/>
              </w:rPr>
              <w:t>1.06 (0.71-1.41)*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15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304B99" w:rsidRPr="00304B99" w:rsidTr="00304B99">
        <w:trPr>
          <w:trHeight w:val="300"/>
        </w:trPr>
        <w:tc>
          <w:tcPr>
            <w:tcW w:w="55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</w:pPr>
            <w:r w:rsidRPr="00304B99">
              <w:rPr>
                <w:rFonts w:ascii="Calibri" w:eastAsia="Times New Roman" w:hAnsi="Calibri" w:cs="Calibri"/>
                <w:i/>
                <w:iCs/>
                <w:color w:val="000000"/>
                <w:lang w:eastAsia="en-GB"/>
              </w:rPr>
              <w:t>* Bootstrapped confidence interval; reps=100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B99" w:rsidRPr="00304B99" w:rsidRDefault="00304B99" w:rsidP="00304B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304B99" w:rsidRDefault="00304B99"/>
    <w:sectPr w:rsidR="00304B99" w:rsidSect="00DB1AA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AAB"/>
    <w:rsid w:val="00000311"/>
    <w:rsid w:val="00003303"/>
    <w:rsid w:val="0002373B"/>
    <w:rsid w:val="000273C1"/>
    <w:rsid w:val="00032219"/>
    <w:rsid w:val="00037939"/>
    <w:rsid w:val="00056431"/>
    <w:rsid w:val="000578A8"/>
    <w:rsid w:val="00066A47"/>
    <w:rsid w:val="0007066A"/>
    <w:rsid w:val="000824E4"/>
    <w:rsid w:val="00083E42"/>
    <w:rsid w:val="00085C04"/>
    <w:rsid w:val="00086670"/>
    <w:rsid w:val="00095899"/>
    <w:rsid w:val="000A639A"/>
    <w:rsid w:val="000C10EB"/>
    <w:rsid w:val="000E7198"/>
    <w:rsid w:val="000F2667"/>
    <w:rsid w:val="000F28D0"/>
    <w:rsid w:val="000F5CE1"/>
    <w:rsid w:val="00104493"/>
    <w:rsid w:val="0011721D"/>
    <w:rsid w:val="00117655"/>
    <w:rsid w:val="00133834"/>
    <w:rsid w:val="00134FB2"/>
    <w:rsid w:val="00143630"/>
    <w:rsid w:val="00147C39"/>
    <w:rsid w:val="00151897"/>
    <w:rsid w:val="00155E25"/>
    <w:rsid w:val="001801A1"/>
    <w:rsid w:val="00181FF8"/>
    <w:rsid w:val="001A4AFB"/>
    <w:rsid w:val="001A693F"/>
    <w:rsid w:val="001B333B"/>
    <w:rsid w:val="001B6AF6"/>
    <w:rsid w:val="001C4EEA"/>
    <w:rsid w:val="001D60CA"/>
    <w:rsid w:val="001E1DB5"/>
    <w:rsid w:val="001F2B75"/>
    <w:rsid w:val="00203966"/>
    <w:rsid w:val="00210A50"/>
    <w:rsid w:val="00211A4F"/>
    <w:rsid w:val="00212328"/>
    <w:rsid w:val="00222722"/>
    <w:rsid w:val="00222CD4"/>
    <w:rsid w:val="002255B1"/>
    <w:rsid w:val="00233D44"/>
    <w:rsid w:val="00235C93"/>
    <w:rsid w:val="00240B24"/>
    <w:rsid w:val="0025651D"/>
    <w:rsid w:val="00256B04"/>
    <w:rsid w:val="00256F39"/>
    <w:rsid w:val="002571C9"/>
    <w:rsid w:val="0026455D"/>
    <w:rsid w:val="0026733A"/>
    <w:rsid w:val="00270861"/>
    <w:rsid w:val="002A4602"/>
    <w:rsid w:val="002A64AF"/>
    <w:rsid w:val="002A67B1"/>
    <w:rsid w:val="002A7409"/>
    <w:rsid w:val="002A7A9B"/>
    <w:rsid w:val="002B1A82"/>
    <w:rsid w:val="002B636A"/>
    <w:rsid w:val="002C2450"/>
    <w:rsid w:val="002D2148"/>
    <w:rsid w:val="002D5B52"/>
    <w:rsid w:val="002D7AD1"/>
    <w:rsid w:val="00304B99"/>
    <w:rsid w:val="00327B0F"/>
    <w:rsid w:val="0033166D"/>
    <w:rsid w:val="00332777"/>
    <w:rsid w:val="00337880"/>
    <w:rsid w:val="00337C35"/>
    <w:rsid w:val="0034115B"/>
    <w:rsid w:val="00345972"/>
    <w:rsid w:val="0034705F"/>
    <w:rsid w:val="00353048"/>
    <w:rsid w:val="00370083"/>
    <w:rsid w:val="0037269D"/>
    <w:rsid w:val="00376541"/>
    <w:rsid w:val="0038196E"/>
    <w:rsid w:val="0038271D"/>
    <w:rsid w:val="00384E53"/>
    <w:rsid w:val="003868F0"/>
    <w:rsid w:val="00390530"/>
    <w:rsid w:val="00392ECD"/>
    <w:rsid w:val="003A1D10"/>
    <w:rsid w:val="003A4B7D"/>
    <w:rsid w:val="003B424C"/>
    <w:rsid w:val="003B6C1E"/>
    <w:rsid w:val="003D1A99"/>
    <w:rsid w:val="003D2A18"/>
    <w:rsid w:val="003E396B"/>
    <w:rsid w:val="003F7BCA"/>
    <w:rsid w:val="00401160"/>
    <w:rsid w:val="0040771E"/>
    <w:rsid w:val="00414F59"/>
    <w:rsid w:val="0041520D"/>
    <w:rsid w:val="00425B2B"/>
    <w:rsid w:val="00426ECE"/>
    <w:rsid w:val="00432D6D"/>
    <w:rsid w:val="00432F9B"/>
    <w:rsid w:val="00436697"/>
    <w:rsid w:val="00440015"/>
    <w:rsid w:val="004514AD"/>
    <w:rsid w:val="00452181"/>
    <w:rsid w:val="00453215"/>
    <w:rsid w:val="00457661"/>
    <w:rsid w:val="00460902"/>
    <w:rsid w:val="00460BB7"/>
    <w:rsid w:val="00461AA0"/>
    <w:rsid w:val="0047296B"/>
    <w:rsid w:val="00475173"/>
    <w:rsid w:val="004758AB"/>
    <w:rsid w:val="00484C70"/>
    <w:rsid w:val="004860FD"/>
    <w:rsid w:val="004946B5"/>
    <w:rsid w:val="004A2FA2"/>
    <w:rsid w:val="004A5D9E"/>
    <w:rsid w:val="004D3E44"/>
    <w:rsid w:val="004D3F4B"/>
    <w:rsid w:val="004D704F"/>
    <w:rsid w:val="004E140F"/>
    <w:rsid w:val="004E4AB1"/>
    <w:rsid w:val="004F02F5"/>
    <w:rsid w:val="004F631A"/>
    <w:rsid w:val="004F6A38"/>
    <w:rsid w:val="005020AF"/>
    <w:rsid w:val="00505177"/>
    <w:rsid w:val="005277CD"/>
    <w:rsid w:val="00537902"/>
    <w:rsid w:val="00544232"/>
    <w:rsid w:val="00544BB3"/>
    <w:rsid w:val="00547E22"/>
    <w:rsid w:val="00550011"/>
    <w:rsid w:val="00550F65"/>
    <w:rsid w:val="0055213A"/>
    <w:rsid w:val="005577F5"/>
    <w:rsid w:val="00557BA9"/>
    <w:rsid w:val="00570D51"/>
    <w:rsid w:val="0057710E"/>
    <w:rsid w:val="005924A3"/>
    <w:rsid w:val="00594A5B"/>
    <w:rsid w:val="005A639B"/>
    <w:rsid w:val="005B1C46"/>
    <w:rsid w:val="005C1527"/>
    <w:rsid w:val="005C1CC2"/>
    <w:rsid w:val="005C2A83"/>
    <w:rsid w:val="005D32B3"/>
    <w:rsid w:val="005E11EF"/>
    <w:rsid w:val="005E2B35"/>
    <w:rsid w:val="005F05D8"/>
    <w:rsid w:val="005F16DF"/>
    <w:rsid w:val="005F35F9"/>
    <w:rsid w:val="006004E4"/>
    <w:rsid w:val="00601DD0"/>
    <w:rsid w:val="00604279"/>
    <w:rsid w:val="00614E57"/>
    <w:rsid w:val="00625DC3"/>
    <w:rsid w:val="00630D64"/>
    <w:rsid w:val="006317D4"/>
    <w:rsid w:val="00631FBE"/>
    <w:rsid w:val="0065020E"/>
    <w:rsid w:val="006575A2"/>
    <w:rsid w:val="00667671"/>
    <w:rsid w:val="00667C78"/>
    <w:rsid w:val="00670D8C"/>
    <w:rsid w:val="00673329"/>
    <w:rsid w:val="00682399"/>
    <w:rsid w:val="006836A8"/>
    <w:rsid w:val="00690037"/>
    <w:rsid w:val="006A0F33"/>
    <w:rsid w:val="006B1B64"/>
    <w:rsid w:val="006C21DD"/>
    <w:rsid w:val="006C7600"/>
    <w:rsid w:val="006D7EC8"/>
    <w:rsid w:val="006E1796"/>
    <w:rsid w:val="006E270A"/>
    <w:rsid w:val="0070469A"/>
    <w:rsid w:val="00712539"/>
    <w:rsid w:val="00717B24"/>
    <w:rsid w:val="007208D2"/>
    <w:rsid w:val="00724741"/>
    <w:rsid w:val="00725576"/>
    <w:rsid w:val="00733148"/>
    <w:rsid w:val="00733C29"/>
    <w:rsid w:val="00734B33"/>
    <w:rsid w:val="00735FE2"/>
    <w:rsid w:val="00746F62"/>
    <w:rsid w:val="007558B1"/>
    <w:rsid w:val="0077064C"/>
    <w:rsid w:val="00775A92"/>
    <w:rsid w:val="00787619"/>
    <w:rsid w:val="00792E1F"/>
    <w:rsid w:val="0079337D"/>
    <w:rsid w:val="007940B7"/>
    <w:rsid w:val="00796FB0"/>
    <w:rsid w:val="007A7383"/>
    <w:rsid w:val="007B095B"/>
    <w:rsid w:val="007C3621"/>
    <w:rsid w:val="007C6074"/>
    <w:rsid w:val="007D56C5"/>
    <w:rsid w:val="007E5D91"/>
    <w:rsid w:val="007E7280"/>
    <w:rsid w:val="007F7EE4"/>
    <w:rsid w:val="00802798"/>
    <w:rsid w:val="00816B13"/>
    <w:rsid w:val="00820DDA"/>
    <w:rsid w:val="008322FF"/>
    <w:rsid w:val="008339EE"/>
    <w:rsid w:val="00837CB6"/>
    <w:rsid w:val="00851723"/>
    <w:rsid w:val="008659B9"/>
    <w:rsid w:val="0086678D"/>
    <w:rsid w:val="00874D3B"/>
    <w:rsid w:val="008755B9"/>
    <w:rsid w:val="00887CD5"/>
    <w:rsid w:val="008909F9"/>
    <w:rsid w:val="008A1F72"/>
    <w:rsid w:val="008F1A46"/>
    <w:rsid w:val="008F398D"/>
    <w:rsid w:val="008F503A"/>
    <w:rsid w:val="00902C3F"/>
    <w:rsid w:val="00903FE5"/>
    <w:rsid w:val="009045CD"/>
    <w:rsid w:val="00912FE8"/>
    <w:rsid w:val="00917644"/>
    <w:rsid w:val="00927555"/>
    <w:rsid w:val="00933E06"/>
    <w:rsid w:val="0093440E"/>
    <w:rsid w:val="0094218A"/>
    <w:rsid w:val="009441C9"/>
    <w:rsid w:val="00946293"/>
    <w:rsid w:val="00957A12"/>
    <w:rsid w:val="00961973"/>
    <w:rsid w:val="0096308D"/>
    <w:rsid w:val="009632BE"/>
    <w:rsid w:val="00973C80"/>
    <w:rsid w:val="0097493D"/>
    <w:rsid w:val="00995C39"/>
    <w:rsid w:val="009A5C86"/>
    <w:rsid w:val="009A6C4C"/>
    <w:rsid w:val="009D38B6"/>
    <w:rsid w:val="009D43FD"/>
    <w:rsid w:val="009D465C"/>
    <w:rsid w:val="009D6BF6"/>
    <w:rsid w:val="009D7509"/>
    <w:rsid w:val="009D7EDD"/>
    <w:rsid w:val="009E371B"/>
    <w:rsid w:val="009E4168"/>
    <w:rsid w:val="009F125E"/>
    <w:rsid w:val="009F3155"/>
    <w:rsid w:val="00A042EB"/>
    <w:rsid w:val="00A05A7E"/>
    <w:rsid w:val="00A21D61"/>
    <w:rsid w:val="00A37918"/>
    <w:rsid w:val="00A41248"/>
    <w:rsid w:val="00A5523F"/>
    <w:rsid w:val="00A677F5"/>
    <w:rsid w:val="00A70CB3"/>
    <w:rsid w:val="00A814E3"/>
    <w:rsid w:val="00A90F66"/>
    <w:rsid w:val="00A93CC1"/>
    <w:rsid w:val="00A95C93"/>
    <w:rsid w:val="00AB17AB"/>
    <w:rsid w:val="00AB27D9"/>
    <w:rsid w:val="00AC1271"/>
    <w:rsid w:val="00AD1198"/>
    <w:rsid w:val="00AE6862"/>
    <w:rsid w:val="00AF08FE"/>
    <w:rsid w:val="00AF41EC"/>
    <w:rsid w:val="00B05351"/>
    <w:rsid w:val="00B05EFE"/>
    <w:rsid w:val="00B11AA7"/>
    <w:rsid w:val="00B12BD9"/>
    <w:rsid w:val="00B23376"/>
    <w:rsid w:val="00B2437B"/>
    <w:rsid w:val="00B25259"/>
    <w:rsid w:val="00B413EC"/>
    <w:rsid w:val="00B42AB1"/>
    <w:rsid w:val="00B46D22"/>
    <w:rsid w:val="00B51238"/>
    <w:rsid w:val="00B51287"/>
    <w:rsid w:val="00B62644"/>
    <w:rsid w:val="00B64F40"/>
    <w:rsid w:val="00B673BC"/>
    <w:rsid w:val="00B774F9"/>
    <w:rsid w:val="00B8178B"/>
    <w:rsid w:val="00B846B7"/>
    <w:rsid w:val="00B96CCF"/>
    <w:rsid w:val="00BA4991"/>
    <w:rsid w:val="00BB64EB"/>
    <w:rsid w:val="00BC0D62"/>
    <w:rsid w:val="00BC1C53"/>
    <w:rsid w:val="00BC26DF"/>
    <w:rsid w:val="00BC44CD"/>
    <w:rsid w:val="00BC5A2E"/>
    <w:rsid w:val="00BD28E6"/>
    <w:rsid w:val="00BD3192"/>
    <w:rsid w:val="00BD679B"/>
    <w:rsid w:val="00BD6CA7"/>
    <w:rsid w:val="00BD7731"/>
    <w:rsid w:val="00BE1E7A"/>
    <w:rsid w:val="00BF0EC5"/>
    <w:rsid w:val="00BF23E5"/>
    <w:rsid w:val="00BF28A1"/>
    <w:rsid w:val="00C0321C"/>
    <w:rsid w:val="00C03B55"/>
    <w:rsid w:val="00C11000"/>
    <w:rsid w:val="00C12DFD"/>
    <w:rsid w:val="00C14763"/>
    <w:rsid w:val="00C21E0B"/>
    <w:rsid w:val="00C2226B"/>
    <w:rsid w:val="00C23FDA"/>
    <w:rsid w:val="00C24AD4"/>
    <w:rsid w:val="00C314B0"/>
    <w:rsid w:val="00C327AA"/>
    <w:rsid w:val="00C34E81"/>
    <w:rsid w:val="00C424B3"/>
    <w:rsid w:val="00C473E5"/>
    <w:rsid w:val="00C53049"/>
    <w:rsid w:val="00C572D1"/>
    <w:rsid w:val="00C6068B"/>
    <w:rsid w:val="00C62679"/>
    <w:rsid w:val="00C648E1"/>
    <w:rsid w:val="00C72A66"/>
    <w:rsid w:val="00C759F6"/>
    <w:rsid w:val="00C84A95"/>
    <w:rsid w:val="00C9116C"/>
    <w:rsid w:val="00C94606"/>
    <w:rsid w:val="00CA398E"/>
    <w:rsid w:val="00CA510B"/>
    <w:rsid w:val="00CB454F"/>
    <w:rsid w:val="00CB5C64"/>
    <w:rsid w:val="00CC20F2"/>
    <w:rsid w:val="00CC2505"/>
    <w:rsid w:val="00CD4CDA"/>
    <w:rsid w:val="00CE077F"/>
    <w:rsid w:val="00CE4BC4"/>
    <w:rsid w:val="00CF29F6"/>
    <w:rsid w:val="00CF2DD6"/>
    <w:rsid w:val="00CF4858"/>
    <w:rsid w:val="00D06D9B"/>
    <w:rsid w:val="00D13381"/>
    <w:rsid w:val="00D1414D"/>
    <w:rsid w:val="00D22A12"/>
    <w:rsid w:val="00D23317"/>
    <w:rsid w:val="00D31738"/>
    <w:rsid w:val="00D34977"/>
    <w:rsid w:val="00D34FE0"/>
    <w:rsid w:val="00D3596A"/>
    <w:rsid w:val="00D423C4"/>
    <w:rsid w:val="00D51E54"/>
    <w:rsid w:val="00D545F0"/>
    <w:rsid w:val="00D83495"/>
    <w:rsid w:val="00D870DD"/>
    <w:rsid w:val="00D91AB2"/>
    <w:rsid w:val="00DA3A3D"/>
    <w:rsid w:val="00DB1AAB"/>
    <w:rsid w:val="00DB5104"/>
    <w:rsid w:val="00DB60D9"/>
    <w:rsid w:val="00DB6FB3"/>
    <w:rsid w:val="00DD7CE6"/>
    <w:rsid w:val="00DE15D0"/>
    <w:rsid w:val="00DE50A8"/>
    <w:rsid w:val="00DE6389"/>
    <w:rsid w:val="00DF156E"/>
    <w:rsid w:val="00DF31A1"/>
    <w:rsid w:val="00E0374D"/>
    <w:rsid w:val="00E13C94"/>
    <w:rsid w:val="00E24E05"/>
    <w:rsid w:val="00E32756"/>
    <w:rsid w:val="00E36CAB"/>
    <w:rsid w:val="00E4034B"/>
    <w:rsid w:val="00E41E3E"/>
    <w:rsid w:val="00E5003F"/>
    <w:rsid w:val="00E576CD"/>
    <w:rsid w:val="00E65BC2"/>
    <w:rsid w:val="00E67AE1"/>
    <w:rsid w:val="00E71066"/>
    <w:rsid w:val="00E80183"/>
    <w:rsid w:val="00E828F7"/>
    <w:rsid w:val="00E86173"/>
    <w:rsid w:val="00E93E2E"/>
    <w:rsid w:val="00E9507C"/>
    <w:rsid w:val="00EA1783"/>
    <w:rsid w:val="00EA1886"/>
    <w:rsid w:val="00EA61D2"/>
    <w:rsid w:val="00EA6640"/>
    <w:rsid w:val="00EB2CE3"/>
    <w:rsid w:val="00ED0C2B"/>
    <w:rsid w:val="00EE0D67"/>
    <w:rsid w:val="00EE4D34"/>
    <w:rsid w:val="00EE6BF6"/>
    <w:rsid w:val="00EF3B12"/>
    <w:rsid w:val="00F04AA0"/>
    <w:rsid w:val="00F26548"/>
    <w:rsid w:val="00F4388B"/>
    <w:rsid w:val="00F504D3"/>
    <w:rsid w:val="00F52548"/>
    <w:rsid w:val="00F61AEB"/>
    <w:rsid w:val="00F663DA"/>
    <w:rsid w:val="00F66D1F"/>
    <w:rsid w:val="00F715BE"/>
    <w:rsid w:val="00F73730"/>
    <w:rsid w:val="00F936D7"/>
    <w:rsid w:val="00FA6941"/>
    <w:rsid w:val="00FA7912"/>
    <w:rsid w:val="00FB2D5E"/>
    <w:rsid w:val="00FB5826"/>
    <w:rsid w:val="00FC2A3A"/>
    <w:rsid w:val="00FD53E2"/>
    <w:rsid w:val="00FD5507"/>
    <w:rsid w:val="00FF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A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jemima</dc:creator>
  <cp:lastModifiedBy>jemima</cp:lastModifiedBy>
  <cp:revision>13</cp:revision>
  <dcterms:created xsi:type="dcterms:W3CDTF">2019-04-11T20:20:00Z</dcterms:created>
  <dcterms:modified xsi:type="dcterms:W3CDTF">2019-04-13T19:26:00Z</dcterms:modified>
</cp:coreProperties>
</file>