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FF" w:rsidRDefault="00FD0DF6" w:rsidP="00CB25A0">
      <w:pPr>
        <w:spacing w:line="360" w:lineRule="auto"/>
        <w:rPr>
          <w:rFonts w:ascii="Times New Roman" w:hAnsi="Times New Roman" w:cs="Times New Roman"/>
          <w:b/>
          <w:bCs/>
          <w:sz w:val="24"/>
          <w:szCs w:val="28"/>
        </w:rPr>
      </w:pPr>
      <w:r>
        <w:rPr>
          <w:rFonts w:ascii="Times New Roman" w:hAnsi="Times New Roman" w:cs="Times New Roman"/>
          <w:b/>
          <w:bCs/>
          <w:sz w:val="24"/>
          <w:szCs w:val="28"/>
        </w:rPr>
        <w:t>METHODS</w:t>
      </w:r>
    </w:p>
    <w:p w:rsidR="003C435D" w:rsidRDefault="003C435D" w:rsidP="00CB25A0">
      <w:pPr>
        <w:spacing w:line="360" w:lineRule="auto"/>
        <w:rPr>
          <w:rFonts w:ascii="Times New Roman" w:hAnsi="Times New Roman" w:cs="Times New Roman"/>
          <w:b/>
          <w:bCs/>
          <w:sz w:val="24"/>
          <w:szCs w:val="28"/>
        </w:rPr>
      </w:pPr>
      <w:r w:rsidRPr="003C435D">
        <w:rPr>
          <w:rFonts w:ascii="Times New Roman" w:hAnsi="Times New Roman" w:cs="Times New Roman"/>
          <w:b/>
          <w:bCs/>
          <w:sz w:val="24"/>
          <w:szCs w:val="28"/>
        </w:rPr>
        <w:t>Ethics</w:t>
      </w:r>
    </w:p>
    <w:p w:rsidR="003C435D" w:rsidRPr="003C435D" w:rsidRDefault="003C435D" w:rsidP="00CB25A0">
      <w:pPr>
        <w:spacing w:line="360" w:lineRule="auto"/>
        <w:rPr>
          <w:rFonts w:ascii="Times New Roman" w:hAnsi="Times New Roman" w:cs="Times New Roman"/>
          <w:b/>
          <w:bCs/>
          <w:sz w:val="24"/>
          <w:szCs w:val="28"/>
        </w:rPr>
      </w:pPr>
      <w:r w:rsidRPr="003C435D">
        <w:rPr>
          <w:rFonts w:ascii="Times New Roman" w:hAnsi="Times New Roman" w:cs="Times New Roman"/>
          <w:sz w:val="24"/>
          <w:szCs w:val="28"/>
        </w:rPr>
        <w:t xml:space="preserve">This was a prospective cohort study, in which outpatients with HDM-induced AR were enrolled from the Department of Allergy at Beijing </w:t>
      </w:r>
      <w:proofErr w:type="spellStart"/>
      <w:r w:rsidRPr="003C435D">
        <w:rPr>
          <w:rFonts w:ascii="Times New Roman" w:hAnsi="Times New Roman" w:cs="Times New Roman"/>
          <w:sz w:val="24"/>
          <w:szCs w:val="28"/>
        </w:rPr>
        <w:t>TongRen</w:t>
      </w:r>
      <w:proofErr w:type="spellEnd"/>
      <w:r w:rsidRPr="003C435D">
        <w:rPr>
          <w:rFonts w:ascii="Times New Roman" w:hAnsi="Times New Roman" w:cs="Times New Roman"/>
          <w:sz w:val="24"/>
          <w:szCs w:val="28"/>
        </w:rPr>
        <w:t xml:space="preserve"> Hospital, from 2017 July to December. The study protocol, shown in Figure </w:t>
      </w:r>
      <w:r w:rsidR="00E97CDD">
        <w:rPr>
          <w:rFonts w:ascii="Times New Roman" w:hAnsi="Times New Roman" w:cs="Times New Roman"/>
          <w:sz w:val="24"/>
          <w:szCs w:val="28"/>
        </w:rPr>
        <w:t>S</w:t>
      </w:r>
      <w:r w:rsidRPr="003C435D">
        <w:rPr>
          <w:rFonts w:ascii="Times New Roman" w:hAnsi="Times New Roman" w:cs="Times New Roman"/>
          <w:sz w:val="24"/>
          <w:szCs w:val="28"/>
        </w:rPr>
        <w:t xml:space="preserve">1, was approved by the ethics review board of the Beijing </w:t>
      </w:r>
      <w:proofErr w:type="spellStart"/>
      <w:r w:rsidRPr="003C435D">
        <w:rPr>
          <w:rFonts w:ascii="Times New Roman" w:hAnsi="Times New Roman" w:cs="Times New Roman"/>
          <w:sz w:val="24"/>
          <w:szCs w:val="28"/>
        </w:rPr>
        <w:t>TongRen</w:t>
      </w:r>
      <w:proofErr w:type="spellEnd"/>
      <w:r w:rsidRPr="003C435D">
        <w:rPr>
          <w:rFonts w:ascii="Times New Roman" w:hAnsi="Times New Roman" w:cs="Times New Roman"/>
          <w:sz w:val="24"/>
          <w:szCs w:val="28"/>
        </w:rPr>
        <w:t xml:space="preserve"> Hospital and Beijing Institute of Otolaryngology, P.R. China; and written informed consent was obtained from all participants before enrolment into the study.</w:t>
      </w:r>
    </w:p>
    <w:p w:rsidR="003C435D" w:rsidRPr="003C435D" w:rsidRDefault="003C435D" w:rsidP="00CB25A0">
      <w:pPr>
        <w:spacing w:line="360" w:lineRule="auto"/>
        <w:rPr>
          <w:rFonts w:ascii="Times New Roman" w:hAnsi="Times New Roman" w:cs="Times New Roman"/>
          <w:b/>
          <w:bCs/>
          <w:sz w:val="24"/>
          <w:szCs w:val="28"/>
        </w:rPr>
      </w:pPr>
      <w:r w:rsidRPr="003C435D">
        <w:rPr>
          <w:rFonts w:ascii="Times New Roman" w:hAnsi="Times New Roman" w:cs="Times New Roman"/>
          <w:b/>
          <w:bCs/>
          <w:sz w:val="24"/>
          <w:szCs w:val="28"/>
        </w:rPr>
        <w:t>Study Design</w:t>
      </w:r>
    </w:p>
    <w:p w:rsidR="003C435D" w:rsidRPr="003C435D" w:rsidRDefault="003C435D" w:rsidP="00CB25A0">
      <w:pPr>
        <w:spacing w:line="360" w:lineRule="auto"/>
        <w:rPr>
          <w:rFonts w:ascii="Times New Roman" w:hAnsi="Times New Roman" w:cs="Times New Roman"/>
          <w:sz w:val="24"/>
          <w:szCs w:val="28"/>
        </w:rPr>
      </w:pPr>
      <w:r w:rsidRPr="003C435D">
        <w:rPr>
          <w:rFonts w:ascii="Times New Roman" w:hAnsi="Times New Roman" w:cs="Times New Roman"/>
          <w:sz w:val="24"/>
          <w:szCs w:val="28"/>
        </w:rPr>
        <w:t>Adult patients with mild to moderate AR, with or without asthma due to HDM, meeting the study inclusion criteria were enrolled into the study and received SCIT for 1 year with standardized extract of HDM (</w:t>
      </w:r>
      <w:proofErr w:type="spellStart"/>
      <w:r w:rsidRPr="003C435D">
        <w:rPr>
          <w:rFonts w:ascii="Times New Roman" w:hAnsi="Times New Roman" w:cs="Times New Roman"/>
          <w:sz w:val="24"/>
          <w:szCs w:val="28"/>
        </w:rPr>
        <w:t>Alutard</w:t>
      </w:r>
      <w:proofErr w:type="spellEnd"/>
      <w:r w:rsidRPr="003C435D">
        <w:rPr>
          <w:rFonts w:ascii="Times New Roman" w:hAnsi="Times New Roman" w:cs="Times New Roman"/>
          <w:sz w:val="24"/>
          <w:szCs w:val="28"/>
        </w:rPr>
        <w:t xml:space="preserve"> SQ, ALK company, Denmark). The 1-year clustered SCIT protocol involved a ‘7-week’ up-dosing (up to 100,000 SQ-U) and a ’45-week’ maintenance period with injection of allergen at intervals of 6 ± 2 weeks. The patients’ symptoms were evaluated at baseline and then followed up for a period of one year during the treatment. Blood samples from each patient were collected in 5-ml ethylene-diamine-tetraacetic acid (EDTA)-containing tubes at the initiation of treatment (W0), and the end of week (W)1, W2, W5, W7, W19, W35 and W52; and assessed for serum </w:t>
      </w:r>
      <w:proofErr w:type="spellStart"/>
      <w:r w:rsidRPr="003C435D">
        <w:rPr>
          <w:rFonts w:ascii="Times New Roman" w:hAnsi="Times New Roman" w:cs="Times New Roman"/>
          <w:sz w:val="24"/>
          <w:szCs w:val="28"/>
        </w:rPr>
        <w:t>sIgE</w:t>
      </w:r>
      <w:proofErr w:type="spellEnd"/>
      <w:r w:rsidRPr="003C435D">
        <w:rPr>
          <w:rFonts w:ascii="Times New Roman" w:hAnsi="Times New Roman" w:cs="Times New Roman"/>
          <w:sz w:val="24"/>
          <w:szCs w:val="28"/>
        </w:rPr>
        <w:t xml:space="preserve"> and </w:t>
      </w:r>
      <w:proofErr w:type="spellStart"/>
      <w:r w:rsidRPr="003C435D">
        <w:rPr>
          <w:rFonts w:ascii="Times New Roman" w:hAnsi="Times New Roman" w:cs="Times New Roman"/>
          <w:sz w:val="24"/>
          <w:szCs w:val="28"/>
        </w:rPr>
        <w:t>sIgG4</w:t>
      </w:r>
      <w:proofErr w:type="spellEnd"/>
      <w:r w:rsidRPr="003C435D">
        <w:rPr>
          <w:rFonts w:ascii="Times New Roman" w:hAnsi="Times New Roman" w:cs="Times New Roman"/>
          <w:sz w:val="24"/>
          <w:szCs w:val="28"/>
        </w:rPr>
        <w:t xml:space="preserve"> to specific allergenic components of HDM; included Der p, p1, p2, p3, p5, p7, p10, p23, Der f, Der f 1 and f 2. All samples were analyzed using the </w:t>
      </w:r>
      <w:proofErr w:type="spellStart"/>
      <w:r w:rsidRPr="003C435D">
        <w:rPr>
          <w:rFonts w:ascii="Times New Roman" w:hAnsi="Times New Roman" w:cs="Times New Roman"/>
          <w:sz w:val="24"/>
          <w:szCs w:val="28"/>
        </w:rPr>
        <w:t>semiquantified</w:t>
      </w:r>
      <w:proofErr w:type="spellEnd"/>
      <w:r w:rsidRPr="003C435D">
        <w:rPr>
          <w:rFonts w:ascii="Times New Roman" w:hAnsi="Times New Roman" w:cs="Times New Roman"/>
          <w:sz w:val="24"/>
          <w:szCs w:val="28"/>
        </w:rPr>
        <w:t xml:space="preserve"> </w:t>
      </w:r>
      <w:proofErr w:type="spellStart"/>
      <w:r w:rsidRPr="003C435D">
        <w:rPr>
          <w:rFonts w:ascii="Times New Roman" w:hAnsi="Times New Roman" w:cs="Times New Roman"/>
          <w:sz w:val="24"/>
          <w:szCs w:val="28"/>
        </w:rPr>
        <w:t>Euroline</w:t>
      </w:r>
      <w:proofErr w:type="spellEnd"/>
      <w:r w:rsidRPr="003C435D">
        <w:rPr>
          <w:rFonts w:ascii="Times New Roman" w:hAnsi="Times New Roman" w:cs="Times New Roman"/>
          <w:sz w:val="24"/>
          <w:szCs w:val="28"/>
        </w:rPr>
        <w:t xml:space="preserve"> system (EUROIMMUN, </w:t>
      </w:r>
      <w:proofErr w:type="spellStart"/>
      <w:r w:rsidRPr="003C435D">
        <w:rPr>
          <w:rFonts w:ascii="Times New Roman" w:hAnsi="Times New Roman" w:cs="Times New Roman"/>
          <w:sz w:val="24"/>
          <w:szCs w:val="28"/>
        </w:rPr>
        <w:t>Bejing</w:t>
      </w:r>
      <w:proofErr w:type="spellEnd"/>
      <w:r w:rsidRPr="003C435D">
        <w:rPr>
          <w:rFonts w:ascii="Times New Roman" w:hAnsi="Times New Roman" w:cs="Times New Roman"/>
          <w:sz w:val="24"/>
          <w:szCs w:val="28"/>
        </w:rPr>
        <w:t xml:space="preserve">, China), and the concentration the intensity and grade (EAST class) of each sample was graded as follows: intensity≤2= grade 0+; ≤6= 1+; ≤15, 2+; ≤30, 3+; ≤55, 4+; ≤110, 5+; ≤255, 6+. </w:t>
      </w:r>
    </w:p>
    <w:p w:rsidR="003C435D" w:rsidRPr="003C435D" w:rsidRDefault="003C435D" w:rsidP="00CB25A0">
      <w:pPr>
        <w:spacing w:line="360" w:lineRule="auto"/>
        <w:rPr>
          <w:rFonts w:ascii="Times New Roman" w:hAnsi="Times New Roman" w:cs="Times New Roman"/>
          <w:b/>
          <w:bCs/>
          <w:sz w:val="24"/>
          <w:szCs w:val="28"/>
        </w:rPr>
      </w:pPr>
      <w:r w:rsidRPr="003C435D">
        <w:rPr>
          <w:rFonts w:ascii="Times New Roman" w:hAnsi="Times New Roman" w:cs="Times New Roman"/>
          <w:b/>
          <w:bCs/>
          <w:sz w:val="24"/>
          <w:szCs w:val="28"/>
        </w:rPr>
        <w:t>Patients</w:t>
      </w:r>
    </w:p>
    <w:p w:rsidR="003C435D" w:rsidRPr="003C435D" w:rsidRDefault="003C435D" w:rsidP="00CB25A0">
      <w:pPr>
        <w:spacing w:line="360" w:lineRule="auto"/>
        <w:rPr>
          <w:rFonts w:ascii="Times New Roman" w:hAnsi="Times New Roman" w:cs="Times New Roman"/>
          <w:sz w:val="24"/>
          <w:szCs w:val="28"/>
        </w:rPr>
      </w:pPr>
      <w:r w:rsidRPr="003C435D">
        <w:rPr>
          <w:rFonts w:ascii="Times New Roman" w:hAnsi="Times New Roman" w:cs="Times New Roman"/>
          <w:sz w:val="24"/>
          <w:szCs w:val="28"/>
        </w:rPr>
        <w:t xml:space="preserve">A total of 18 outpatients, 10 males (55.6%) and 8 females (44.4%), aged 18 to 40 years with a confirmed diagnosis of AR were enrolled into the study. Each patient fulfilled the inclusion criteria as follows: (1) adult patients aged ≥ 18 years; (2) a history of atopy to HDM and a physician-diagnosis of mild to moderate rhinitis with </w:t>
      </w:r>
      <w:r w:rsidRPr="003C435D">
        <w:rPr>
          <w:rFonts w:ascii="Times New Roman" w:hAnsi="Times New Roman" w:cs="Times New Roman"/>
          <w:sz w:val="24"/>
          <w:szCs w:val="28"/>
        </w:rPr>
        <w:lastRenderedPageBreak/>
        <w:t>or without asthma based on ARIA 2016 revision</w:t>
      </w:r>
      <w:r w:rsidR="00E97CDD" w:rsidRPr="00E97CDD">
        <w:t xml:space="preserve"> </w:t>
      </w:r>
      <w:r w:rsidR="003478A0">
        <w:rPr>
          <w:rFonts w:ascii="Times New Roman" w:hAnsi="Times New Roman" w:cs="Times New Roman"/>
          <w:sz w:val="24"/>
          <w:szCs w:val="28"/>
        </w:rPr>
        <w:fldChar w:fldCharType="begin"/>
      </w:r>
      <w:r w:rsidR="00AC7C25">
        <w:rPr>
          <w:rFonts w:ascii="Times New Roman" w:hAnsi="Times New Roman" w:cs="Times New Roman"/>
          <w:sz w:val="24"/>
          <w:szCs w:val="28"/>
        </w:rPr>
        <w:instrText xml:space="preserve"> ADDIN EN.CITE &lt;EndNote&gt;&lt;Cite&gt;&lt;Author&gt;Brożek&lt;/Author&gt;&lt;Year&gt;2017&lt;/Year&gt;&lt;RecNum&gt;117&lt;/RecNum&gt;&lt;DisplayText&gt;(1)&lt;/DisplayText&gt;&lt;record&gt;&lt;rec-number&gt;117&lt;/rec-number&gt;&lt;foreign-keys&gt;&lt;key app="EN" db-id="dx59ddf5swfdeqeav9qxd9dmxt2wrs0pvex0" timestamp="1562433090"&gt;117&lt;/key&gt;&lt;/foreign-keys&gt;&lt;ref-type name="Journal Article"&gt;17&lt;/ref-type&gt;&lt;contributors&gt;&lt;authors&gt;&lt;author&gt;Jan L. Brożek&lt;/author&gt;&lt;author&gt;Bousquet, Jean&lt;/author&gt;&lt;author&gt;Agache, Ioana&lt;/author&gt;&lt;author&gt;Arnav Agarwal&lt;/author&gt;&lt;author&gt;Claus Bachert&lt;/author&gt;&lt;author&gt;Sinthia Bosnic-Anticevich&lt;/author&gt;&lt;author&gt;Romina Brignardello-Petersen&lt;/author&gt;&lt;author&gt;G. Walter Canonica&lt;/author&gt;&lt;author&gt;Thomas Casale&lt;/author&gt;&lt;author&gt;Niels H. Chavannes&lt;/author&gt;&lt;/authors&gt;&lt;/contributors&gt;&lt;titles&gt;&lt;title&gt;Allergic Rhinitis and its Impact on Asthma (ARIA) guidelines—2016 revision&lt;/title&gt;&lt;secondary-title&gt;Journal of Allergy &amp;amp; Clinical Immunology&lt;/secondary-title&gt;&lt;/titles&gt;&lt;periodical&gt;&lt;full-title&gt;Journal of Allergy &amp;amp; Clinical Immunology&lt;/full-title&gt;&lt;/periodical&gt;&lt;pages&gt;950&lt;/pages&gt;&lt;volume&gt;140&lt;/volume&gt;&lt;number&gt;4&lt;/number&gt;&lt;dates&gt;&lt;year&gt;2017&lt;/year&gt;&lt;/dates&gt;&lt;urls&gt;&lt;/urls&gt;&lt;/record&gt;&lt;/Cite&gt;&lt;/EndNote&gt;</w:instrText>
      </w:r>
      <w:r w:rsidR="003478A0">
        <w:rPr>
          <w:rFonts w:ascii="Times New Roman" w:hAnsi="Times New Roman" w:cs="Times New Roman"/>
          <w:sz w:val="24"/>
          <w:szCs w:val="28"/>
        </w:rPr>
        <w:fldChar w:fldCharType="separate"/>
      </w:r>
      <w:r w:rsidR="00AC7C25">
        <w:rPr>
          <w:rFonts w:ascii="Times New Roman" w:hAnsi="Times New Roman" w:cs="Times New Roman"/>
          <w:sz w:val="24"/>
          <w:szCs w:val="28"/>
        </w:rPr>
        <w:t>(1)</w:t>
      </w:r>
      <w:r w:rsidR="003478A0">
        <w:rPr>
          <w:rFonts w:ascii="Times New Roman" w:hAnsi="Times New Roman" w:cs="Times New Roman"/>
          <w:sz w:val="24"/>
          <w:szCs w:val="28"/>
        </w:rPr>
        <w:fldChar w:fldCharType="end"/>
      </w:r>
      <w:r w:rsidRPr="003C435D">
        <w:rPr>
          <w:rFonts w:ascii="Times New Roman" w:hAnsi="Times New Roman" w:cs="Times New Roman"/>
          <w:sz w:val="24"/>
          <w:szCs w:val="28"/>
        </w:rPr>
        <w:t xml:space="preserve">; and (3) patients with significant nasal symptoms (nasal congestion, rhinorrhea, itching and sneezing) and sensitization to HDM, as indicated by skin prick test (SPT) and confirmed by serum </w:t>
      </w:r>
      <w:proofErr w:type="spellStart"/>
      <w:r w:rsidRPr="003C435D">
        <w:rPr>
          <w:rFonts w:ascii="Times New Roman" w:hAnsi="Times New Roman" w:cs="Times New Roman"/>
          <w:sz w:val="24"/>
          <w:szCs w:val="28"/>
        </w:rPr>
        <w:t>sIgE</w:t>
      </w:r>
      <w:proofErr w:type="spellEnd"/>
      <w:r w:rsidRPr="003C435D">
        <w:rPr>
          <w:rFonts w:ascii="Times New Roman" w:hAnsi="Times New Roman" w:cs="Times New Roman"/>
          <w:sz w:val="24"/>
          <w:szCs w:val="28"/>
        </w:rPr>
        <w:t xml:space="preserve"> ≥ 3.5 </w:t>
      </w:r>
      <w:proofErr w:type="spellStart"/>
      <w:r w:rsidRPr="003C435D">
        <w:rPr>
          <w:rFonts w:ascii="Times New Roman" w:hAnsi="Times New Roman" w:cs="Times New Roman"/>
          <w:sz w:val="24"/>
          <w:szCs w:val="28"/>
        </w:rPr>
        <w:t>kU</w:t>
      </w:r>
      <w:proofErr w:type="spellEnd"/>
      <w:r w:rsidRPr="003C435D">
        <w:rPr>
          <w:rFonts w:ascii="Times New Roman" w:hAnsi="Times New Roman" w:cs="Times New Roman"/>
          <w:sz w:val="24"/>
          <w:szCs w:val="28"/>
        </w:rPr>
        <w:t xml:space="preserve">/L using the Pharmacia </w:t>
      </w:r>
      <w:proofErr w:type="spellStart"/>
      <w:r w:rsidRPr="003C435D">
        <w:rPr>
          <w:rFonts w:ascii="Times New Roman" w:hAnsi="Times New Roman" w:cs="Times New Roman"/>
          <w:sz w:val="24"/>
          <w:szCs w:val="28"/>
        </w:rPr>
        <w:t>UniCAP</w:t>
      </w:r>
      <w:proofErr w:type="spellEnd"/>
      <w:r w:rsidRPr="003C435D">
        <w:rPr>
          <w:rFonts w:ascii="Times New Roman" w:hAnsi="Times New Roman" w:cs="Times New Roman"/>
          <w:sz w:val="24"/>
          <w:szCs w:val="28"/>
        </w:rPr>
        <w:t xml:space="preserve"> system (Thermo Fisher Scientific Co., Ltd., Shanghai, China). During AIT, patients only used rescue medication (antihistamines, nasal corticosteroids) if necessary.</w:t>
      </w:r>
    </w:p>
    <w:p w:rsidR="003C435D" w:rsidRPr="003C435D" w:rsidRDefault="003C435D" w:rsidP="00CB25A0">
      <w:pPr>
        <w:spacing w:line="360" w:lineRule="auto"/>
        <w:rPr>
          <w:rFonts w:ascii="Times New Roman" w:hAnsi="Times New Roman" w:cs="Times New Roman"/>
          <w:sz w:val="24"/>
          <w:szCs w:val="28"/>
        </w:rPr>
      </w:pPr>
      <w:r w:rsidRPr="003C435D">
        <w:rPr>
          <w:rFonts w:ascii="Times New Roman" w:hAnsi="Times New Roman" w:cs="Times New Roman"/>
          <w:sz w:val="24"/>
          <w:szCs w:val="28"/>
        </w:rPr>
        <w:t xml:space="preserve">Patients with severe uncontrolled systemic diseases, including active systemic/immunologic disease, were excluded; as were pregnant women. </w:t>
      </w:r>
    </w:p>
    <w:p w:rsidR="003C435D" w:rsidRPr="003C435D" w:rsidRDefault="003C435D" w:rsidP="00CB25A0">
      <w:pPr>
        <w:spacing w:line="360" w:lineRule="auto"/>
        <w:rPr>
          <w:rFonts w:ascii="Times New Roman" w:hAnsi="Times New Roman" w:cs="Times New Roman"/>
          <w:b/>
          <w:bCs/>
          <w:sz w:val="24"/>
          <w:szCs w:val="28"/>
        </w:rPr>
      </w:pPr>
      <w:r w:rsidRPr="003C435D">
        <w:rPr>
          <w:rFonts w:ascii="Times New Roman" w:hAnsi="Times New Roman" w:cs="Times New Roman"/>
          <w:b/>
          <w:bCs/>
          <w:sz w:val="24"/>
          <w:szCs w:val="28"/>
        </w:rPr>
        <w:t>Clinical Efficacy of AIT</w:t>
      </w:r>
    </w:p>
    <w:p w:rsidR="003C435D" w:rsidRPr="003C435D" w:rsidRDefault="003C435D" w:rsidP="00CB25A0">
      <w:pPr>
        <w:spacing w:line="360" w:lineRule="auto"/>
        <w:rPr>
          <w:rFonts w:ascii="Times New Roman" w:hAnsi="Times New Roman" w:cs="Times New Roman"/>
          <w:sz w:val="24"/>
          <w:szCs w:val="28"/>
        </w:rPr>
      </w:pPr>
      <w:r w:rsidRPr="003C435D">
        <w:rPr>
          <w:rFonts w:ascii="Times New Roman" w:hAnsi="Times New Roman" w:cs="Times New Roman"/>
          <w:sz w:val="24"/>
          <w:szCs w:val="28"/>
        </w:rPr>
        <w:t>The clinical efficacy of treatment was evaluated by assessing symptoms and rescue medication usage. Nasal symptoms of congestion, rhinorrhea, itching and sneezing, together with eye discomfort (gritty eyes and watery eyes) were assessed using a 4-point visual analogue scale (VAS) ranging from 0 (asymptomatic) to 3 (severe). Daily medication score (DMS), ranging from 0 to 6, was calculated based on the total daily medicine intake, with 0 = “without taking any medicine”, 1= “using antihistamines”, 2= “using nasal corticosteroids”, 3= “using oral corticosteroids”. Total combined score (TCS)</w:t>
      </w:r>
      <w:r w:rsidR="00E97CDD" w:rsidRPr="00E97CDD">
        <w:t xml:space="preserve"> </w:t>
      </w:r>
      <w:r w:rsidR="003478A0">
        <w:rPr>
          <w:rFonts w:ascii="Times New Roman" w:hAnsi="Times New Roman" w:cs="Times New Roman"/>
          <w:sz w:val="24"/>
          <w:szCs w:val="28"/>
        </w:rPr>
        <w:fldChar w:fldCharType="begin"/>
      </w:r>
      <w:r w:rsidR="00AC7C25">
        <w:rPr>
          <w:rFonts w:ascii="Times New Roman" w:hAnsi="Times New Roman" w:cs="Times New Roman"/>
          <w:sz w:val="24"/>
          <w:szCs w:val="28"/>
        </w:rPr>
        <w:instrText xml:space="preserve"> ADDIN EN.CITE &lt;EndNote&gt;&lt;Cite&gt;&lt;Author&gt;Baris&lt;/Author&gt;&lt;Year&gt;2014&lt;/Year&gt;&lt;RecNum&gt;285&lt;/RecNum&gt;&lt;DisplayText&gt;(2)&lt;/DisplayText&gt;&lt;record&gt;&lt;rec-number&gt;285&lt;/rec-number&gt;&lt;foreign-keys&gt;&lt;key app="EN" db-id="dx59ddf5swfdeqeav9qxd9dmxt2wrs0pvex0" timestamp="1565602860"&gt;285&lt;/key&gt;&lt;/foreign-keys&gt;&lt;ref-type name="Journal Article"&gt;17&lt;/ref-type&gt;&lt;contributors&gt;&lt;authors&gt;&lt;author&gt;Baris, S&lt;/author&gt;&lt;author&gt;Kiykim, A&lt;/author&gt;&lt;author&gt;Ozen, A&lt;/author&gt;&lt;author&gt;Tulunay, A&lt;/author&gt;&lt;author&gt;Karakocaydiner, E&lt;/author&gt;&lt;author&gt;Barlan, I. B.&lt;/author&gt;&lt;/authors&gt;&lt;/contributors&gt;&lt;titles&gt;&lt;title&gt;Vitamin D as an adjunct to subcutaneous allergen immunotherapy in asthmatic children sensitized to house dust mite&lt;/title&gt;&lt;secondary-title&gt;Allergy&lt;/secondary-title&gt;&lt;/titles&gt;&lt;periodical&gt;&lt;full-title&gt;Allergy&lt;/full-title&gt;&lt;/periodical&gt;&lt;pages&gt;246–253&lt;/pages&gt;&lt;volume&gt;69&lt;/volume&gt;&lt;number&gt;2&lt;/number&gt;&lt;dates&gt;&lt;year&gt;2014&lt;/year&gt;&lt;/dates&gt;&lt;urls&gt;&lt;related-urls&gt;&lt;url&gt;https://onlinelibrary.wiley.com/doi/abs/10.1111/all.12278&lt;/url&gt;&lt;/related-urls&gt;&lt;/urls&gt;&lt;/record&gt;&lt;/Cite&gt;&lt;/EndNote&gt;</w:instrText>
      </w:r>
      <w:r w:rsidR="003478A0">
        <w:rPr>
          <w:rFonts w:ascii="Times New Roman" w:hAnsi="Times New Roman" w:cs="Times New Roman"/>
          <w:sz w:val="24"/>
          <w:szCs w:val="28"/>
        </w:rPr>
        <w:fldChar w:fldCharType="separate"/>
      </w:r>
      <w:r w:rsidR="00AC7C25">
        <w:rPr>
          <w:rFonts w:ascii="Times New Roman" w:hAnsi="Times New Roman" w:cs="Times New Roman"/>
          <w:sz w:val="24"/>
          <w:szCs w:val="28"/>
        </w:rPr>
        <w:t>(2)</w:t>
      </w:r>
      <w:r w:rsidR="003478A0">
        <w:rPr>
          <w:rFonts w:ascii="Times New Roman" w:hAnsi="Times New Roman" w:cs="Times New Roman"/>
          <w:sz w:val="24"/>
          <w:szCs w:val="28"/>
        </w:rPr>
        <w:fldChar w:fldCharType="end"/>
      </w:r>
      <w:r w:rsidRPr="003C435D">
        <w:rPr>
          <w:rFonts w:ascii="Times New Roman" w:hAnsi="Times New Roman" w:cs="Times New Roman"/>
          <w:sz w:val="24"/>
          <w:szCs w:val="28"/>
        </w:rPr>
        <w:t>, ranging from 0 to 6, was calculated as the sum of the average score of 6 nasal conjunctivitis symptoms and DMS.</w:t>
      </w:r>
    </w:p>
    <w:p w:rsidR="003C435D" w:rsidRPr="003C435D" w:rsidRDefault="003C435D" w:rsidP="00CB25A0">
      <w:pPr>
        <w:spacing w:line="360" w:lineRule="auto"/>
        <w:rPr>
          <w:rFonts w:ascii="Times New Roman" w:hAnsi="Times New Roman" w:cs="Times New Roman"/>
          <w:sz w:val="24"/>
          <w:szCs w:val="28"/>
        </w:rPr>
      </w:pPr>
      <w:r w:rsidRPr="003C435D">
        <w:rPr>
          <w:rFonts w:ascii="Times New Roman" w:hAnsi="Times New Roman" w:cs="Times New Roman"/>
          <w:sz w:val="24"/>
          <w:szCs w:val="28"/>
        </w:rPr>
        <w:t>According to the position paper of World Allergy Organization in 2007</w:t>
      </w:r>
      <w:r w:rsidR="00AC7C25" w:rsidRPr="00AC7C25">
        <w:t xml:space="preserve"> </w:t>
      </w:r>
      <w:r w:rsidR="003478A0">
        <w:rPr>
          <w:rFonts w:ascii="Times New Roman" w:hAnsi="Times New Roman" w:cs="Times New Roman"/>
          <w:sz w:val="24"/>
          <w:szCs w:val="28"/>
        </w:rPr>
        <w:fldChar w:fldCharType="begin"/>
      </w:r>
      <w:r w:rsidR="00AC7C25">
        <w:rPr>
          <w:rFonts w:ascii="Times New Roman" w:hAnsi="Times New Roman" w:cs="Times New Roman"/>
          <w:sz w:val="24"/>
          <w:szCs w:val="28"/>
        </w:rPr>
        <w:instrText xml:space="preserve"> ADDIN EN.CITE &lt;EndNote&gt;&lt;Cite&gt;&lt;Author&gt;Canonica&lt;/Author&gt;&lt;Year&gt;2007&lt;/Year&gt;&lt;RecNum&gt;288&lt;/RecNum&gt;&lt;DisplayText&gt;(3)&lt;/DisplayText&gt;&lt;record&gt;&lt;rec-number&gt;288&lt;/rec-number&gt;&lt;foreign-keys&gt;&lt;key app="EN" db-id="dx59ddf5swfdeqeav9qxd9dmxt2wrs0pvex0" timestamp="1573494789"&gt;288&lt;/key&gt;&lt;/foreign-keys&gt;&lt;ref-type name="Journal Article"&gt;17&lt;/ref-type&gt;&lt;contributors&gt;&lt;authors&gt;&lt;author&gt;Canonica, G. W.&lt;/author&gt;&lt;author&gt;Baena-Cagnani, C. E.&lt;/author&gt;&lt;author&gt;Bousquet, J.&lt;/author&gt;&lt;author&gt;Bousquet, P. J.&lt;/author&gt;&lt;author&gt;Lockey, R. F.&lt;/author&gt;&lt;author&gt;Malling, H. J.&lt;/author&gt;&lt;author&gt;Passalacqua, G.&lt;/author&gt;&lt;author&gt;Potter, P.&lt;/author&gt;&lt;author&gt;Valovirta, E.&lt;/author&gt;&lt;/authors&gt;&lt;/contributors&gt;&lt;auth-address&gt;Allergy and Respiratory Diseases, DIMI, University of Genoa, Genoa, Italy.&lt;/auth-address&gt;&lt;titles&gt;&lt;title&gt;Recommendations for standardization of clinical trials with Allergen Specific Immunotherapy for respiratory allergy. A statement of a World Allergy Organization (WAO) taskforce&lt;/title&gt;&lt;secondary-title&gt;Allergy&lt;/secondary-title&gt;&lt;/titles&gt;&lt;periodical&gt;&lt;full-title&gt;Allergy&lt;/full-title&gt;&lt;/periodical&gt;&lt;pages&gt;317-24&lt;/pages&gt;&lt;volume&gt;62&lt;/volume&gt;&lt;number&gt;3&lt;/number&gt;&lt;edition&gt;2007/02/15&lt;/edition&gt;&lt;keywords&gt;&lt;keyword&gt;Clinical Trials as Topic/*standards&lt;/keyword&gt;&lt;keyword&gt;Desensitization, Immunologic/*standards&lt;/keyword&gt;&lt;keyword&gt;*Health Planning Guidelines&lt;/keyword&gt;&lt;keyword&gt;Humans&lt;/keyword&gt;&lt;keyword&gt;Patient Selection&lt;/keyword&gt;&lt;keyword&gt;Research Design&lt;/keyword&gt;&lt;keyword&gt;Respiratory Hypersensitivity/*therapy&lt;/keyword&gt;&lt;keyword&gt;Treatment Outcome&lt;/keyword&gt;&lt;/keywords&gt;&lt;dates&gt;&lt;year&gt;2007&lt;/year&gt;&lt;pub-dates&gt;&lt;date&gt;Mar&lt;/date&gt;&lt;/pub-dates&gt;&lt;/dates&gt;&lt;isbn&gt;0105-4538 (Print)&amp;#xD;0105-4538 (Linking)&lt;/isbn&gt;&lt;accession-num&gt;17298350&lt;/accession-num&gt;&lt;urls&gt;&lt;related-urls&gt;&lt;url&gt;https://www.ncbi.nlm.nih.gov/pubmed/17298350&lt;/url&gt;&lt;/related-urls&gt;&lt;/urls&gt;&lt;electronic-resource-num&gt;10.1111/j.1398-9995.2006.01312.x&lt;/electronic-resource-num&gt;&lt;/record&gt;&lt;/Cite&gt;&lt;/EndNote&gt;</w:instrText>
      </w:r>
      <w:r w:rsidR="003478A0">
        <w:rPr>
          <w:rFonts w:ascii="Times New Roman" w:hAnsi="Times New Roman" w:cs="Times New Roman"/>
          <w:sz w:val="24"/>
          <w:szCs w:val="28"/>
        </w:rPr>
        <w:fldChar w:fldCharType="separate"/>
      </w:r>
      <w:r w:rsidR="00AC7C25">
        <w:rPr>
          <w:rFonts w:ascii="Times New Roman" w:hAnsi="Times New Roman" w:cs="Times New Roman"/>
          <w:sz w:val="24"/>
          <w:szCs w:val="28"/>
        </w:rPr>
        <w:t>(3)</w:t>
      </w:r>
      <w:r w:rsidR="003478A0">
        <w:rPr>
          <w:rFonts w:ascii="Times New Roman" w:hAnsi="Times New Roman" w:cs="Times New Roman"/>
          <w:sz w:val="24"/>
          <w:szCs w:val="28"/>
        </w:rPr>
        <w:fldChar w:fldCharType="end"/>
      </w:r>
      <w:r w:rsidRPr="003C435D">
        <w:rPr>
          <w:rFonts w:ascii="Times New Roman" w:hAnsi="Times New Roman" w:cs="Times New Roman"/>
          <w:sz w:val="24"/>
          <w:szCs w:val="28"/>
        </w:rPr>
        <w:t>, a ≥20% improvement in outcome is considered to be clinically efficacious for AIT. Thus,</w:t>
      </w:r>
      <w:bookmarkStart w:id="0" w:name="_Hlk25621470"/>
      <w:r w:rsidRPr="003C435D">
        <w:rPr>
          <w:rFonts w:ascii="Times New Roman" w:hAnsi="Times New Roman" w:cs="Times New Roman"/>
          <w:sz w:val="24"/>
          <w:szCs w:val="28"/>
        </w:rPr>
        <w:t xml:space="preserve"> the clinical efficacy of AIT was defined according the percentage improvement observed in TCS at 52W compared with the baseline (W0) (with ≥20% improvement= responder; </w:t>
      </w:r>
      <w:r w:rsidRPr="003C435D">
        <w:rPr>
          <w:rFonts w:ascii="Times New Roman" w:hAnsi="Times New Roman" w:cs="Times New Roman"/>
          <w:sz w:val="24"/>
          <w:szCs w:val="28"/>
        </w:rPr>
        <w:t>＜</w:t>
      </w:r>
      <w:r w:rsidRPr="003C435D">
        <w:rPr>
          <w:rFonts w:ascii="Times New Roman" w:hAnsi="Times New Roman" w:cs="Times New Roman"/>
          <w:sz w:val="24"/>
          <w:szCs w:val="28"/>
        </w:rPr>
        <w:t xml:space="preserve">20% improvement= nonresponder). </w:t>
      </w:r>
    </w:p>
    <w:bookmarkEnd w:id="0"/>
    <w:p w:rsidR="003C435D" w:rsidRPr="003C435D" w:rsidRDefault="003C435D" w:rsidP="00CB25A0">
      <w:pPr>
        <w:spacing w:line="360" w:lineRule="auto"/>
        <w:rPr>
          <w:rFonts w:ascii="Times New Roman" w:hAnsi="Times New Roman" w:cs="Times New Roman"/>
          <w:b/>
          <w:bCs/>
          <w:sz w:val="24"/>
          <w:szCs w:val="28"/>
        </w:rPr>
      </w:pPr>
      <w:r w:rsidRPr="003C435D">
        <w:rPr>
          <w:rFonts w:ascii="Times New Roman" w:hAnsi="Times New Roman" w:cs="Times New Roman"/>
          <w:b/>
          <w:bCs/>
          <w:sz w:val="24"/>
          <w:szCs w:val="28"/>
        </w:rPr>
        <w:t>Statistical analysis</w:t>
      </w:r>
    </w:p>
    <w:p w:rsidR="003C435D" w:rsidRDefault="003C435D" w:rsidP="00CB25A0">
      <w:pPr>
        <w:spacing w:line="360" w:lineRule="auto"/>
        <w:rPr>
          <w:rFonts w:ascii="Times New Roman" w:hAnsi="Times New Roman" w:cs="Times New Roman"/>
          <w:sz w:val="24"/>
          <w:szCs w:val="28"/>
        </w:rPr>
      </w:pPr>
      <w:r w:rsidRPr="003C435D">
        <w:rPr>
          <w:rFonts w:ascii="Times New Roman" w:hAnsi="Times New Roman" w:cs="Times New Roman"/>
          <w:sz w:val="24"/>
          <w:szCs w:val="28"/>
        </w:rPr>
        <w:t xml:space="preserve">Data were analyzed using SPSS V.19 software package (IBM Corp., Armonk, </w:t>
      </w:r>
      <w:proofErr w:type="spellStart"/>
      <w:r w:rsidRPr="003C435D">
        <w:rPr>
          <w:rFonts w:ascii="Times New Roman" w:hAnsi="Times New Roman" w:cs="Times New Roman"/>
          <w:sz w:val="24"/>
          <w:szCs w:val="28"/>
        </w:rPr>
        <w:t>NewYork</w:t>
      </w:r>
      <w:proofErr w:type="spellEnd"/>
      <w:r w:rsidRPr="003C435D">
        <w:rPr>
          <w:rFonts w:ascii="Times New Roman" w:hAnsi="Times New Roman" w:cs="Times New Roman"/>
          <w:sz w:val="24"/>
          <w:szCs w:val="28"/>
        </w:rPr>
        <w:t xml:space="preserve">, USA) and </w:t>
      </w:r>
      <w:proofErr w:type="spellStart"/>
      <w:r w:rsidRPr="003C435D">
        <w:rPr>
          <w:rFonts w:ascii="Times New Roman" w:hAnsi="Times New Roman" w:cs="Times New Roman"/>
          <w:sz w:val="24"/>
          <w:szCs w:val="28"/>
        </w:rPr>
        <w:t>MedCalc</w:t>
      </w:r>
      <w:proofErr w:type="spellEnd"/>
      <w:r w:rsidRPr="003C435D">
        <w:rPr>
          <w:rFonts w:ascii="Times New Roman" w:hAnsi="Times New Roman" w:cs="Times New Roman"/>
          <w:sz w:val="24"/>
          <w:szCs w:val="28"/>
        </w:rPr>
        <w:t xml:space="preserve"> </w:t>
      </w:r>
      <w:proofErr w:type="spellStart"/>
      <w:r w:rsidRPr="003C435D">
        <w:rPr>
          <w:rFonts w:ascii="Times New Roman" w:hAnsi="Times New Roman" w:cs="Times New Roman"/>
          <w:sz w:val="24"/>
          <w:szCs w:val="28"/>
        </w:rPr>
        <w:t>V.15.2.2</w:t>
      </w:r>
      <w:proofErr w:type="spellEnd"/>
      <w:r w:rsidRPr="003C435D">
        <w:rPr>
          <w:rFonts w:ascii="Times New Roman" w:hAnsi="Times New Roman" w:cs="Times New Roman"/>
          <w:sz w:val="24"/>
          <w:szCs w:val="28"/>
        </w:rPr>
        <w:t xml:space="preserve"> (</w:t>
      </w:r>
      <w:proofErr w:type="spellStart"/>
      <w:r w:rsidRPr="003C435D">
        <w:rPr>
          <w:rFonts w:ascii="Times New Roman" w:hAnsi="Times New Roman" w:cs="Times New Roman"/>
          <w:sz w:val="24"/>
          <w:szCs w:val="28"/>
        </w:rPr>
        <w:t>MedCalc</w:t>
      </w:r>
      <w:proofErr w:type="spellEnd"/>
      <w:r w:rsidRPr="003C435D">
        <w:rPr>
          <w:rFonts w:ascii="Times New Roman" w:hAnsi="Times New Roman" w:cs="Times New Roman"/>
          <w:sz w:val="24"/>
          <w:szCs w:val="28"/>
        </w:rPr>
        <w:t xml:space="preserve"> Software, </w:t>
      </w:r>
      <w:proofErr w:type="spellStart"/>
      <w:r w:rsidRPr="003C435D">
        <w:rPr>
          <w:rFonts w:ascii="Times New Roman" w:hAnsi="Times New Roman" w:cs="Times New Roman"/>
          <w:sz w:val="24"/>
          <w:szCs w:val="28"/>
        </w:rPr>
        <w:t>Mariakerke</w:t>
      </w:r>
      <w:proofErr w:type="spellEnd"/>
      <w:r w:rsidRPr="003C435D">
        <w:rPr>
          <w:rFonts w:ascii="Times New Roman" w:hAnsi="Times New Roman" w:cs="Times New Roman"/>
          <w:sz w:val="24"/>
          <w:szCs w:val="28"/>
        </w:rPr>
        <w:t xml:space="preserve">, Belgium). Descriptive statistics were used for general information of the study population. For normally distributed data the results were expressed as mean ± standard deviation (SD). Paired Student t test or Wilcoxon test were used to analyze the significance of </w:t>
      </w:r>
      <w:r w:rsidRPr="003C435D">
        <w:rPr>
          <w:rFonts w:ascii="Times New Roman" w:hAnsi="Times New Roman" w:cs="Times New Roman"/>
          <w:sz w:val="24"/>
          <w:szCs w:val="28"/>
        </w:rPr>
        <w:lastRenderedPageBreak/>
        <w:t xml:space="preserve">differences in symptoms and medication scores between baseline and at different time points, for normally and non-normally distributed data. </w:t>
      </w:r>
      <w:bookmarkStart w:id="1" w:name="_Hlk25622730"/>
      <w:r w:rsidRPr="003C435D">
        <w:rPr>
          <w:rFonts w:ascii="Times New Roman" w:hAnsi="Times New Roman" w:cs="Times New Roman"/>
          <w:sz w:val="24"/>
          <w:szCs w:val="28"/>
        </w:rPr>
        <w:t>Receiver operating characteristic</w:t>
      </w:r>
      <w:bookmarkEnd w:id="1"/>
      <w:r w:rsidRPr="003C435D">
        <w:rPr>
          <w:rFonts w:ascii="Times New Roman" w:hAnsi="Times New Roman" w:cs="Times New Roman"/>
          <w:sz w:val="24"/>
          <w:szCs w:val="28"/>
        </w:rPr>
        <w:t xml:space="preserve"> (ROC) curves were used to assess the predictive value of clinical responsiveness. Correlations were assessed using Spearman correlation. A value of P&lt;0.05 was considered to be significant.</w:t>
      </w:r>
    </w:p>
    <w:p w:rsidR="00A2719C" w:rsidRDefault="00A2719C">
      <w:pPr>
        <w:widowControl/>
        <w:jc w:val="left"/>
        <w:rPr>
          <w:rFonts w:ascii="Times New Roman" w:hAnsi="Times New Roman" w:cs="Times New Roman"/>
          <w:sz w:val="24"/>
          <w:szCs w:val="28"/>
        </w:rPr>
      </w:pPr>
      <w:r>
        <w:rPr>
          <w:rFonts w:ascii="Times New Roman" w:hAnsi="Times New Roman" w:cs="Times New Roman"/>
          <w:sz w:val="24"/>
          <w:szCs w:val="28"/>
        </w:rPr>
        <w:br w:type="page"/>
      </w:r>
    </w:p>
    <w:p w:rsidR="00A2719C" w:rsidRPr="00A2719C" w:rsidRDefault="00A2719C" w:rsidP="00A2719C">
      <w:pPr>
        <w:widowControl/>
        <w:spacing w:after="200" w:line="480" w:lineRule="auto"/>
        <w:contextualSpacing/>
        <w:outlineLvl w:val="0"/>
        <w:rPr>
          <w:rFonts w:ascii="Times New Roman" w:hAnsi="Times New Roman" w:cs="Times New Roman"/>
          <w:b/>
          <w:kern w:val="0"/>
          <w:sz w:val="24"/>
          <w:szCs w:val="24"/>
          <w:lang w:eastAsia="en-US"/>
        </w:rPr>
      </w:pPr>
      <w:r w:rsidRPr="00A2719C">
        <w:rPr>
          <w:rFonts w:ascii="Times New Roman" w:hAnsi="Times New Roman" w:cs="Times New Roman"/>
          <w:b/>
          <w:kern w:val="0"/>
          <w:sz w:val="24"/>
          <w:szCs w:val="24"/>
          <w:lang w:eastAsia="en-US"/>
        </w:rPr>
        <w:lastRenderedPageBreak/>
        <w:t>RESULTS</w:t>
      </w:r>
    </w:p>
    <w:p w:rsidR="00A2719C" w:rsidRPr="00A2719C" w:rsidRDefault="00A2719C" w:rsidP="00A2719C">
      <w:pPr>
        <w:widowControl/>
        <w:spacing w:after="200" w:line="480" w:lineRule="auto"/>
        <w:contextualSpacing/>
        <w:rPr>
          <w:rFonts w:ascii="Times New Roman" w:hAnsi="Times New Roman" w:cs="Times New Roman"/>
          <w:b/>
          <w:kern w:val="0"/>
          <w:sz w:val="24"/>
          <w:szCs w:val="24"/>
          <w:lang w:eastAsia="en-US"/>
        </w:rPr>
      </w:pPr>
      <w:r w:rsidRPr="00A2719C">
        <w:rPr>
          <w:rFonts w:ascii="Times New Roman" w:hAnsi="Times New Roman" w:cs="Times New Roman"/>
          <w:b/>
          <w:kern w:val="0"/>
          <w:sz w:val="24"/>
          <w:szCs w:val="24"/>
          <w:lang w:eastAsia="en-US"/>
        </w:rPr>
        <w:t>Demographic and Clinical Characteristics of the Study Population at baseline</w:t>
      </w:r>
    </w:p>
    <w:p w:rsidR="00A2719C" w:rsidRDefault="00A2719C" w:rsidP="00A2719C">
      <w:pPr>
        <w:widowControl/>
        <w:spacing w:after="200" w:line="480" w:lineRule="auto"/>
        <w:contextualSpacing/>
        <w:rPr>
          <w:rFonts w:ascii="Times New Roman" w:hAnsi="Times New Roman" w:cs="Times New Roman"/>
          <w:bCs/>
          <w:kern w:val="0"/>
          <w:sz w:val="24"/>
          <w:szCs w:val="24"/>
          <w:lang w:eastAsia="en-US"/>
        </w:rPr>
      </w:pPr>
      <w:r w:rsidRPr="00A2719C">
        <w:rPr>
          <w:rFonts w:ascii="Times New Roman" w:hAnsi="Times New Roman" w:cs="Times New Roman"/>
          <w:bCs/>
          <w:kern w:val="0"/>
          <w:sz w:val="24"/>
          <w:szCs w:val="24"/>
          <w:lang w:eastAsia="en-US"/>
        </w:rPr>
        <w:t xml:space="preserve">The demographic and clinical characteristics of the study population are shown in Table </w:t>
      </w:r>
      <w:r>
        <w:rPr>
          <w:rFonts w:ascii="Times New Roman" w:hAnsi="Times New Roman" w:cs="Times New Roman"/>
          <w:bCs/>
          <w:kern w:val="0"/>
          <w:sz w:val="24"/>
          <w:szCs w:val="24"/>
          <w:lang w:eastAsia="en-US"/>
        </w:rPr>
        <w:t>S</w:t>
      </w:r>
      <w:r w:rsidRPr="00A2719C">
        <w:rPr>
          <w:rFonts w:ascii="Times New Roman" w:hAnsi="Times New Roman" w:cs="Times New Roman"/>
          <w:bCs/>
          <w:kern w:val="0"/>
          <w:sz w:val="24"/>
          <w:szCs w:val="24"/>
          <w:lang w:eastAsia="en-US"/>
        </w:rPr>
        <w:t xml:space="preserve">1. All 18 participants completed the 52-week SCIT treatment. The mean age of the patients was 30.17±9.67 years. Only 1 patient had history of asthma. There was no significant difference in patient number regarding gender. The baseline levels of </w:t>
      </w:r>
      <w:proofErr w:type="spellStart"/>
      <w:r w:rsidRPr="00A2719C">
        <w:rPr>
          <w:rFonts w:ascii="Times New Roman" w:hAnsi="Times New Roman" w:cs="Times New Roman"/>
          <w:bCs/>
          <w:kern w:val="0"/>
          <w:sz w:val="24"/>
          <w:szCs w:val="24"/>
          <w:lang w:eastAsia="en-US"/>
        </w:rPr>
        <w:t>sIgE</w:t>
      </w:r>
      <w:proofErr w:type="spellEnd"/>
      <w:r w:rsidRPr="00A2719C">
        <w:rPr>
          <w:rFonts w:ascii="Times New Roman" w:hAnsi="Times New Roman" w:cs="Times New Roman"/>
          <w:bCs/>
          <w:kern w:val="0"/>
          <w:sz w:val="24"/>
          <w:szCs w:val="24"/>
          <w:lang w:eastAsia="en-US"/>
        </w:rPr>
        <w:t xml:space="preserve"> to </w:t>
      </w:r>
      <w:proofErr w:type="spellStart"/>
      <w:r w:rsidRPr="00A2719C">
        <w:rPr>
          <w:rFonts w:ascii="Times New Roman" w:hAnsi="Times New Roman" w:cs="Times New Roman"/>
          <w:bCs/>
          <w:kern w:val="0"/>
          <w:sz w:val="24"/>
          <w:szCs w:val="24"/>
          <w:lang w:eastAsia="en-US"/>
        </w:rPr>
        <w:t>Der</w:t>
      </w:r>
      <w:proofErr w:type="spellEnd"/>
      <w:r w:rsidRPr="00A2719C">
        <w:rPr>
          <w:rFonts w:ascii="Times New Roman" w:hAnsi="Times New Roman" w:cs="Times New Roman"/>
          <w:bCs/>
          <w:kern w:val="0"/>
          <w:sz w:val="24"/>
          <w:szCs w:val="24"/>
          <w:lang w:eastAsia="en-US"/>
        </w:rPr>
        <w:t xml:space="preserve"> p and Der f were 18.61±14.85 and 31.56±19.94, respectively; and of sIgG4 to Der p and Der f were 4.11±4.42 and 5.94±5.79, respectively.</w:t>
      </w:r>
    </w:p>
    <w:p w:rsidR="00A2719C" w:rsidRPr="00A2719C" w:rsidRDefault="00A2719C" w:rsidP="00A2719C">
      <w:pPr>
        <w:widowControl/>
        <w:spacing w:after="200" w:line="480" w:lineRule="auto"/>
        <w:contextualSpacing/>
        <w:rPr>
          <w:rFonts w:ascii="Times New Roman" w:hAnsi="Times New Roman" w:cs="Times New Roman"/>
          <w:bCs/>
          <w:kern w:val="0"/>
          <w:sz w:val="24"/>
          <w:szCs w:val="24"/>
          <w:lang w:eastAsia="en-US"/>
        </w:rPr>
      </w:pPr>
      <w:r w:rsidRPr="00A2719C">
        <w:rPr>
          <w:rFonts w:ascii="Times New Roman" w:hAnsi="Times New Roman" w:cs="Times New Roman"/>
          <w:bCs/>
          <w:kern w:val="0"/>
          <w:sz w:val="24"/>
          <w:szCs w:val="24"/>
          <w:lang w:eastAsia="en-US"/>
        </w:rPr>
        <w:t>Der p and Der f were 4.11±4.42 and 5.94±5.79, respectively.</w:t>
      </w:r>
    </w:p>
    <w:p w:rsidR="00A2719C" w:rsidRPr="00A2719C" w:rsidRDefault="00A2719C" w:rsidP="00A2719C">
      <w:pPr>
        <w:widowControl/>
        <w:spacing w:after="200" w:line="480" w:lineRule="auto"/>
        <w:contextualSpacing/>
        <w:outlineLvl w:val="0"/>
        <w:rPr>
          <w:rFonts w:ascii="Times New Roman" w:hAnsi="Times New Roman" w:cs="Times New Roman"/>
          <w:b/>
          <w:kern w:val="0"/>
          <w:sz w:val="24"/>
          <w:szCs w:val="24"/>
          <w:lang w:eastAsia="en-US"/>
        </w:rPr>
      </w:pPr>
      <w:r w:rsidRPr="00A2719C">
        <w:rPr>
          <w:rFonts w:ascii="Times New Roman" w:hAnsi="Times New Roman" w:cs="Times New Roman"/>
          <w:b/>
          <w:kern w:val="0"/>
          <w:sz w:val="24"/>
          <w:szCs w:val="24"/>
          <w:lang w:eastAsia="en-US"/>
        </w:rPr>
        <w:t>Clinical evaluation</w:t>
      </w:r>
    </w:p>
    <w:p w:rsidR="00A2719C" w:rsidRPr="00A2719C" w:rsidRDefault="00A2719C" w:rsidP="00A2719C">
      <w:pPr>
        <w:widowControl/>
        <w:spacing w:after="200" w:line="480" w:lineRule="auto"/>
        <w:contextualSpacing/>
        <w:outlineLvl w:val="0"/>
        <w:rPr>
          <w:rFonts w:ascii="Times New Roman" w:hAnsi="Times New Roman" w:cs="Times New Roman"/>
          <w:bCs/>
          <w:kern w:val="0"/>
          <w:sz w:val="24"/>
          <w:szCs w:val="24"/>
          <w:lang w:eastAsia="en-US"/>
        </w:rPr>
      </w:pPr>
      <w:r w:rsidRPr="00A2719C">
        <w:rPr>
          <w:rFonts w:ascii="Times New Roman" w:hAnsi="Times New Roman" w:cs="Times New Roman"/>
          <w:bCs/>
          <w:kern w:val="0"/>
          <w:sz w:val="24"/>
          <w:szCs w:val="24"/>
          <w:lang w:eastAsia="en-US"/>
        </w:rPr>
        <w:t>Except for nasal congestion, the other 3 common nasal symptoms (rhinorrhea, itching and sneezing) and gritty eyes were significantly improved (0.78±0.73 versus 1.50±1.04, P=0.03; 1.22±1.00 versus 1.72±1.18, P=0.047; 1.06±0.80 versus 1.83±0.99, P=0.002; 0.83±0.71 versus 1.56±1.50, P=0.034; respectively) at the end of the 52-week SCIT treatment compared to the baseline (W0) (Figure.</w:t>
      </w:r>
      <w:r>
        <w:rPr>
          <w:rFonts w:ascii="Times New Roman" w:hAnsi="Times New Roman" w:cs="Times New Roman"/>
          <w:bCs/>
          <w:kern w:val="0"/>
          <w:sz w:val="24"/>
          <w:szCs w:val="24"/>
          <w:lang w:eastAsia="en-US"/>
        </w:rPr>
        <w:t>S</w:t>
      </w:r>
      <w:r w:rsidRPr="00A2719C">
        <w:rPr>
          <w:rFonts w:ascii="Times New Roman" w:hAnsi="Times New Roman" w:cs="Times New Roman"/>
          <w:bCs/>
          <w:kern w:val="0"/>
          <w:sz w:val="24"/>
          <w:szCs w:val="24"/>
          <w:lang w:eastAsia="en-US"/>
        </w:rPr>
        <w:t xml:space="preserve">2). Nasal congestion was found to significantly decrease at the W35 compared with W0 (0.94±0.83 versus 1.72±1.13, P=0.02). At W7, nasal itching and sneezing were shown to be the earliest effectively alleviated among the 6 nasal conjunctivitis symptoms (0.94±0.90 versus 1.72±1.18, P=0.027; 0.94±0.75, P=0.0078; respectively). However, no significant difference could be found in watery eyes (Figure </w:t>
      </w:r>
      <w:r>
        <w:rPr>
          <w:rFonts w:ascii="Times New Roman" w:hAnsi="Times New Roman" w:cs="Times New Roman"/>
          <w:bCs/>
          <w:kern w:val="0"/>
          <w:sz w:val="24"/>
          <w:szCs w:val="24"/>
          <w:lang w:eastAsia="en-US"/>
        </w:rPr>
        <w:t>S</w:t>
      </w:r>
      <w:r w:rsidRPr="00A2719C">
        <w:rPr>
          <w:rFonts w:ascii="Times New Roman" w:hAnsi="Times New Roman" w:cs="Times New Roman"/>
          <w:bCs/>
          <w:kern w:val="0"/>
          <w:sz w:val="24"/>
          <w:szCs w:val="24"/>
          <w:lang w:eastAsia="en-US"/>
        </w:rPr>
        <w:t xml:space="preserve">2F) and DMS during the 1-year treatment (Figure </w:t>
      </w:r>
      <w:r>
        <w:rPr>
          <w:rFonts w:ascii="Times New Roman" w:hAnsi="Times New Roman" w:cs="Times New Roman"/>
          <w:bCs/>
          <w:kern w:val="0"/>
          <w:sz w:val="24"/>
          <w:szCs w:val="24"/>
          <w:lang w:eastAsia="en-US"/>
        </w:rPr>
        <w:t>S</w:t>
      </w:r>
      <w:r w:rsidRPr="00A2719C">
        <w:rPr>
          <w:rFonts w:ascii="Times New Roman" w:hAnsi="Times New Roman" w:cs="Times New Roman"/>
          <w:bCs/>
          <w:kern w:val="0"/>
          <w:sz w:val="24"/>
          <w:szCs w:val="24"/>
          <w:lang w:eastAsia="en-US"/>
        </w:rPr>
        <w:t xml:space="preserve">3A). Combining symptoms and medication usage, TCS (Figure </w:t>
      </w:r>
      <w:r>
        <w:rPr>
          <w:rFonts w:ascii="Times New Roman" w:hAnsi="Times New Roman" w:cs="Times New Roman"/>
          <w:bCs/>
          <w:kern w:val="0"/>
          <w:sz w:val="24"/>
          <w:szCs w:val="24"/>
          <w:lang w:eastAsia="en-US"/>
        </w:rPr>
        <w:t>S</w:t>
      </w:r>
      <w:r w:rsidRPr="00A2719C">
        <w:rPr>
          <w:rFonts w:ascii="Times New Roman" w:hAnsi="Times New Roman" w:cs="Times New Roman"/>
          <w:bCs/>
          <w:kern w:val="0"/>
          <w:sz w:val="24"/>
          <w:szCs w:val="24"/>
          <w:lang w:eastAsia="en-US"/>
        </w:rPr>
        <w:t xml:space="preserve">3B) was found to significantly decrease at W35 and W52 compared with W0 </w:t>
      </w:r>
      <w:r w:rsidRPr="00A2719C">
        <w:rPr>
          <w:rFonts w:ascii="Times New Roman" w:hAnsi="Times New Roman" w:cs="Times New Roman"/>
          <w:bCs/>
          <w:kern w:val="0"/>
          <w:sz w:val="24"/>
          <w:szCs w:val="24"/>
          <w:lang w:eastAsia="en-US"/>
        </w:rPr>
        <w:lastRenderedPageBreak/>
        <w:t>(1.33±1.08, 1.50±0.99, respectively; versus 2.20±1.24 (W0); P=0.012 and 0.042, respectively).</w:t>
      </w:r>
    </w:p>
    <w:p w:rsidR="00A2719C" w:rsidRPr="00A2719C" w:rsidRDefault="00A2719C" w:rsidP="00A2719C">
      <w:pPr>
        <w:widowControl/>
        <w:spacing w:after="200" w:line="480" w:lineRule="auto"/>
        <w:contextualSpacing/>
        <w:rPr>
          <w:rFonts w:ascii="Times New Roman" w:hAnsi="Times New Roman" w:cs="Times New Roman"/>
          <w:bCs/>
          <w:kern w:val="0"/>
          <w:sz w:val="24"/>
          <w:szCs w:val="24"/>
          <w:lang w:eastAsia="en-US"/>
        </w:rPr>
      </w:pPr>
    </w:p>
    <w:p w:rsidR="00A2719C" w:rsidRPr="00A2719C" w:rsidRDefault="00A2719C" w:rsidP="00CB25A0">
      <w:pPr>
        <w:spacing w:line="360" w:lineRule="auto"/>
        <w:rPr>
          <w:rFonts w:ascii="Times New Roman" w:hAnsi="Times New Roman" w:cs="Times New Roman"/>
          <w:sz w:val="24"/>
          <w:szCs w:val="28"/>
        </w:rPr>
      </w:pPr>
    </w:p>
    <w:p w:rsidR="00AC7C25" w:rsidRDefault="00AC7C25">
      <w:pPr>
        <w:widowControl/>
        <w:jc w:val="left"/>
        <w:rPr>
          <w:rFonts w:ascii="Times New Roman" w:hAnsi="Times New Roman" w:cs="Times New Roman"/>
          <w:sz w:val="24"/>
          <w:szCs w:val="28"/>
        </w:rPr>
      </w:pPr>
      <w:r>
        <w:rPr>
          <w:rFonts w:ascii="Times New Roman" w:hAnsi="Times New Roman" w:cs="Times New Roman"/>
          <w:sz w:val="24"/>
          <w:szCs w:val="28"/>
        </w:rPr>
        <w:br w:type="page"/>
      </w:r>
    </w:p>
    <w:p w:rsidR="00AC7C25" w:rsidRDefault="00AC7C25" w:rsidP="0060263E">
      <w:pPr>
        <w:spacing w:line="480" w:lineRule="auto"/>
        <w:rPr>
          <w:rFonts w:ascii="Times New Roman" w:hAnsi="Times New Roman" w:cs="Times New Roman"/>
          <w:b/>
          <w:bCs/>
          <w:sz w:val="24"/>
          <w:szCs w:val="28"/>
        </w:rPr>
      </w:pPr>
      <w:r>
        <w:rPr>
          <w:rFonts w:ascii="Times New Roman" w:hAnsi="Times New Roman" w:cs="Times New Roman" w:hint="eastAsia"/>
          <w:b/>
          <w:bCs/>
          <w:sz w:val="24"/>
          <w:szCs w:val="28"/>
        </w:rPr>
        <w:lastRenderedPageBreak/>
        <w:t>R</w:t>
      </w:r>
      <w:r>
        <w:rPr>
          <w:rFonts w:ascii="Times New Roman" w:hAnsi="Times New Roman" w:cs="Times New Roman"/>
          <w:b/>
          <w:bCs/>
          <w:sz w:val="24"/>
          <w:szCs w:val="28"/>
        </w:rPr>
        <w:t>eferences</w:t>
      </w:r>
    </w:p>
    <w:p w:rsidR="00AC7C25" w:rsidRPr="00AC7C25" w:rsidRDefault="003478A0" w:rsidP="0060263E">
      <w:pPr>
        <w:pStyle w:val="EndNoteBibliography"/>
        <w:spacing w:line="480" w:lineRule="auto"/>
        <w:rPr>
          <w:rFonts w:ascii="Times New Roman" w:hAnsi="Times New Roman" w:cs="Times New Roman"/>
          <w:noProof w:val="0"/>
          <w:sz w:val="24"/>
          <w:szCs w:val="24"/>
        </w:rPr>
      </w:pPr>
      <w:r w:rsidRPr="003478A0">
        <w:rPr>
          <w:rFonts w:ascii="Times New Roman" w:hAnsi="Times New Roman" w:cs="Times New Roman"/>
          <w:noProof w:val="0"/>
          <w:sz w:val="24"/>
          <w:szCs w:val="24"/>
        </w:rPr>
        <w:fldChar w:fldCharType="begin"/>
      </w:r>
      <w:r w:rsidR="00AC7C25" w:rsidRPr="00AC7C25">
        <w:rPr>
          <w:rFonts w:ascii="Times New Roman" w:hAnsi="Times New Roman" w:cs="Times New Roman"/>
          <w:noProof w:val="0"/>
          <w:sz w:val="24"/>
          <w:szCs w:val="24"/>
        </w:rPr>
        <w:instrText xml:space="preserve"> ADDIN EN.REFLIST </w:instrText>
      </w:r>
      <w:r w:rsidRPr="003478A0">
        <w:rPr>
          <w:rFonts w:ascii="Times New Roman" w:hAnsi="Times New Roman" w:cs="Times New Roman"/>
          <w:noProof w:val="0"/>
          <w:sz w:val="24"/>
          <w:szCs w:val="24"/>
        </w:rPr>
        <w:fldChar w:fldCharType="separate"/>
      </w:r>
      <w:r w:rsidR="00AC7C25" w:rsidRPr="00AC7C25">
        <w:rPr>
          <w:rFonts w:ascii="Times New Roman" w:hAnsi="Times New Roman" w:cs="Times New Roman"/>
          <w:noProof w:val="0"/>
          <w:sz w:val="24"/>
          <w:szCs w:val="24"/>
        </w:rPr>
        <w:t>1.</w:t>
      </w:r>
      <w:r w:rsidR="00AC7C25" w:rsidRPr="00AC7C25">
        <w:rPr>
          <w:rFonts w:ascii="Times New Roman" w:hAnsi="Times New Roman" w:cs="Times New Roman"/>
          <w:noProof w:val="0"/>
          <w:sz w:val="24"/>
          <w:szCs w:val="24"/>
        </w:rPr>
        <w:tab/>
        <w:t xml:space="preserve">Brożek JL, Bousquet J, Agache I, Agarwal A, Bachert C, Bosnic-Anticevich S, et al. Allergic Rhinitis and its Impact on Asthma (ARIA) guidelines—2016 revision. </w:t>
      </w:r>
      <w:r w:rsidR="00AC7C25" w:rsidRPr="00AC7C25">
        <w:rPr>
          <w:rFonts w:ascii="Times New Roman" w:hAnsi="Times New Roman" w:cs="Times New Roman"/>
          <w:i/>
          <w:noProof w:val="0"/>
          <w:sz w:val="24"/>
          <w:szCs w:val="24"/>
        </w:rPr>
        <w:t>Journal of Allergy &amp; Clinical Immunology</w:t>
      </w:r>
      <w:r w:rsidR="00AC7C25" w:rsidRPr="00AC7C25">
        <w:rPr>
          <w:rFonts w:ascii="Times New Roman" w:hAnsi="Times New Roman" w:cs="Times New Roman"/>
          <w:noProof w:val="0"/>
          <w:sz w:val="24"/>
          <w:szCs w:val="24"/>
        </w:rPr>
        <w:t xml:space="preserve"> 2017;</w:t>
      </w:r>
      <w:r w:rsidR="00AC7C25" w:rsidRPr="00AC7C25">
        <w:rPr>
          <w:rFonts w:ascii="Times New Roman" w:hAnsi="Times New Roman" w:cs="Times New Roman"/>
          <w:b/>
          <w:noProof w:val="0"/>
          <w:sz w:val="24"/>
          <w:szCs w:val="24"/>
        </w:rPr>
        <w:t>140</w:t>
      </w:r>
      <w:r w:rsidR="00AC7C25" w:rsidRPr="00AC7C25">
        <w:rPr>
          <w:rFonts w:ascii="Times New Roman" w:hAnsi="Times New Roman" w:cs="Times New Roman"/>
          <w:noProof w:val="0"/>
          <w:sz w:val="24"/>
          <w:szCs w:val="24"/>
        </w:rPr>
        <w:t>(4):950.</w:t>
      </w:r>
    </w:p>
    <w:p w:rsidR="00AC7C25" w:rsidRPr="00AC7C25" w:rsidRDefault="00AC7C25" w:rsidP="0060263E">
      <w:pPr>
        <w:pStyle w:val="EndNoteBibliography"/>
        <w:spacing w:line="480" w:lineRule="auto"/>
        <w:rPr>
          <w:rFonts w:ascii="Times New Roman" w:hAnsi="Times New Roman" w:cs="Times New Roman"/>
          <w:noProof w:val="0"/>
          <w:sz w:val="24"/>
          <w:szCs w:val="24"/>
        </w:rPr>
      </w:pPr>
      <w:r w:rsidRPr="00AC7C25">
        <w:rPr>
          <w:rFonts w:ascii="Times New Roman" w:hAnsi="Times New Roman" w:cs="Times New Roman"/>
          <w:noProof w:val="0"/>
          <w:sz w:val="24"/>
          <w:szCs w:val="24"/>
        </w:rPr>
        <w:t>2.</w:t>
      </w:r>
      <w:r w:rsidRPr="00AC7C25">
        <w:rPr>
          <w:rFonts w:ascii="Times New Roman" w:hAnsi="Times New Roman" w:cs="Times New Roman"/>
          <w:noProof w:val="0"/>
          <w:sz w:val="24"/>
          <w:szCs w:val="24"/>
        </w:rPr>
        <w:tab/>
        <w:t xml:space="preserve">Baris S, Kiykim A, Ozen A, Tulunay A, Karakocaydiner E, Barlan IB. Vitamin D as an adjunct to subcutaneous allergen immunotherapy in asthmatic children sensitized to house dust mite. </w:t>
      </w:r>
      <w:r w:rsidRPr="00AC7C25">
        <w:rPr>
          <w:rFonts w:ascii="Times New Roman" w:hAnsi="Times New Roman" w:cs="Times New Roman"/>
          <w:i/>
          <w:noProof w:val="0"/>
          <w:sz w:val="24"/>
          <w:szCs w:val="24"/>
        </w:rPr>
        <w:t>Allergy</w:t>
      </w:r>
      <w:r w:rsidRPr="00AC7C25">
        <w:rPr>
          <w:rFonts w:ascii="Times New Roman" w:hAnsi="Times New Roman" w:cs="Times New Roman"/>
          <w:noProof w:val="0"/>
          <w:sz w:val="24"/>
          <w:szCs w:val="24"/>
        </w:rPr>
        <w:t xml:space="preserve"> 2014;</w:t>
      </w:r>
      <w:r w:rsidRPr="00AC7C25">
        <w:rPr>
          <w:rFonts w:ascii="Times New Roman" w:hAnsi="Times New Roman" w:cs="Times New Roman"/>
          <w:b/>
          <w:noProof w:val="0"/>
          <w:sz w:val="24"/>
          <w:szCs w:val="24"/>
        </w:rPr>
        <w:t>69</w:t>
      </w:r>
      <w:r w:rsidRPr="00AC7C25">
        <w:rPr>
          <w:rFonts w:ascii="Times New Roman" w:hAnsi="Times New Roman" w:cs="Times New Roman"/>
          <w:noProof w:val="0"/>
          <w:sz w:val="24"/>
          <w:szCs w:val="24"/>
        </w:rPr>
        <w:t>(2):246–253.</w:t>
      </w:r>
    </w:p>
    <w:p w:rsidR="00AC7C25" w:rsidRPr="00AC7C25" w:rsidRDefault="00AC7C25" w:rsidP="0060263E">
      <w:pPr>
        <w:pStyle w:val="EndNoteBibliography"/>
        <w:spacing w:line="480" w:lineRule="auto"/>
        <w:rPr>
          <w:rFonts w:ascii="Times New Roman" w:hAnsi="Times New Roman" w:cs="Times New Roman"/>
          <w:noProof w:val="0"/>
          <w:sz w:val="24"/>
          <w:szCs w:val="24"/>
        </w:rPr>
      </w:pPr>
      <w:r w:rsidRPr="00AC7C25">
        <w:rPr>
          <w:rFonts w:ascii="Times New Roman" w:hAnsi="Times New Roman" w:cs="Times New Roman"/>
          <w:noProof w:val="0"/>
          <w:sz w:val="24"/>
          <w:szCs w:val="24"/>
        </w:rPr>
        <w:t>3.</w:t>
      </w:r>
      <w:r w:rsidRPr="00AC7C25">
        <w:rPr>
          <w:rFonts w:ascii="Times New Roman" w:hAnsi="Times New Roman" w:cs="Times New Roman"/>
          <w:noProof w:val="0"/>
          <w:sz w:val="24"/>
          <w:szCs w:val="24"/>
        </w:rPr>
        <w:tab/>
        <w:t xml:space="preserve">Canonica GW, Baena-Cagnani CE, Bousquet J, Bousquet PJ, Lockey RF, Malling HJ, et al. Recommendations for standardization of clinical trials with Allergen Specific Immunotherapy for respiratory allergy. A statement of a World Allergy Organization (WAO) taskforce. </w:t>
      </w:r>
      <w:r w:rsidRPr="00AC7C25">
        <w:rPr>
          <w:rFonts w:ascii="Times New Roman" w:hAnsi="Times New Roman" w:cs="Times New Roman"/>
          <w:i/>
          <w:noProof w:val="0"/>
          <w:sz w:val="24"/>
          <w:szCs w:val="24"/>
        </w:rPr>
        <w:t>Allergy</w:t>
      </w:r>
      <w:r w:rsidRPr="00AC7C25">
        <w:rPr>
          <w:rFonts w:ascii="Times New Roman" w:hAnsi="Times New Roman" w:cs="Times New Roman"/>
          <w:noProof w:val="0"/>
          <w:sz w:val="24"/>
          <w:szCs w:val="24"/>
        </w:rPr>
        <w:t xml:space="preserve"> 2007;</w:t>
      </w:r>
      <w:r w:rsidRPr="00AC7C25">
        <w:rPr>
          <w:rFonts w:ascii="Times New Roman" w:hAnsi="Times New Roman" w:cs="Times New Roman"/>
          <w:b/>
          <w:noProof w:val="0"/>
          <w:sz w:val="24"/>
          <w:szCs w:val="24"/>
        </w:rPr>
        <w:t>62</w:t>
      </w:r>
      <w:r w:rsidRPr="00AC7C25">
        <w:rPr>
          <w:rFonts w:ascii="Times New Roman" w:hAnsi="Times New Roman" w:cs="Times New Roman"/>
          <w:noProof w:val="0"/>
          <w:sz w:val="24"/>
          <w:szCs w:val="24"/>
        </w:rPr>
        <w:t>(3):317-324.</w:t>
      </w:r>
    </w:p>
    <w:p w:rsidR="00AC7C25" w:rsidRPr="00AC7C25" w:rsidRDefault="003478A0" w:rsidP="0060263E">
      <w:pPr>
        <w:spacing w:line="480" w:lineRule="auto"/>
        <w:rPr>
          <w:rFonts w:ascii="Times New Roman" w:hAnsi="Times New Roman" w:cs="Times New Roman"/>
          <w:b/>
          <w:bCs/>
          <w:sz w:val="24"/>
          <w:szCs w:val="28"/>
        </w:rPr>
      </w:pPr>
      <w:r w:rsidRPr="00AC7C25">
        <w:rPr>
          <w:rFonts w:ascii="Times New Roman" w:hAnsi="Times New Roman" w:cs="Times New Roman"/>
          <w:sz w:val="24"/>
          <w:szCs w:val="24"/>
        </w:rPr>
        <w:fldChar w:fldCharType="end"/>
      </w:r>
    </w:p>
    <w:p w:rsidR="00017A3B" w:rsidRDefault="00017A3B" w:rsidP="00CB25A0">
      <w:pPr>
        <w:widowControl/>
        <w:spacing w:line="360" w:lineRule="auto"/>
        <w:jc w:val="left"/>
        <w:rPr>
          <w:rFonts w:ascii="Times New Roman" w:hAnsi="Times New Roman" w:cs="Times New Roman"/>
          <w:sz w:val="24"/>
          <w:szCs w:val="28"/>
        </w:rPr>
      </w:pPr>
      <w:r>
        <w:rPr>
          <w:rFonts w:ascii="Times New Roman" w:hAnsi="Times New Roman" w:cs="Times New Roman"/>
          <w:sz w:val="24"/>
          <w:szCs w:val="28"/>
        </w:rPr>
        <w:br w:type="page"/>
      </w:r>
    </w:p>
    <w:p w:rsidR="00594074" w:rsidRPr="00594074" w:rsidRDefault="00594074" w:rsidP="00CB25A0">
      <w:pPr>
        <w:widowControl/>
        <w:spacing w:after="200" w:line="360" w:lineRule="auto"/>
        <w:rPr>
          <w:rFonts w:ascii="Times New Roman" w:hAnsi="Times New Roman" w:cs="Times New Roman"/>
          <w:b/>
          <w:kern w:val="0"/>
          <w:sz w:val="24"/>
          <w:szCs w:val="24"/>
          <w:lang w:eastAsia="en-US"/>
        </w:rPr>
      </w:pPr>
      <w:r w:rsidRPr="00594074">
        <w:rPr>
          <w:rFonts w:ascii="Times New Roman" w:hAnsi="Times New Roman" w:cs="Times New Roman"/>
          <w:b/>
          <w:kern w:val="0"/>
          <w:sz w:val="24"/>
          <w:szCs w:val="24"/>
          <w:lang w:eastAsia="en-US"/>
        </w:rPr>
        <w:lastRenderedPageBreak/>
        <w:t>TABLES</w:t>
      </w:r>
    </w:p>
    <w:p w:rsidR="00594074" w:rsidRPr="00594074" w:rsidRDefault="00594074" w:rsidP="00CB25A0">
      <w:pPr>
        <w:widowControl/>
        <w:spacing w:after="200" w:line="360" w:lineRule="auto"/>
        <w:rPr>
          <w:rFonts w:ascii="Times New Roman" w:hAnsi="Times New Roman" w:cs="Times New Roman"/>
          <w:kern w:val="0"/>
          <w:sz w:val="24"/>
          <w:szCs w:val="24"/>
          <w:lang w:eastAsia="en-US"/>
        </w:rPr>
      </w:pPr>
      <w:r w:rsidRPr="00594074">
        <w:rPr>
          <w:rFonts w:ascii="Times New Roman" w:hAnsi="Times New Roman" w:cs="Times New Roman"/>
          <w:b/>
          <w:kern w:val="0"/>
          <w:sz w:val="24"/>
          <w:szCs w:val="24"/>
          <w:lang w:eastAsia="en-US"/>
        </w:rPr>
        <w:t xml:space="preserve">Table </w:t>
      </w:r>
      <w:r>
        <w:rPr>
          <w:rFonts w:ascii="Times New Roman" w:hAnsi="Times New Roman" w:cs="Times New Roman"/>
          <w:b/>
          <w:kern w:val="0"/>
          <w:sz w:val="24"/>
          <w:szCs w:val="24"/>
          <w:lang w:eastAsia="en-US"/>
        </w:rPr>
        <w:t>S</w:t>
      </w:r>
      <w:r w:rsidRPr="00594074">
        <w:rPr>
          <w:rFonts w:ascii="Times New Roman" w:hAnsi="Times New Roman" w:cs="Times New Roman"/>
          <w:b/>
          <w:kern w:val="0"/>
          <w:sz w:val="24"/>
          <w:szCs w:val="24"/>
          <w:lang w:eastAsia="en-US"/>
        </w:rPr>
        <w:t xml:space="preserve">1. </w:t>
      </w:r>
      <w:r w:rsidRPr="00594074">
        <w:rPr>
          <w:rFonts w:ascii="Times New Roman" w:hAnsi="Times New Roman" w:cs="Times New Roman"/>
          <w:kern w:val="0"/>
          <w:sz w:val="24"/>
          <w:szCs w:val="24"/>
          <w:lang w:eastAsia="en-US"/>
        </w:rPr>
        <w:t>Demographics and baseline disease characteristics of participants</w:t>
      </w:r>
    </w:p>
    <w:tbl>
      <w:tblPr>
        <w:tblStyle w:val="21"/>
        <w:tblW w:w="5000" w:type="pct"/>
        <w:tblLook w:val="06A0"/>
      </w:tblPr>
      <w:tblGrid>
        <w:gridCol w:w="5619"/>
        <w:gridCol w:w="2903"/>
      </w:tblGrid>
      <w:tr w:rsidR="00594074" w:rsidRPr="00594074" w:rsidTr="000F54D5">
        <w:trPr>
          <w:cnfStyle w:val="100000000000"/>
        </w:trPr>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Characteristics</w:t>
            </w:r>
          </w:p>
        </w:tc>
        <w:tc>
          <w:tcPr>
            <w:tcW w:w="1703" w:type="pct"/>
          </w:tcPr>
          <w:p w:rsidR="00594074" w:rsidRPr="00594074" w:rsidRDefault="00594074" w:rsidP="00CB25A0">
            <w:pPr>
              <w:widowControl/>
              <w:spacing w:after="200" w:line="360" w:lineRule="auto"/>
              <w:cnfStyle w:val="10000000000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Number </w:t>
            </w: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Total subjects, n</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18</w:t>
            </w: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Gender (%), male/female</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10(55.6)/8(44.4)</w:t>
            </w: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Age (years; </w:t>
            </w:r>
            <w:proofErr w:type="spellStart"/>
            <w:r w:rsidRPr="00594074">
              <w:rPr>
                <w:rFonts w:ascii="Times New Roman" w:hAnsi="Times New Roman" w:cs="Times New Roman"/>
                <w:kern w:val="0"/>
                <w:sz w:val="24"/>
                <w:szCs w:val="24"/>
                <w:lang w:val="en-GB" w:eastAsia="en-US"/>
              </w:rPr>
              <w:t>mean±SD</w:t>
            </w:r>
            <w:proofErr w:type="spellEnd"/>
            <w:r w:rsidRPr="00594074">
              <w:rPr>
                <w:rFonts w:ascii="Times New Roman" w:hAnsi="Times New Roman" w:cs="Times New Roman"/>
                <w:kern w:val="0"/>
                <w:sz w:val="24"/>
                <w:szCs w:val="24"/>
                <w:lang w:val="en-GB" w:eastAsia="en-US"/>
              </w:rPr>
              <w:t>)</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30.17±9.67 </w:t>
            </w: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Asthma (%), yes/no</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kern w:val="0"/>
                <w:sz w:val="24"/>
                <w:szCs w:val="24"/>
                <w:lang w:val="en-GB"/>
              </w:rPr>
            </w:pPr>
            <w:r w:rsidRPr="00594074">
              <w:rPr>
                <w:rFonts w:ascii="Times New Roman" w:hAnsi="Times New Roman" w:cs="Times New Roman" w:hint="eastAsia"/>
                <w:kern w:val="0"/>
                <w:sz w:val="24"/>
                <w:szCs w:val="24"/>
                <w:lang w:val="en-GB" w:eastAsia="en-US"/>
              </w:rPr>
              <w:t>1</w:t>
            </w:r>
            <w:r w:rsidRPr="00594074">
              <w:rPr>
                <w:rFonts w:ascii="Times New Roman" w:hAnsi="Times New Roman" w:cs="Times New Roman"/>
                <w:kern w:val="0"/>
                <w:sz w:val="24"/>
                <w:szCs w:val="24"/>
                <w:lang w:val="en-GB" w:eastAsia="en-US"/>
              </w:rPr>
              <w:t>(5.6)/17(94.4)</w:t>
            </w: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Baseline </w:t>
            </w:r>
            <w:proofErr w:type="spellStart"/>
            <w:r w:rsidRPr="00594074">
              <w:rPr>
                <w:rFonts w:ascii="Times New Roman" w:hAnsi="Times New Roman" w:cs="Times New Roman"/>
                <w:kern w:val="0"/>
                <w:sz w:val="24"/>
                <w:szCs w:val="24"/>
                <w:lang w:val="en-GB" w:eastAsia="en-US"/>
              </w:rPr>
              <w:t>sIgE</w:t>
            </w:r>
            <w:proofErr w:type="spellEnd"/>
            <w:r w:rsidRPr="00594074">
              <w:rPr>
                <w:rFonts w:ascii="Times New Roman" w:hAnsi="Times New Roman" w:cs="Times New Roman"/>
                <w:kern w:val="0"/>
                <w:sz w:val="24"/>
                <w:szCs w:val="24"/>
                <w:lang w:val="en-GB" w:eastAsia="en-US"/>
              </w:rPr>
              <w:t xml:space="preserve"> (</w:t>
            </w:r>
            <w:proofErr w:type="spellStart"/>
            <w:r w:rsidRPr="00594074">
              <w:rPr>
                <w:rFonts w:ascii="Times New Roman" w:hAnsi="Times New Roman" w:cs="Times New Roman"/>
                <w:kern w:val="0"/>
                <w:sz w:val="24"/>
                <w:szCs w:val="24"/>
                <w:lang w:val="en-GB" w:eastAsia="en-US"/>
              </w:rPr>
              <w:t>mean±SD</w:t>
            </w:r>
            <w:proofErr w:type="spellEnd"/>
            <w:r w:rsidRPr="00594074">
              <w:rPr>
                <w:rFonts w:ascii="Times New Roman" w:hAnsi="Times New Roman" w:cs="Times New Roman"/>
                <w:kern w:val="0"/>
                <w:sz w:val="24"/>
                <w:szCs w:val="24"/>
                <w:lang w:val="en-GB" w:eastAsia="en-US"/>
              </w:rPr>
              <w:t>)</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kern w:val="0"/>
                <w:sz w:val="24"/>
                <w:szCs w:val="24"/>
                <w:highlight w:val="yellow"/>
                <w:lang w:val="en-GB" w:eastAsia="en-US"/>
              </w:rPr>
            </w:pP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  </w:t>
            </w:r>
            <w:proofErr w:type="spellStart"/>
            <w:r w:rsidRPr="00594074">
              <w:rPr>
                <w:rFonts w:ascii="Times New Roman" w:hAnsi="Times New Roman" w:cs="Times New Roman"/>
                <w:kern w:val="0"/>
                <w:sz w:val="24"/>
                <w:szCs w:val="24"/>
                <w:lang w:val="en-GB" w:eastAsia="en-US"/>
              </w:rPr>
              <w:t>Der</w:t>
            </w:r>
            <w:proofErr w:type="spellEnd"/>
            <w:r w:rsidRPr="00594074">
              <w:rPr>
                <w:rFonts w:ascii="Times New Roman" w:hAnsi="Times New Roman" w:cs="Times New Roman"/>
                <w:kern w:val="0"/>
                <w:sz w:val="24"/>
                <w:szCs w:val="24"/>
                <w:lang w:val="en-GB" w:eastAsia="en-US"/>
              </w:rPr>
              <w:t xml:space="preserve"> p</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kern w:val="0"/>
                <w:sz w:val="24"/>
                <w:szCs w:val="24"/>
                <w:highlight w:val="yellow"/>
                <w:lang w:val="en-GB" w:eastAsia="en-US"/>
              </w:rPr>
            </w:pPr>
            <w:r w:rsidRPr="00594074">
              <w:rPr>
                <w:rFonts w:ascii="Times New Roman" w:hAnsi="Times New Roman" w:cs="Times New Roman"/>
                <w:bCs/>
                <w:kern w:val="0"/>
                <w:sz w:val="24"/>
                <w:szCs w:val="24"/>
                <w:lang w:val="en-GB" w:eastAsia="en-US"/>
              </w:rPr>
              <w:t>18.61±14.85</w:t>
            </w: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  Der f</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kern w:val="0"/>
                <w:sz w:val="24"/>
                <w:szCs w:val="24"/>
                <w:highlight w:val="yellow"/>
                <w:lang w:val="en-GB" w:eastAsia="en-US"/>
              </w:rPr>
            </w:pPr>
            <w:r w:rsidRPr="00594074">
              <w:rPr>
                <w:rFonts w:ascii="Times New Roman" w:hAnsi="Times New Roman" w:cs="Times New Roman"/>
                <w:bCs/>
                <w:kern w:val="0"/>
                <w:sz w:val="24"/>
                <w:szCs w:val="24"/>
                <w:lang w:val="en-GB" w:eastAsia="en-US"/>
              </w:rPr>
              <w:t>31.56±19.94</w:t>
            </w: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Baseline sIgG4 (</w:t>
            </w:r>
            <w:proofErr w:type="spellStart"/>
            <w:r w:rsidRPr="00594074">
              <w:rPr>
                <w:rFonts w:ascii="Times New Roman" w:hAnsi="Times New Roman" w:cs="Times New Roman"/>
                <w:kern w:val="0"/>
                <w:sz w:val="24"/>
                <w:szCs w:val="24"/>
                <w:lang w:val="en-GB" w:eastAsia="en-US"/>
              </w:rPr>
              <w:t>mean±SD</w:t>
            </w:r>
            <w:proofErr w:type="spellEnd"/>
            <w:r w:rsidRPr="00594074">
              <w:rPr>
                <w:rFonts w:ascii="Times New Roman" w:hAnsi="Times New Roman" w:cs="Times New Roman"/>
                <w:kern w:val="0"/>
                <w:sz w:val="24"/>
                <w:szCs w:val="24"/>
                <w:lang w:val="en-GB" w:eastAsia="en-US"/>
              </w:rPr>
              <w:t>)</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kern w:val="0"/>
                <w:sz w:val="24"/>
                <w:szCs w:val="24"/>
                <w:highlight w:val="yellow"/>
                <w:lang w:val="en-GB" w:eastAsia="en-US"/>
              </w:rPr>
            </w:pPr>
          </w:p>
        </w:tc>
      </w:tr>
      <w:tr w:rsidR="00594074" w:rsidRPr="00594074" w:rsidTr="000F54D5">
        <w:tc>
          <w:tcPr>
            <w:cnfStyle w:val="001000000000"/>
            <w:tcW w:w="3297" w:type="pct"/>
          </w:tcPr>
          <w:p w:rsidR="00594074" w:rsidRPr="00594074" w:rsidRDefault="00594074" w:rsidP="00CB25A0">
            <w:pPr>
              <w:widowControl/>
              <w:spacing w:after="200" w:line="360" w:lineRule="auto"/>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  </w:t>
            </w:r>
            <w:proofErr w:type="spellStart"/>
            <w:r w:rsidRPr="00594074">
              <w:rPr>
                <w:rFonts w:ascii="Times New Roman" w:hAnsi="Times New Roman" w:cs="Times New Roman"/>
                <w:kern w:val="0"/>
                <w:sz w:val="24"/>
                <w:szCs w:val="24"/>
                <w:lang w:val="en-GB" w:eastAsia="en-US"/>
              </w:rPr>
              <w:t>Der</w:t>
            </w:r>
            <w:proofErr w:type="spellEnd"/>
            <w:r w:rsidRPr="00594074">
              <w:rPr>
                <w:rFonts w:ascii="Times New Roman" w:hAnsi="Times New Roman" w:cs="Times New Roman"/>
                <w:kern w:val="0"/>
                <w:sz w:val="24"/>
                <w:szCs w:val="24"/>
                <w:lang w:val="en-GB" w:eastAsia="en-US"/>
              </w:rPr>
              <w:t xml:space="preserve"> p</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bCs/>
                <w:kern w:val="0"/>
                <w:sz w:val="24"/>
                <w:szCs w:val="24"/>
                <w:lang w:val="en-GB" w:eastAsia="en-US"/>
              </w:rPr>
            </w:pPr>
            <w:r w:rsidRPr="00594074">
              <w:rPr>
                <w:rFonts w:ascii="Times New Roman" w:hAnsi="Times New Roman" w:cs="Times New Roman"/>
                <w:bCs/>
                <w:kern w:val="0"/>
                <w:sz w:val="24"/>
                <w:szCs w:val="24"/>
                <w:lang w:val="en-GB" w:eastAsia="en-US"/>
              </w:rPr>
              <w:t>4.11±4.42</w:t>
            </w:r>
          </w:p>
        </w:tc>
      </w:tr>
      <w:tr w:rsidR="00594074" w:rsidRPr="00594074" w:rsidTr="000F54D5">
        <w:tc>
          <w:tcPr>
            <w:cnfStyle w:val="001000000000"/>
            <w:tcW w:w="3297" w:type="pct"/>
          </w:tcPr>
          <w:p w:rsidR="00594074" w:rsidRPr="00594074" w:rsidRDefault="00594074" w:rsidP="00CB25A0">
            <w:pPr>
              <w:widowControl/>
              <w:spacing w:after="200" w:line="360" w:lineRule="auto"/>
              <w:ind w:firstLineChars="100" w:firstLine="24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f</w:t>
            </w:r>
          </w:p>
        </w:tc>
        <w:tc>
          <w:tcPr>
            <w:tcW w:w="1703" w:type="pct"/>
          </w:tcPr>
          <w:p w:rsidR="00594074" w:rsidRPr="00594074" w:rsidRDefault="00594074" w:rsidP="00CB25A0">
            <w:pPr>
              <w:widowControl/>
              <w:spacing w:after="200" w:line="360" w:lineRule="auto"/>
              <w:cnfStyle w:val="000000000000"/>
              <w:rPr>
                <w:rFonts w:ascii="Times New Roman" w:hAnsi="Times New Roman" w:cs="Times New Roman"/>
                <w:bCs/>
                <w:kern w:val="0"/>
                <w:sz w:val="24"/>
                <w:szCs w:val="24"/>
                <w:lang w:val="en-GB" w:eastAsia="en-US"/>
              </w:rPr>
            </w:pPr>
            <w:r w:rsidRPr="00594074">
              <w:rPr>
                <w:rFonts w:ascii="Times New Roman" w:hAnsi="Times New Roman" w:cs="Times New Roman"/>
                <w:bCs/>
                <w:kern w:val="0"/>
                <w:sz w:val="24"/>
                <w:szCs w:val="24"/>
                <w:lang w:val="en-GB" w:eastAsia="en-US"/>
              </w:rPr>
              <w:t>5.94±5.79</w:t>
            </w:r>
          </w:p>
        </w:tc>
      </w:tr>
    </w:tbl>
    <w:p w:rsidR="00594074" w:rsidRPr="00594074" w:rsidRDefault="00594074" w:rsidP="00CB25A0">
      <w:pPr>
        <w:widowControl/>
        <w:spacing w:after="200" w:line="360" w:lineRule="auto"/>
        <w:rPr>
          <w:rFonts w:ascii="Times New Roman" w:hAnsi="Times New Roman" w:cs="Times New Roman"/>
          <w:b/>
          <w:kern w:val="0"/>
          <w:sz w:val="24"/>
          <w:szCs w:val="24"/>
          <w:lang w:eastAsia="en-US"/>
        </w:rPr>
      </w:pPr>
      <w:r w:rsidRPr="00594074">
        <w:rPr>
          <w:rFonts w:ascii="Times New Roman" w:hAnsi="Times New Roman" w:cs="Times New Roman"/>
          <w:b/>
          <w:kern w:val="0"/>
          <w:sz w:val="24"/>
          <w:szCs w:val="24"/>
          <w:lang w:eastAsia="en-US"/>
        </w:rPr>
        <w:br w:type="page"/>
      </w:r>
    </w:p>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eastAsia="en-US"/>
        </w:rPr>
      </w:pPr>
      <w:r w:rsidRPr="00594074">
        <w:rPr>
          <w:rFonts w:ascii="Times New Roman" w:hAnsi="Times New Roman" w:cs="Times New Roman"/>
          <w:b/>
          <w:kern w:val="0"/>
          <w:sz w:val="24"/>
          <w:szCs w:val="24"/>
          <w:lang w:eastAsia="en-US"/>
        </w:rPr>
        <w:lastRenderedPageBreak/>
        <w:t xml:space="preserve">Table </w:t>
      </w:r>
      <w:r>
        <w:rPr>
          <w:rFonts w:ascii="Times New Roman" w:hAnsi="Times New Roman" w:cs="Times New Roman"/>
          <w:b/>
          <w:kern w:val="0"/>
          <w:sz w:val="24"/>
          <w:szCs w:val="24"/>
          <w:lang w:eastAsia="en-US"/>
        </w:rPr>
        <w:t>S</w:t>
      </w:r>
      <w:r w:rsidRPr="00594074">
        <w:rPr>
          <w:rFonts w:ascii="Times New Roman" w:hAnsi="Times New Roman" w:cs="Times New Roman"/>
          <w:b/>
          <w:kern w:val="0"/>
          <w:sz w:val="24"/>
          <w:szCs w:val="24"/>
          <w:lang w:eastAsia="en-US"/>
        </w:rPr>
        <w:t xml:space="preserve">2. </w:t>
      </w:r>
      <w:r w:rsidRPr="00594074">
        <w:rPr>
          <w:rFonts w:ascii="Times New Roman" w:hAnsi="Times New Roman" w:cs="Times New Roman"/>
          <w:kern w:val="0"/>
          <w:sz w:val="24"/>
          <w:szCs w:val="24"/>
          <w:lang w:eastAsia="en-US"/>
        </w:rPr>
        <w:t xml:space="preserve">Baseline levels of </w:t>
      </w:r>
      <w:proofErr w:type="spellStart"/>
      <w:r w:rsidRPr="00594074">
        <w:rPr>
          <w:rFonts w:ascii="Times New Roman" w:hAnsi="Times New Roman" w:cs="Times New Roman"/>
          <w:kern w:val="0"/>
          <w:sz w:val="24"/>
          <w:szCs w:val="24"/>
          <w:lang w:eastAsia="en-US"/>
        </w:rPr>
        <w:t>sIgE</w:t>
      </w:r>
      <w:proofErr w:type="spellEnd"/>
      <w:r w:rsidRPr="00594074">
        <w:rPr>
          <w:rFonts w:ascii="Times New Roman" w:hAnsi="Times New Roman" w:cs="Times New Roman"/>
          <w:kern w:val="0"/>
          <w:sz w:val="24"/>
          <w:szCs w:val="24"/>
          <w:lang w:eastAsia="en-US"/>
        </w:rPr>
        <w:t xml:space="preserve"> and </w:t>
      </w:r>
      <w:proofErr w:type="spellStart"/>
      <w:r w:rsidRPr="00594074">
        <w:rPr>
          <w:rFonts w:ascii="Times New Roman" w:hAnsi="Times New Roman" w:cs="Times New Roman"/>
          <w:kern w:val="0"/>
          <w:sz w:val="24"/>
          <w:szCs w:val="24"/>
          <w:lang w:eastAsia="en-US"/>
        </w:rPr>
        <w:t>sIgG4</w:t>
      </w:r>
      <w:proofErr w:type="spellEnd"/>
      <w:r w:rsidRPr="00594074">
        <w:rPr>
          <w:rFonts w:ascii="Times New Roman" w:hAnsi="Times New Roman" w:cs="Times New Roman"/>
          <w:kern w:val="0"/>
          <w:sz w:val="24"/>
          <w:szCs w:val="24"/>
          <w:lang w:eastAsia="en-US"/>
        </w:rPr>
        <w:t xml:space="preserve"> </w:t>
      </w:r>
    </w:p>
    <w:tbl>
      <w:tblPr>
        <w:tblStyle w:val="21"/>
        <w:tblW w:w="5000" w:type="pct"/>
        <w:tblLook w:val="0620"/>
      </w:tblPr>
      <w:tblGrid>
        <w:gridCol w:w="2656"/>
        <w:gridCol w:w="1500"/>
        <w:gridCol w:w="1502"/>
        <w:gridCol w:w="1364"/>
        <w:gridCol w:w="1500"/>
      </w:tblGrid>
      <w:tr w:rsidR="00594074" w:rsidRPr="00594074" w:rsidTr="000F54D5">
        <w:trPr>
          <w:cnfStyle w:val="100000000000"/>
        </w:trPr>
        <w:tc>
          <w:tcPr>
            <w:tcW w:w="1559" w:type="pct"/>
            <w:vMerge w:val="restart"/>
            <w:tcBorders>
              <w:bottom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Components of HDM</w:t>
            </w:r>
          </w:p>
        </w:tc>
        <w:tc>
          <w:tcPr>
            <w:tcW w:w="1761" w:type="pct"/>
            <w:gridSpan w:val="2"/>
          </w:tcPr>
          <w:p w:rsidR="00594074" w:rsidRPr="00594074" w:rsidRDefault="00594074" w:rsidP="00CB25A0">
            <w:pPr>
              <w:widowControl/>
              <w:spacing w:after="200" w:line="360" w:lineRule="auto"/>
              <w:contextualSpacing/>
              <w:jc w:val="center"/>
              <w:outlineLvl w:val="0"/>
              <w:rPr>
                <w:rFonts w:ascii="Times New Roman" w:hAnsi="Times New Roman" w:cs="Times New Roman"/>
                <w:kern w:val="0"/>
                <w:sz w:val="24"/>
                <w:szCs w:val="24"/>
                <w:lang w:val="en-GB" w:eastAsia="en-US"/>
              </w:rPr>
            </w:pPr>
            <w:proofErr w:type="spellStart"/>
            <w:r w:rsidRPr="00594074">
              <w:rPr>
                <w:rFonts w:ascii="Times New Roman" w:hAnsi="Times New Roman" w:cs="Times New Roman"/>
                <w:kern w:val="0"/>
                <w:sz w:val="24"/>
                <w:szCs w:val="24"/>
                <w:lang w:val="en-GB" w:eastAsia="en-US"/>
              </w:rPr>
              <w:t>sIgE</w:t>
            </w:r>
            <w:proofErr w:type="spellEnd"/>
          </w:p>
        </w:tc>
        <w:tc>
          <w:tcPr>
            <w:tcW w:w="1681" w:type="pct"/>
            <w:gridSpan w:val="2"/>
          </w:tcPr>
          <w:p w:rsidR="00594074" w:rsidRPr="00594074" w:rsidRDefault="00594074" w:rsidP="00CB25A0">
            <w:pPr>
              <w:widowControl/>
              <w:spacing w:after="200" w:line="360" w:lineRule="auto"/>
              <w:contextualSpacing/>
              <w:jc w:val="center"/>
              <w:outlineLvl w:val="0"/>
              <w:rPr>
                <w:rFonts w:ascii="Times New Roman" w:hAnsi="Times New Roman" w:cs="Times New Roman"/>
                <w:kern w:val="0"/>
                <w:sz w:val="24"/>
                <w:szCs w:val="24"/>
                <w:lang w:val="en-GB" w:eastAsia="en-US"/>
              </w:rPr>
            </w:pPr>
            <w:proofErr w:type="spellStart"/>
            <w:r w:rsidRPr="00594074">
              <w:rPr>
                <w:rFonts w:ascii="Times New Roman" w:hAnsi="Times New Roman" w:cs="Times New Roman"/>
                <w:kern w:val="0"/>
                <w:sz w:val="24"/>
                <w:szCs w:val="24"/>
                <w:lang w:val="en-GB" w:eastAsia="en-US"/>
              </w:rPr>
              <w:t>sIgG4</w:t>
            </w:r>
            <w:proofErr w:type="spellEnd"/>
          </w:p>
        </w:tc>
      </w:tr>
      <w:tr w:rsidR="00594074" w:rsidRPr="00594074" w:rsidTr="000F54D5">
        <w:tc>
          <w:tcPr>
            <w:tcW w:w="1559" w:type="pct"/>
            <w:vMerge/>
            <w:tcBorders>
              <w:top w:val="single" w:sz="4" w:space="0" w:color="000000"/>
              <w:bottom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p>
        </w:tc>
        <w:tc>
          <w:tcPr>
            <w:tcW w:w="880" w:type="pct"/>
            <w:tcBorders>
              <w:top w:val="single" w:sz="4" w:space="0" w:color="000000"/>
              <w:bottom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Positive </w:t>
            </w:r>
          </w:p>
        </w:tc>
        <w:tc>
          <w:tcPr>
            <w:tcW w:w="880" w:type="pct"/>
            <w:tcBorders>
              <w:bottom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Negative</w:t>
            </w:r>
          </w:p>
        </w:tc>
        <w:tc>
          <w:tcPr>
            <w:tcW w:w="800" w:type="pct"/>
            <w:tcBorders>
              <w:bottom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Positive</w:t>
            </w:r>
          </w:p>
        </w:tc>
        <w:tc>
          <w:tcPr>
            <w:tcW w:w="880" w:type="pct"/>
            <w:tcBorders>
              <w:bottom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 xml:space="preserve">Negative </w:t>
            </w:r>
          </w:p>
        </w:tc>
      </w:tr>
      <w:tr w:rsidR="00594074" w:rsidRPr="00594074" w:rsidTr="000F54D5">
        <w:tc>
          <w:tcPr>
            <w:tcW w:w="1559" w:type="pct"/>
            <w:tcBorders>
              <w:top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p 1</w:t>
            </w:r>
          </w:p>
        </w:tc>
        <w:tc>
          <w:tcPr>
            <w:tcW w:w="880" w:type="pct"/>
            <w:tcBorders>
              <w:top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10 (55.6%)</w:t>
            </w:r>
          </w:p>
        </w:tc>
        <w:tc>
          <w:tcPr>
            <w:tcW w:w="880" w:type="pct"/>
            <w:tcBorders>
              <w:top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8 (44.4%)</w:t>
            </w:r>
          </w:p>
        </w:tc>
        <w:tc>
          <w:tcPr>
            <w:tcW w:w="800" w:type="pct"/>
            <w:tcBorders>
              <w:top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5 (27.8%)</w:t>
            </w:r>
          </w:p>
        </w:tc>
        <w:tc>
          <w:tcPr>
            <w:tcW w:w="880" w:type="pct"/>
            <w:tcBorders>
              <w:top w:val="single" w:sz="4" w:space="0" w:color="000000"/>
            </w:tcBorders>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13 (72.2%)</w:t>
            </w:r>
          </w:p>
        </w:tc>
      </w:tr>
      <w:tr w:rsidR="00594074" w:rsidRPr="00594074" w:rsidTr="000F54D5">
        <w:tc>
          <w:tcPr>
            <w:tcW w:w="1559"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p 2</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12 (66.7%)</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6 (33.3%)</w:t>
            </w:r>
          </w:p>
        </w:tc>
        <w:tc>
          <w:tcPr>
            <w:tcW w:w="80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4 (22.2%)</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14 (77.8%)</w:t>
            </w:r>
          </w:p>
        </w:tc>
      </w:tr>
      <w:tr w:rsidR="00594074" w:rsidRPr="00594074" w:rsidTr="000F54D5">
        <w:tc>
          <w:tcPr>
            <w:tcW w:w="1559"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p 3</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18 (100%)</w:t>
            </w:r>
          </w:p>
        </w:tc>
        <w:tc>
          <w:tcPr>
            <w:tcW w:w="80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4 (22.2%)</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14 (77.8%)</w:t>
            </w:r>
          </w:p>
        </w:tc>
      </w:tr>
      <w:tr w:rsidR="00594074" w:rsidRPr="00594074" w:rsidTr="000F54D5">
        <w:tc>
          <w:tcPr>
            <w:tcW w:w="1559"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p 5</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18 (100%)</w:t>
            </w:r>
          </w:p>
        </w:tc>
        <w:tc>
          <w:tcPr>
            <w:tcW w:w="80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18 (100%)</w:t>
            </w:r>
          </w:p>
        </w:tc>
      </w:tr>
      <w:tr w:rsidR="00594074" w:rsidRPr="00594074" w:rsidTr="000F54D5">
        <w:tc>
          <w:tcPr>
            <w:tcW w:w="1559"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p 7</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 (5.6%)</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17 (94.4%)</w:t>
            </w:r>
          </w:p>
        </w:tc>
        <w:tc>
          <w:tcPr>
            <w:tcW w:w="80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 (5.6%)</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17 (94.4%)</w:t>
            </w:r>
          </w:p>
        </w:tc>
      </w:tr>
      <w:tr w:rsidR="00594074" w:rsidRPr="00594074" w:rsidTr="000F54D5">
        <w:tc>
          <w:tcPr>
            <w:tcW w:w="1559"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p 10</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18 (100%)</w:t>
            </w:r>
          </w:p>
        </w:tc>
        <w:tc>
          <w:tcPr>
            <w:tcW w:w="80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18 (100%)</w:t>
            </w:r>
          </w:p>
        </w:tc>
      </w:tr>
      <w:tr w:rsidR="00594074" w:rsidRPr="00594074" w:rsidTr="000F54D5">
        <w:tc>
          <w:tcPr>
            <w:tcW w:w="1559"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p 23</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6 (33.3%)</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12 (66.7%)</w:t>
            </w:r>
          </w:p>
        </w:tc>
        <w:tc>
          <w:tcPr>
            <w:tcW w:w="80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5 (27.8%)</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13 (72.2%)</w:t>
            </w:r>
          </w:p>
        </w:tc>
      </w:tr>
      <w:tr w:rsidR="00594074" w:rsidRPr="00594074" w:rsidTr="000F54D5">
        <w:tc>
          <w:tcPr>
            <w:tcW w:w="1559"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f 1</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8 (44.4%)</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10 (55.6%)</w:t>
            </w:r>
          </w:p>
        </w:tc>
        <w:tc>
          <w:tcPr>
            <w:tcW w:w="80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2 (11.1%)</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16 (88.9%)</w:t>
            </w:r>
          </w:p>
        </w:tc>
      </w:tr>
      <w:tr w:rsidR="00594074" w:rsidRPr="00594074" w:rsidTr="000F54D5">
        <w:tc>
          <w:tcPr>
            <w:tcW w:w="1559"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Der f 2</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12 (66.7%)</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6 (33.3%)</w:t>
            </w:r>
          </w:p>
        </w:tc>
        <w:tc>
          <w:tcPr>
            <w:tcW w:w="80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7 (38.9%)</w:t>
            </w:r>
          </w:p>
        </w:tc>
        <w:tc>
          <w:tcPr>
            <w:tcW w:w="880" w:type="pct"/>
          </w:tcPr>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val="en-GB" w:eastAsia="en-US"/>
              </w:rPr>
            </w:pPr>
            <w:r w:rsidRPr="00594074">
              <w:rPr>
                <w:rFonts w:ascii="Times New Roman" w:hAnsi="Times New Roman" w:cs="Times New Roman"/>
                <w:kern w:val="0"/>
                <w:sz w:val="24"/>
                <w:szCs w:val="24"/>
                <w:lang w:val="en-GB" w:eastAsia="en-US"/>
              </w:rPr>
              <w:t>11 (61.1%)</w:t>
            </w:r>
          </w:p>
        </w:tc>
      </w:tr>
    </w:tbl>
    <w:p w:rsidR="00594074" w:rsidRPr="00594074" w:rsidRDefault="00594074" w:rsidP="00CB25A0">
      <w:pPr>
        <w:widowControl/>
        <w:spacing w:after="200" w:line="360" w:lineRule="auto"/>
        <w:contextualSpacing/>
        <w:outlineLvl w:val="0"/>
        <w:rPr>
          <w:rFonts w:ascii="Times New Roman" w:hAnsi="Times New Roman" w:cs="Times New Roman"/>
          <w:kern w:val="0"/>
          <w:sz w:val="24"/>
          <w:szCs w:val="24"/>
          <w:lang w:eastAsia="en-US"/>
        </w:rPr>
      </w:pPr>
    </w:p>
    <w:p w:rsidR="00594074" w:rsidRPr="00594074" w:rsidRDefault="00594074" w:rsidP="0060263E">
      <w:pPr>
        <w:widowControl/>
        <w:spacing w:after="200" w:line="480" w:lineRule="auto"/>
        <w:rPr>
          <w:rFonts w:ascii="Times New Roman" w:hAnsi="Times New Roman" w:cs="Times New Roman"/>
          <w:kern w:val="0"/>
          <w:sz w:val="24"/>
          <w:szCs w:val="24"/>
          <w:vertAlign w:val="superscript"/>
          <w:lang w:eastAsia="en-US"/>
        </w:rPr>
        <w:sectPr w:rsidR="00594074" w:rsidRPr="00594074" w:rsidSect="00881015">
          <w:footerReference w:type="default" r:id="rId7"/>
          <w:pgSz w:w="11906" w:h="16838"/>
          <w:pgMar w:top="1440" w:right="1800" w:bottom="1440" w:left="1800" w:header="851" w:footer="992" w:gutter="0"/>
          <w:cols w:space="425"/>
          <w:docGrid w:type="lines" w:linePitch="312"/>
        </w:sectPr>
      </w:pPr>
      <w:r w:rsidRPr="00594074">
        <w:rPr>
          <w:rFonts w:ascii="Times New Roman" w:hAnsi="Times New Roman" w:cs="Times New Roman"/>
          <w:kern w:val="0"/>
          <w:sz w:val="24"/>
          <w:szCs w:val="24"/>
          <w:lang w:eastAsia="en-US"/>
        </w:rPr>
        <w:tab/>
      </w:r>
    </w:p>
    <w:p w:rsidR="00594074" w:rsidRPr="00594074" w:rsidRDefault="00594074" w:rsidP="0060263E">
      <w:pPr>
        <w:widowControl/>
        <w:spacing w:after="200" w:line="480" w:lineRule="auto"/>
        <w:contextualSpacing/>
        <w:outlineLvl w:val="0"/>
        <w:rPr>
          <w:rFonts w:ascii="Times New Roman" w:hAnsi="Times New Roman" w:cs="Times New Roman"/>
          <w:b/>
          <w:kern w:val="0"/>
          <w:sz w:val="24"/>
          <w:szCs w:val="24"/>
        </w:rPr>
      </w:pPr>
      <w:r w:rsidRPr="00594074">
        <w:rPr>
          <w:rFonts w:ascii="Times New Roman" w:hAnsi="Times New Roman" w:cs="Times New Roman"/>
          <w:b/>
          <w:kern w:val="0"/>
          <w:sz w:val="24"/>
          <w:szCs w:val="24"/>
        </w:rPr>
        <w:lastRenderedPageBreak/>
        <w:t>FIGURES</w:t>
      </w:r>
    </w:p>
    <w:p w:rsidR="00594074" w:rsidRPr="00594074" w:rsidRDefault="00594074" w:rsidP="0060263E">
      <w:pPr>
        <w:widowControl/>
        <w:spacing w:after="200" w:line="480" w:lineRule="auto"/>
        <w:contextualSpacing/>
        <w:outlineLvl w:val="0"/>
        <w:rPr>
          <w:rFonts w:ascii="Times New Roman" w:hAnsi="Times New Roman" w:cs="Times New Roman"/>
          <w:b/>
          <w:kern w:val="0"/>
          <w:sz w:val="24"/>
          <w:szCs w:val="24"/>
          <w:lang w:eastAsia="en-US"/>
        </w:rPr>
      </w:pPr>
      <w:r w:rsidRPr="00594074">
        <w:rPr>
          <w:rFonts w:ascii="Times New Roman" w:hAnsi="Times New Roman" w:cs="Times New Roman"/>
          <w:b/>
          <w:kern w:val="0"/>
          <w:sz w:val="24"/>
          <w:szCs w:val="24"/>
          <w:lang w:eastAsia="en-US"/>
        </w:rPr>
        <w:t>Figure legends</w:t>
      </w:r>
    </w:p>
    <w:p w:rsidR="00594074" w:rsidRDefault="00594074" w:rsidP="0060263E">
      <w:pPr>
        <w:widowControl/>
        <w:tabs>
          <w:tab w:val="left" w:pos="2738"/>
        </w:tabs>
        <w:spacing w:after="200" w:line="480" w:lineRule="auto"/>
        <w:contextualSpacing/>
        <w:rPr>
          <w:rFonts w:ascii="Times New Roman" w:hAnsi="Times New Roman" w:cs="Times New Roman"/>
          <w:kern w:val="0"/>
          <w:sz w:val="24"/>
          <w:szCs w:val="24"/>
          <w:lang w:eastAsia="en-US"/>
        </w:rPr>
      </w:pPr>
      <w:r w:rsidRPr="00594074">
        <w:rPr>
          <w:rFonts w:ascii="Times New Roman" w:hAnsi="Times New Roman" w:cs="Times New Roman"/>
          <w:kern w:val="0"/>
          <w:sz w:val="24"/>
          <w:szCs w:val="24"/>
          <w:lang w:eastAsia="en-US"/>
        </w:rPr>
        <w:t xml:space="preserve">Figure </w:t>
      </w:r>
      <w:r>
        <w:rPr>
          <w:rFonts w:ascii="Times New Roman" w:hAnsi="Times New Roman" w:cs="Times New Roman"/>
          <w:kern w:val="0"/>
          <w:sz w:val="24"/>
          <w:szCs w:val="24"/>
          <w:lang w:eastAsia="en-US"/>
        </w:rPr>
        <w:t>S</w:t>
      </w:r>
      <w:r w:rsidRPr="00594074">
        <w:rPr>
          <w:rFonts w:ascii="Times New Roman" w:hAnsi="Times New Roman" w:cs="Times New Roman"/>
          <w:kern w:val="0"/>
          <w:sz w:val="24"/>
          <w:szCs w:val="24"/>
          <w:lang w:eastAsia="en-US"/>
        </w:rPr>
        <w:t xml:space="preserve">1. Schematic diagram showing the SCIT protocol employed. </w:t>
      </w:r>
    </w:p>
    <w:p w:rsidR="0060263E" w:rsidRPr="00594074" w:rsidRDefault="0060263E" w:rsidP="0060263E">
      <w:pPr>
        <w:widowControl/>
        <w:tabs>
          <w:tab w:val="left" w:pos="2738"/>
        </w:tabs>
        <w:spacing w:after="200" w:line="480" w:lineRule="auto"/>
        <w:contextualSpacing/>
        <w:rPr>
          <w:rFonts w:ascii="Times New Roman" w:hAnsi="Times New Roman" w:cs="Times New Roman"/>
          <w:kern w:val="0"/>
          <w:sz w:val="24"/>
          <w:szCs w:val="24"/>
          <w:lang w:eastAsia="en-US"/>
        </w:rPr>
      </w:pPr>
      <w:r w:rsidRPr="00C400A8">
        <w:rPr>
          <w:rFonts w:ascii="Times New Roman" w:hAnsi="Times New Roman" w:cs="Times New Roman"/>
          <w:b/>
          <w:noProof/>
          <w:kern w:val="0"/>
          <w:sz w:val="24"/>
          <w:szCs w:val="24"/>
          <w:lang w:eastAsia="en-US"/>
        </w:rPr>
        <w:drawing>
          <wp:inline distT="0" distB="0" distL="0" distR="0">
            <wp:extent cx="5274310" cy="7938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793806"/>
                    </a:xfrm>
                    <a:prstGeom prst="rect">
                      <a:avLst/>
                    </a:prstGeom>
                    <a:noFill/>
                    <a:ln>
                      <a:noFill/>
                    </a:ln>
                  </pic:spPr>
                </pic:pic>
              </a:graphicData>
            </a:graphic>
          </wp:inline>
        </w:drawing>
      </w:r>
    </w:p>
    <w:p w:rsidR="0060263E" w:rsidRDefault="0060263E">
      <w:pPr>
        <w:widowControl/>
        <w:jc w:val="left"/>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br w:type="page"/>
      </w:r>
    </w:p>
    <w:p w:rsidR="00594074" w:rsidRDefault="00594074" w:rsidP="0060263E">
      <w:pPr>
        <w:widowControl/>
        <w:tabs>
          <w:tab w:val="left" w:pos="2738"/>
        </w:tabs>
        <w:spacing w:after="200" w:line="480" w:lineRule="auto"/>
        <w:contextualSpacing/>
        <w:rPr>
          <w:rFonts w:ascii="Times New Roman" w:hAnsi="Times New Roman" w:cs="Times New Roman"/>
          <w:kern w:val="0"/>
          <w:sz w:val="24"/>
          <w:szCs w:val="24"/>
          <w:lang w:eastAsia="en-US"/>
        </w:rPr>
      </w:pPr>
      <w:r w:rsidRPr="00594074">
        <w:rPr>
          <w:rFonts w:ascii="Times New Roman" w:hAnsi="Times New Roman" w:cs="Times New Roman"/>
          <w:kern w:val="0"/>
          <w:sz w:val="24"/>
          <w:szCs w:val="24"/>
          <w:lang w:eastAsia="en-US"/>
        </w:rPr>
        <w:lastRenderedPageBreak/>
        <w:t>Figure</w:t>
      </w:r>
      <w:r>
        <w:rPr>
          <w:rFonts w:ascii="Times New Roman" w:hAnsi="Times New Roman" w:cs="Times New Roman"/>
          <w:kern w:val="0"/>
          <w:sz w:val="24"/>
          <w:szCs w:val="24"/>
          <w:lang w:eastAsia="en-US"/>
        </w:rPr>
        <w:t xml:space="preserve"> S</w:t>
      </w:r>
      <w:r w:rsidRPr="00594074">
        <w:rPr>
          <w:rFonts w:ascii="Times New Roman" w:hAnsi="Times New Roman" w:cs="Times New Roman"/>
          <w:kern w:val="0"/>
          <w:sz w:val="24"/>
          <w:szCs w:val="24"/>
          <w:lang w:eastAsia="en-US"/>
        </w:rPr>
        <w:t>2. The effect of HDM-AIT on nasal/conjunctivitis symptoms (A nasal congestion, B rhinorrhea, C nasal itching, D sneezing, E gritty eyes, F watery eyes) scores over a course of 52-weeks. AIT, allergen immunotherapy.</w:t>
      </w:r>
    </w:p>
    <w:p w:rsidR="0060263E" w:rsidRPr="00594074" w:rsidRDefault="0060263E" w:rsidP="0060263E">
      <w:pPr>
        <w:widowControl/>
        <w:tabs>
          <w:tab w:val="left" w:pos="2738"/>
        </w:tabs>
        <w:spacing w:after="200" w:line="480" w:lineRule="auto"/>
        <w:contextualSpacing/>
        <w:rPr>
          <w:rFonts w:ascii="Times New Roman" w:hAnsi="Times New Roman" w:cs="Times New Roman"/>
          <w:kern w:val="0"/>
          <w:sz w:val="24"/>
          <w:szCs w:val="24"/>
          <w:lang w:eastAsia="en-US"/>
        </w:rPr>
      </w:pPr>
      <w:r w:rsidRPr="00C400A8">
        <w:rPr>
          <w:rFonts w:ascii="Times New Roman" w:hAnsi="Times New Roman" w:cs="Times New Roman"/>
          <w:noProof/>
          <w:kern w:val="0"/>
          <w:sz w:val="24"/>
          <w:szCs w:val="24"/>
          <w:lang w:eastAsia="en-US"/>
        </w:rPr>
        <w:drawing>
          <wp:inline distT="0" distB="0" distL="0" distR="0">
            <wp:extent cx="5274310" cy="7128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7128640"/>
                    </a:xfrm>
                    <a:prstGeom prst="rect">
                      <a:avLst/>
                    </a:prstGeom>
                    <a:noFill/>
                    <a:ln>
                      <a:noFill/>
                    </a:ln>
                  </pic:spPr>
                </pic:pic>
              </a:graphicData>
            </a:graphic>
          </wp:inline>
        </w:drawing>
      </w:r>
    </w:p>
    <w:p w:rsidR="0060263E" w:rsidRDefault="0060263E">
      <w:pPr>
        <w:widowControl/>
        <w:jc w:val="left"/>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br w:type="page"/>
      </w:r>
    </w:p>
    <w:p w:rsidR="00C400A8" w:rsidRPr="00C400A8" w:rsidRDefault="00594074" w:rsidP="0060263E">
      <w:pPr>
        <w:widowControl/>
        <w:tabs>
          <w:tab w:val="left" w:pos="2738"/>
        </w:tabs>
        <w:spacing w:after="200" w:line="480" w:lineRule="auto"/>
        <w:contextualSpacing/>
        <w:rPr>
          <w:rFonts w:ascii="Times New Roman" w:hAnsi="Times New Roman" w:cs="Times New Roman"/>
          <w:kern w:val="0"/>
          <w:sz w:val="24"/>
          <w:szCs w:val="24"/>
          <w:lang w:eastAsia="en-US"/>
        </w:rPr>
      </w:pPr>
      <w:r w:rsidRPr="00594074">
        <w:rPr>
          <w:rFonts w:ascii="Times New Roman" w:hAnsi="Times New Roman" w:cs="Times New Roman"/>
          <w:kern w:val="0"/>
          <w:sz w:val="24"/>
          <w:szCs w:val="24"/>
          <w:lang w:eastAsia="en-US"/>
        </w:rPr>
        <w:lastRenderedPageBreak/>
        <w:t xml:space="preserve">Figure </w:t>
      </w:r>
      <w:r w:rsidR="00C400A8">
        <w:rPr>
          <w:rFonts w:ascii="Times New Roman" w:hAnsi="Times New Roman" w:cs="Times New Roman"/>
          <w:kern w:val="0"/>
          <w:sz w:val="24"/>
          <w:szCs w:val="24"/>
          <w:lang w:eastAsia="en-US"/>
        </w:rPr>
        <w:t>S</w:t>
      </w:r>
      <w:r w:rsidRPr="00594074">
        <w:rPr>
          <w:rFonts w:ascii="Times New Roman" w:hAnsi="Times New Roman" w:cs="Times New Roman"/>
          <w:kern w:val="0"/>
          <w:sz w:val="24"/>
          <w:szCs w:val="24"/>
          <w:lang w:eastAsia="en-US"/>
        </w:rPr>
        <w:t xml:space="preserve">3. The effect of HDM-AIT on DMS (A) and TCS (B) over a course of 52-weeks. DMS, daily medication score; TCS, total combined score. AIT, allergen immunotherapy. </w:t>
      </w:r>
    </w:p>
    <w:bookmarkStart w:id="2" w:name="_GoBack"/>
    <w:p w:rsidR="00594074" w:rsidRPr="00017A3B" w:rsidRDefault="0060263E" w:rsidP="00CB25A0">
      <w:pPr>
        <w:spacing w:line="360" w:lineRule="auto"/>
        <w:rPr>
          <w:rFonts w:ascii="Times New Roman" w:hAnsi="Times New Roman" w:cs="Times New Roman"/>
          <w:sz w:val="24"/>
          <w:szCs w:val="28"/>
        </w:rPr>
      </w:pPr>
      <w:r w:rsidRPr="00C400A8">
        <w:rPr>
          <w:rFonts w:ascii="Times New Roman" w:hAnsi="Times New Roman" w:cs="Times New Roman"/>
          <w:kern w:val="0"/>
          <w:sz w:val="24"/>
          <w:szCs w:val="24"/>
          <w:lang w:val="en-GB" w:eastAsia="en-US"/>
        </w:rPr>
        <w:object w:dxaOrig="8138" w:dyaOrig="14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75pt;height:544.5pt;mso-width-percent:0;mso-height-percent:0;mso-width-percent:0;mso-height-percent:0" o:ole="">
            <v:imagedata r:id="rId10" o:title=""/>
          </v:shape>
          <o:OLEObject Type="Embed" ProgID="Prism7.Document" ShapeID="_x0000_i1025" DrawAspect="Content" ObjectID="_1637481600" r:id="rId11"/>
        </w:object>
      </w:r>
      <w:bookmarkEnd w:id="2"/>
    </w:p>
    <w:sectPr w:rsidR="00594074" w:rsidRPr="00017A3B" w:rsidSect="00881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87" w:rsidRDefault="007E5287" w:rsidP="00AC7C25">
      <w:r>
        <w:separator/>
      </w:r>
    </w:p>
  </w:endnote>
  <w:endnote w:type="continuationSeparator" w:id="0">
    <w:p w:rsidR="007E5287" w:rsidRDefault="007E5287" w:rsidP="00AC7C2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984879"/>
      <w:docPartObj>
        <w:docPartGallery w:val="Page Numbers (Bottom of Page)"/>
        <w:docPartUnique/>
      </w:docPartObj>
    </w:sdtPr>
    <w:sdtContent>
      <w:p w:rsidR="00AC7C25" w:rsidRDefault="003478A0">
        <w:pPr>
          <w:pStyle w:val="Footer"/>
          <w:jc w:val="center"/>
        </w:pPr>
        <w:r>
          <w:fldChar w:fldCharType="begin"/>
        </w:r>
        <w:r w:rsidR="00AC7C25">
          <w:instrText>PAGE   \* MERGEFORMAT</w:instrText>
        </w:r>
        <w:r>
          <w:fldChar w:fldCharType="separate"/>
        </w:r>
        <w:r w:rsidR="00881015" w:rsidRPr="00881015">
          <w:rPr>
            <w:noProof/>
            <w:lang w:val="zh-CN"/>
          </w:rPr>
          <w:t>1</w:t>
        </w:r>
        <w:r>
          <w:fldChar w:fldCharType="end"/>
        </w:r>
      </w:p>
    </w:sdtContent>
  </w:sdt>
  <w:p w:rsidR="00AC7C25" w:rsidRDefault="00AC7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87" w:rsidRDefault="007E5287" w:rsidP="00AC7C25">
      <w:r>
        <w:separator/>
      </w:r>
    </w:p>
  </w:footnote>
  <w:footnote w:type="continuationSeparator" w:id="0">
    <w:p w:rsidR="007E5287" w:rsidRDefault="007E5287" w:rsidP="00AC7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Layout" w:val="&lt;ENLayout&gt;&lt;Style&gt;Aller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59ddf5swfdeqeav9qxd9dmxt2wrs0pvex0&quot;&gt;AIT-组分&lt;record-ids&gt;&lt;item&gt;117&lt;/item&gt;&lt;item&gt;285&lt;/item&gt;&lt;item&gt;288&lt;/item&gt;&lt;/record-ids&gt;&lt;/item&gt;&lt;/Libraries&gt;"/>
  </w:docVars>
  <w:rsids>
    <w:rsidRoot w:val="00FD0DF6"/>
    <w:rsid w:val="00002472"/>
    <w:rsid w:val="00017A3B"/>
    <w:rsid w:val="003478A0"/>
    <w:rsid w:val="003C435D"/>
    <w:rsid w:val="00403ED6"/>
    <w:rsid w:val="00594074"/>
    <w:rsid w:val="0060263E"/>
    <w:rsid w:val="007E5287"/>
    <w:rsid w:val="00881015"/>
    <w:rsid w:val="00963577"/>
    <w:rsid w:val="00A2719C"/>
    <w:rsid w:val="00AC7C25"/>
    <w:rsid w:val="00C07A37"/>
    <w:rsid w:val="00C400A8"/>
    <w:rsid w:val="00CB25A0"/>
    <w:rsid w:val="00CE0A3C"/>
    <w:rsid w:val="00D4413C"/>
    <w:rsid w:val="00E97CDD"/>
    <w:rsid w:val="00FD0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A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435D"/>
  </w:style>
  <w:style w:type="table" w:customStyle="1" w:styleId="21">
    <w:name w:val="无格式表格 21"/>
    <w:basedOn w:val="TableNormal"/>
    <w:uiPriority w:val="42"/>
    <w:rsid w:val="0059407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0"/>
    <w:rsid w:val="00AC7C25"/>
    <w:pPr>
      <w:jc w:val="center"/>
    </w:pPr>
    <w:rPr>
      <w:rFonts w:ascii="等线" w:eastAsia="等线" w:hAnsi="等线"/>
      <w:noProof/>
      <w:sz w:val="20"/>
    </w:rPr>
  </w:style>
  <w:style w:type="character" w:customStyle="1" w:styleId="EndNoteBibliographyTitle0">
    <w:name w:val="EndNote Bibliography Title 字符"/>
    <w:basedOn w:val="DefaultParagraphFont"/>
    <w:link w:val="EndNoteBibliographyTitle"/>
    <w:rsid w:val="00AC7C25"/>
    <w:rPr>
      <w:rFonts w:ascii="等线" w:eastAsia="等线" w:hAnsi="等线"/>
      <w:noProof/>
      <w:sz w:val="20"/>
    </w:rPr>
  </w:style>
  <w:style w:type="paragraph" w:customStyle="1" w:styleId="EndNoteBibliography">
    <w:name w:val="EndNote Bibliography"/>
    <w:basedOn w:val="Normal"/>
    <w:link w:val="EndNoteBibliography0"/>
    <w:rsid w:val="00AC7C25"/>
    <w:rPr>
      <w:rFonts w:ascii="等线" w:eastAsia="等线" w:hAnsi="等线"/>
      <w:noProof/>
      <w:sz w:val="20"/>
    </w:rPr>
  </w:style>
  <w:style w:type="character" w:customStyle="1" w:styleId="EndNoteBibliography0">
    <w:name w:val="EndNote Bibliography 字符"/>
    <w:basedOn w:val="DefaultParagraphFont"/>
    <w:link w:val="EndNoteBibliography"/>
    <w:rsid w:val="00AC7C25"/>
    <w:rPr>
      <w:rFonts w:ascii="等线" w:eastAsia="等线" w:hAnsi="等线"/>
      <w:noProof/>
      <w:sz w:val="20"/>
    </w:rPr>
  </w:style>
  <w:style w:type="paragraph" w:styleId="Header">
    <w:name w:val="header"/>
    <w:basedOn w:val="Normal"/>
    <w:link w:val="HeaderChar"/>
    <w:uiPriority w:val="99"/>
    <w:unhideWhenUsed/>
    <w:rsid w:val="00AC7C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C7C25"/>
    <w:rPr>
      <w:sz w:val="18"/>
      <w:szCs w:val="18"/>
    </w:rPr>
  </w:style>
  <w:style w:type="paragraph" w:styleId="Footer">
    <w:name w:val="footer"/>
    <w:basedOn w:val="Normal"/>
    <w:link w:val="FooterChar"/>
    <w:uiPriority w:val="99"/>
    <w:unhideWhenUsed/>
    <w:rsid w:val="00AC7C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C7C25"/>
    <w:rPr>
      <w:sz w:val="18"/>
      <w:szCs w:val="18"/>
    </w:rPr>
  </w:style>
  <w:style w:type="paragraph" w:styleId="BalloonText">
    <w:name w:val="Balloon Text"/>
    <w:basedOn w:val="Normal"/>
    <w:link w:val="BalloonTextChar"/>
    <w:uiPriority w:val="99"/>
    <w:semiHidden/>
    <w:unhideWhenUsed/>
    <w:rsid w:val="00881015"/>
    <w:rPr>
      <w:rFonts w:ascii="Tahoma" w:hAnsi="Tahoma" w:cs="Tahoma"/>
      <w:sz w:val="16"/>
      <w:szCs w:val="16"/>
    </w:rPr>
  </w:style>
  <w:style w:type="character" w:customStyle="1" w:styleId="BalloonTextChar">
    <w:name w:val="Balloon Text Char"/>
    <w:basedOn w:val="DefaultParagraphFont"/>
    <w:link w:val="BalloonText"/>
    <w:uiPriority w:val="99"/>
    <w:semiHidden/>
    <w:rsid w:val="00881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1DEC-9A40-49DD-A02B-88540781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yin-yin hwang</dc:creator>
  <cp:keywords/>
  <dc:description/>
  <cp:lastModifiedBy>0012764</cp:lastModifiedBy>
  <cp:revision>7</cp:revision>
  <dcterms:created xsi:type="dcterms:W3CDTF">2019-11-25T16:38:00Z</dcterms:created>
  <dcterms:modified xsi:type="dcterms:W3CDTF">2019-12-10T05:40:00Z</dcterms:modified>
</cp:coreProperties>
</file>