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ED6" w:rsidRPr="00511B4B" w:rsidRDefault="00511B4B">
      <w:pPr>
        <w:rPr>
          <w:b/>
          <w:lang w:val="en-GB"/>
        </w:rPr>
      </w:pPr>
      <w:r w:rsidRPr="00511B4B">
        <w:rPr>
          <w:b/>
          <w:lang w:val="en-GB"/>
        </w:rPr>
        <w:t>Supplementary data file 1: sensitivity analyses of different constructions of the social capital score</w:t>
      </w:r>
    </w:p>
    <w:p w:rsidR="00511B4B" w:rsidRDefault="00511B4B" w:rsidP="00511B4B">
      <w:pPr>
        <w:rPr>
          <w:lang w:val="en-GB"/>
        </w:rPr>
      </w:pPr>
      <w:r w:rsidRPr="007000BC">
        <w:rPr>
          <w:lang w:val="en-GB"/>
        </w:rPr>
        <w:t xml:space="preserve">We analysed four different scenarios, with different sets of variables in the social capital index, using factor analysis. In each case the social capital index </w:t>
      </w:r>
      <w:r>
        <w:rPr>
          <w:lang w:val="en-GB"/>
        </w:rPr>
        <w:t>included four constructs</w:t>
      </w:r>
      <w:r w:rsidRPr="007000BC">
        <w:rPr>
          <w:lang w:val="en-GB"/>
        </w:rPr>
        <w:t xml:space="preserve">. </w:t>
      </w:r>
      <w:r>
        <w:rPr>
          <w:lang w:val="en-GB"/>
        </w:rPr>
        <w:t>Table S1</w:t>
      </w:r>
      <w:r w:rsidRPr="007000BC">
        <w:rPr>
          <w:lang w:val="en-GB"/>
        </w:rPr>
        <w:t xml:space="preserve"> shows the minimum and maximum values of the index for the four scenarios, and the percentage of households classified differently into low or high social capital, compared with scenario 1.  </w:t>
      </w:r>
    </w:p>
    <w:p w:rsidR="00511B4B" w:rsidRPr="007000BC" w:rsidRDefault="00511B4B" w:rsidP="00511B4B">
      <w:pPr>
        <w:rPr>
          <w:lang w:val="en-GB"/>
        </w:rPr>
      </w:pPr>
      <w:r>
        <w:rPr>
          <w:lang w:val="en-GB"/>
        </w:rPr>
        <w:t>Table S1. Index range and differential categorization of households into low and high social capital, for four different scenarios of construction of the index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8"/>
        <w:gridCol w:w="1167"/>
        <w:gridCol w:w="1205"/>
        <w:gridCol w:w="3746"/>
      </w:tblGrid>
      <w:tr w:rsidR="00511B4B" w:rsidRPr="003F59ED" w:rsidTr="00511B4B"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511B4B" w:rsidRPr="003F59ED" w:rsidRDefault="00511B4B" w:rsidP="00954C6E">
            <w:pPr>
              <w:rPr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Scenario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11B4B" w:rsidRPr="003F59ED" w:rsidRDefault="00511B4B" w:rsidP="00954C6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Minimum value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511B4B" w:rsidRPr="003F59ED" w:rsidRDefault="00511B4B" w:rsidP="00954C6E">
            <w:pPr>
              <w:jc w:val="center"/>
              <w:rPr>
                <w:lang w:val="sk-SK"/>
              </w:rPr>
            </w:pPr>
            <w:r w:rsidRPr="003F59ED">
              <w:rPr>
                <w:lang w:val="sk-SK"/>
              </w:rPr>
              <w:t>Maximum</w:t>
            </w:r>
            <w:r>
              <w:rPr>
                <w:lang w:val="sk-SK"/>
              </w:rPr>
              <w:t xml:space="preserve"> value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511B4B" w:rsidRPr="003F59ED" w:rsidRDefault="00511B4B" w:rsidP="00954C6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Percentage of different classification into low and high*</w:t>
            </w:r>
          </w:p>
        </w:tc>
      </w:tr>
      <w:tr w:rsidR="00511B4B" w:rsidRPr="003F59ED" w:rsidTr="00511B4B">
        <w:tc>
          <w:tcPr>
            <w:tcW w:w="2926" w:type="dxa"/>
            <w:tcBorders>
              <w:top w:val="single" w:sz="4" w:space="0" w:color="auto"/>
            </w:tcBorders>
            <w:vAlign w:val="center"/>
          </w:tcPr>
          <w:p w:rsidR="00511B4B" w:rsidRPr="003F59ED" w:rsidRDefault="00511B4B" w:rsidP="00954C6E">
            <w:pPr>
              <w:rPr>
                <w:lang w:val="sk-SK"/>
              </w:rPr>
            </w:pPr>
            <w:r w:rsidRPr="003F59E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F59ED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>
              <w:rPr>
                <w:rFonts w:ascii="Arial" w:hAnsi="Arial" w:cs="Arial"/>
                <w:sz w:val="20"/>
                <w:szCs w:val="20"/>
              </w:rPr>
              <w:t xml:space="preserve">21 </w:t>
            </w:r>
            <w:r w:rsidRPr="003F59ED">
              <w:rPr>
                <w:rFonts w:ascii="Arial" w:hAnsi="Arial" w:cs="Arial"/>
                <w:sz w:val="20"/>
                <w:szCs w:val="20"/>
              </w:rPr>
              <w:t>variables (21)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11B4B" w:rsidRPr="003F59ED" w:rsidRDefault="00511B4B" w:rsidP="00954C6E">
            <w:pPr>
              <w:jc w:val="center"/>
              <w:rPr>
                <w:lang w:val="sk-SK"/>
              </w:rPr>
            </w:pPr>
            <w:r w:rsidRPr="003F59ED">
              <w:rPr>
                <w:lang w:val="sk-SK"/>
              </w:rPr>
              <w:t>-0.77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511B4B" w:rsidRPr="003F59ED" w:rsidRDefault="00511B4B" w:rsidP="00954C6E">
            <w:pPr>
              <w:jc w:val="center"/>
              <w:rPr>
                <w:lang w:val="sk-SK"/>
              </w:rPr>
            </w:pPr>
            <w:r w:rsidRPr="003F59ED">
              <w:rPr>
                <w:lang w:val="sk-SK"/>
              </w:rPr>
              <w:t>0.84</w:t>
            </w:r>
          </w:p>
        </w:tc>
        <w:tc>
          <w:tcPr>
            <w:tcW w:w="3767" w:type="dxa"/>
            <w:tcBorders>
              <w:top w:val="single" w:sz="4" w:space="0" w:color="auto"/>
            </w:tcBorders>
          </w:tcPr>
          <w:p w:rsidR="00511B4B" w:rsidRPr="003F59ED" w:rsidRDefault="00511B4B" w:rsidP="00954C6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N/A</w:t>
            </w:r>
          </w:p>
        </w:tc>
      </w:tr>
      <w:tr w:rsidR="00511B4B" w:rsidRPr="003F59ED" w:rsidTr="00511B4B">
        <w:tc>
          <w:tcPr>
            <w:tcW w:w="2926" w:type="dxa"/>
            <w:vAlign w:val="center"/>
          </w:tcPr>
          <w:p w:rsidR="00511B4B" w:rsidRPr="003F59ED" w:rsidRDefault="00511B4B" w:rsidP="00954C6E">
            <w:pPr>
              <w:rPr>
                <w:lang w:val="sk-SK"/>
              </w:rPr>
            </w:pPr>
            <w:r w:rsidRPr="003F59E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F59ED">
              <w:rPr>
                <w:rFonts w:ascii="Arial" w:hAnsi="Arial" w:cs="Arial"/>
                <w:sz w:val="20"/>
                <w:szCs w:val="20"/>
              </w:rPr>
              <w:t xml:space="preserve"> 16 variables</w:t>
            </w:r>
          </w:p>
        </w:tc>
        <w:tc>
          <w:tcPr>
            <w:tcW w:w="1080" w:type="dxa"/>
          </w:tcPr>
          <w:p w:rsidR="00511B4B" w:rsidRPr="003F59ED" w:rsidRDefault="00511B4B" w:rsidP="00954C6E">
            <w:pPr>
              <w:jc w:val="center"/>
              <w:rPr>
                <w:lang w:val="sk-SK"/>
              </w:rPr>
            </w:pPr>
            <w:r w:rsidRPr="003F59ED">
              <w:rPr>
                <w:lang w:val="sk-SK"/>
              </w:rPr>
              <w:t>-0.76</w:t>
            </w:r>
          </w:p>
        </w:tc>
        <w:tc>
          <w:tcPr>
            <w:tcW w:w="1205" w:type="dxa"/>
          </w:tcPr>
          <w:p w:rsidR="00511B4B" w:rsidRPr="003F59ED" w:rsidRDefault="00511B4B" w:rsidP="00954C6E">
            <w:pPr>
              <w:jc w:val="center"/>
              <w:rPr>
                <w:lang w:val="sk-SK"/>
              </w:rPr>
            </w:pPr>
            <w:r w:rsidRPr="003F59ED">
              <w:rPr>
                <w:lang w:val="sk-SK"/>
              </w:rPr>
              <w:t>0.88</w:t>
            </w:r>
          </w:p>
        </w:tc>
        <w:tc>
          <w:tcPr>
            <w:tcW w:w="3767" w:type="dxa"/>
          </w:tcPr>
          <w:p w:rsidR="00511B4B" w:rsidRPr="003F59ED" w:rsidRDefault="00511B4B" w:rsidP="00954C6E">
            <w:pPr>
              <w:jc w:val="center"/>
              <w:rPr>
                <w:lang w:val="sk-SK"/>
              </w:rPr>
            </w:pPr>
            <w:r w:rsidRPr="003F59ED">
              <w:rPr>
                <w:lang w:val="sk-SK"/>
              </w:rPr>
              <w:t>0.9%</w:t>
            </w:r>
          </w:p>
        </w:tc>
      </w:tr>
      <w:tr w:rsidR="00511B4B" w:rsidRPr="003F59ED" w:rsidTr="00511B4B">
        <w:tc>
          <w:tcPr>
            <w:tcW w:w="2926" w:type="dxa"/>
            <w:vAlign w:val="center"/>
          </w:tcPr>
          <w:p w:rsidR="00511B4B" w:rsidRPr="003F59ED" w:rsidRDefault="00511B4B" w:rsidP="00954C6E">
            <w:pPr>
              <w:rPr>
                <w:lang w:val="sk-SK"/>
              </w:rPr>
            </w:pPr>
            <w:r w:rsidRPr="003F59E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F59ED">
              <w:rPr>
                <w:rFonts w:ascii="Arial" w:hAnsi="Arial" w:cs="Arial"/>
                <w:sz w:val="20"/>
                <w:szCs w:val="20"/>
              </w:rPr>
              <w:t xml:space="preserve"> 14 variables</w:t>
            </w:r>
          </w:p>
        </w:tc>
        <w:tc>
          <w:tcPr>
            <w:tcW w:w="1080" w:type="dxa"/>
          </w:tcPr>
          <w:p w:rsidR="00511B4B" w:rsidRPr="003F59ED" w:rsidRDefault="00511B4B" w:rsidP="00954C6E">
            <w:pPr>
              <w:jc w:val="center"/>
              <w:rPr>
                <w:lang w:val="sk-SK"/>
              </w:rPr>
            </w:pPr>
            <w:r w:rsidRPr="003F59ED">
              <w:rPr>
                <w:lang w:val="sk-SK"/>
              </w:rPr>
              <w:t>-0.73</w:t>
            </w:r>
          </w:p>
        </w:tc>
        <w:tc>
          <w:tcPr>
            <w:tcW w:w="1205" w:type="dxa"/>
          </w:tcPr>
          <w:p w:rsidR="00511B4B" w:rsidRPr="003F59ED" w:rsidRDefault="00511B4B" w:rsidP="00954C6E">
            <w:pPr>
              <w:jc w:val="center"/>
              <w:rPr>
                <w:lang w:val="sk-SK"/>
              </w:rPr>
            </w:pPr>
            <w:r w:rsidRPr="003F59ED">
              <w:rPr>
                <w:lang w:val="sk-SK"/>
              </w:rPr>
              <w:t>0.82</w:t>
            </w:r>
          </w:p>
        </w:tc>
        <w:tc>
          <w:tcPr>
            <w:tcW w:w="3767" w:type="dxa"/>
          </w:tcPr>
          <w:p w:rsidR="00511B4B" w:rsidRPr="003F59ED" w:rsidRDefault="00511B4B" w:rsidP="00954C6E">
            <w:pPr>
              <w:jc w:val="center"/>
              <w:rPr>
                <w:lang w:val="sk-SK"/>
              </w:rPr>
            </w:pPr>
            <w:r w:rsidRPr="003F59ED">
              <w:rPr>
                <w:lang w:val="sk-SK"/>
              </w:rPr>
              <w:t>1.3%</w:t>
            </w:r>
          </w:p>
        </w:tc>
      </w:tr>
      <w:tr w:rsidR="00511B4B" w:rsidRPr="003F59ED" w:rsidTr="00511B4B">
        <w:tc>
          <w:tcPr>
            <w:tcW w:w="2926" w:type="dxa"/>
            <w:tcBorders>
              <w:bottom w:val="single" w:sz="4" w:space="0" w:color="auto"/>
            </w:tcBorders>
            <w:vAlign w:val="center"/>
          </w:tcPr>
          <w:p w:rsidR="00511B4B" w:rsidRPr="003F59ED" w:rsidRDefault="00511B4B" w:rsidP="00954C6E">
            <w:pPr>
              <w:rPr>
                <w:lang w:val="sk-SK"/>
              </w:rPr>
            </w:pPr>
            <w:r w:rsidRPr="003F59E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F59ED">
              <w:rPr>
                <w:rFonts w:ascii="Arial" w:hAnsi="Arial" w:cs="Arial"/>
                <w:sz w:val="20"/>
                <w:szCs w:val="20"/>
              </w:rPr>
              <w:t>12 variables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11B4B" w:rsidRPr="003F59ED" w:rsidRDefault="00511B4B" w:rsidP="00954C6E">
            <w:pPr>
              <w:jc w:val="center"/>
              <w:rPr>
                <w:lang w:val="sk-SK"/>
              </w:rPr>
            </w:pPr>
            <w:r w:rsidRPr="003F59ED">
              <w:rPr>
                <w:lang w:val="sk-SK"/>
              </w:rPr>
              <w:t>-0.93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511B4B" w:rsidRPr="003F59ED" w:rsidRDefault="00511B4B" w:rsidP="00954C6E">
            <w:pPr>
              <w:jc w:val="center"/>
              <w:rPr>
                <w:lang w:val="sk-SK"/>
              </w:rPr>
            </w:pPr>
            <w:r w:rsidRPr="003F59ED">
              <w:rPr>
                <w:lang w:val="sk-SK"/>
              </w:rPr>
              <w:t>0.60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511B4B" w:rsidRPr="003F59ED" w:rsidRDefault="00511B4B" w:rsidP="00954C6E">
            <w:pPr>
              <w:jc w:val="center"/>
              <w:rPr>
                <w:lang w:val="sk-SK"/>
              </w:rPr>
            </w:pPr>
            <w:r w:rsidRPr="003F59ED">
              <w:rPr>
                <w:lang w:val="sk-SK"/>
              </w:rPr>
              <w:t>5.5%</w:t>
            </w:r>
          </w:p>
        </w:tc>
      </w:tr>
    </w:tbl>
    <w:p w:rsidR="00511B4B" w:rsidRPr="007000BC" w:rsidRDefault="00511B4B" w:rsidP="00511B4B">
      <w:pPr>
        <w:rPr>
          <w:lang w:val="sk-SK"/>
        </w:rPr>
      </w:pPr>
      <w:r w:rsidRPr="007000BC">
        <w:rPr>
          <w:lang w:val="sk-SK"/>
        </w:rPr>
        <w:t>*Compared with scenario 1</w:t>
      </w:r>
    </w:p>
    <w:p w:rsidR="00B720C7" w:rsidRDefault="00B720C7" w:rsidP="00511B4B">
      <w:pPr>
        <w:rPr>
          <w:lang w:val="en-GB"/>
        </w:rPr>
      </w:pPr>
    </w:p>
    <w:p w:rsidR="00511B4B" w:rsidRDefault="00511B4B" w:rsidP="00511B4B">
      <w:pPr>
        <w:rPr>
          <w:lang w:val="en-GB"/>
        </w:rPr>
      </w:pPr>
      <w:r>
        <w:rPr>
          <w:lang w:val="en-GB"/>
        </w:rPr>
        <w:t xml:space="preserve">Table </w:t>
      </w:r>
      <w:r w:rsidR="00C54DEB">
        <w:rPr>
          <w:lang w:val="en-GB"/>
        </w:rPr>
        <w:t>S</w:t>
      </w:r>
      <w:bookmarkStart w:id="0" w:name="_GoBack"/>
      <w:bookmarkEnd w:id="0"/>
      <w:r>
        <w:rPr>
          <w:lang w:val="en-GB"/>
        </w:rPr>
        <w:t>2</w:t>
      </w:r>
      <w:r w:rsidRPr="0090163D">
        <w:rPr>
          <w:lang w:val="en-GB"/>
        </w:rPr>
        <w:t xml:space="preserve"> shows the OR, 95% </w:t>
      </w:r>
      <w:proofErr w:type="spellStart"/>
      <w:r w:rsidRPr="0090163D">
        <w:rPr>
          <w:lang w:val="en-GB"/>
        </w:rPr>
        <w:t>CIca</w:t>
      </w:r>
      <w:proofErr w:type="spellEnd"/>
      <w:r w:rsidRPr="0090163D">
        <w:rPr>
          <w:lang w:val="en-GB"/>
        </w:rPr>
        <w:t>, and Mantel-Haenszel chi-square for the association</w:t>
      </w:r>
      <w:r>
        <w:rPr>
          <w:lang w:val="en-GB"/>
        </w:rPr>
        <w:t>s</w:t>
      </w:r>
      <w:r w:rsidRPr="0090163D">
        <w:rPr>
          <w:lang w:val="en-GB"/>
        </w:rPr>
        <w:t xml:space="preserve"> between high social capital score and </w:t>
      </w:r>
      <w:r>
        <w:rPr>
          <w:lang w:val="en-GB"/>
        </w:rPr>
        <w:t xml:space="preserve">absence of larvae and/or pupae and absence of pupae only, for the four scenarios of constructing the social capital score. The values of OR, 95%CIca and Mantel-Haenszel chi-square are stable across the four scenarios for construction of the social capital index. </w:t>
      </w:r>
    </w:p>
    <w:p w:rsidR="00511B4B" w:rsidRPr="0090163D" w:rsidRDefault="00511B4B" w:rsidP="00511B4B">
      <w:pPr>
        <w:rPr>
          <w:lang w:val="en-GB"/>
        </w:rPr>
      </w:pPr>
      <w:r>
        <w:rPr>
          <w:lang w:val="en-GB"/>
        </w:rPr>
        <w:t xml:space="preserve">Table </w:t>
      </w:r>
      <w:r w:rsidR="00A53611">
        <w:rPr>
          <w:lang w:val="en-GB"/>
        </w:rPr>
        <w:t>S</w:t>
      </w:r>
      <w:r>
        <w:rPr>
          <w:lang w:val="en-GB"/>
        </w:rPr>
        <w:t>2. Associations between social capital and absence of larvae/pupae and of pupae for the four different constructions of the social capital score</w:t>
      </w:r>
    </w:p>
    <w:tbl>
      <w:tblPr>
        <w:tblStyle w:val="Tablaconcuadrcula"/>
        <w:tblW w:w="7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56"/>
        <w:gridCol w:w="1234"/>
        <w:gridCol w:w="2924"/>
      </w:tblGrid>
      <w:tr w:rsidR="00A53611" w:rsidRPr="00A53611" w:rsidTr="00A53611">
        <w:trPr>
          <w:trHeight w:val="56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B4B" w:rsidRPr="00A53611" w:rsidRDefault="00A53611" w:rsidP="00954C6E">
            <w:r w:rsidRPr="00A53611">
              <w:rPr>
                <w:rFonts w:ascii="Arial" w:hAnsi="Arial" w:cs="Arial"/>
                <w:sz w:val="20"/>
                <w:szCs w:val="20"/>
              </w:rPr>
              <w:t>High social capital score scenario</w:t>
            </w:r>
          </w:p>
        </w:tc>
        <w:tc>
          <w:tcPr>
            <w:tcW w:w="49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1B4B" w:rsidRPr="00A53611" w:rsidRDefault="00511B4B" w:rsidP="00954C6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3611">
              <w:rPr>
                <w:rFonts w:ascii="Arial" w:hAnsi="Arial" w:cs="Arial"/>
                <w:sz w:val="20"/>
                <w:szCs w:val="20"/>
                <w:lang w:val="en-US"/>
              </w:rPr>
              <w:t>Association with being negative for larvae &amp; pupae</w:t>
            </w:r>
          </w:p>
        </w:tc>
      </w:tr>
      <w:tr w:rsidR="00A53611" w:rsidRPr="00A53611" w:rsidTr="00A53611">
        <w:trPr>
          <w:trHeight w:val="378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511B4B" w:rsidRPr="00A53611" w:rsidRDefault="00511B4B" w:rsidP="00954C6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511B4B" w:rsidRPr="00A53611" w:rsidRDefault="00511B4B" w:rsidP="0095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611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vAlign w:val="center"/>
          </w:tcPr>
          <w:p w:rsidR="00511B4B" w:rsidRPr="00A53611" w:rsidRDefault="00511B4B" w:rsidP="0095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611">
              <w:rPr>
                <w:rFonts w:ascii="Arial" w:hAnsi="Arial" w:cs="Arial"/>
                <w:sz w:val="20"/>
                <w:szCs w:val="20"/>
              </w:rPr>
              <w:t>95% CIca</w:t>
            </w:r>
          </w:p>
        </w:tc>
        <w:tc>
          <w:tcPr>
            <w:tcW w:w="2924" w:type="dxa"/>
            <w:tcBorders>
              <w:top w:val="single" w:sz="4" w:space="0" w:color="auto"/>
            </w:tcBorders>
            <w:vAlign w:val="center"/>
          </w:tcPr>
          <w:p w:rsidR="00511B4B" w:rsidRPr="00A53611" w:rsidRDefault="00511B4B" w:rsidP="0095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611">
              <w:rPr>
                <w:rFonts w:ascii="Arial" w:hAnsi="Arial" w:cs="Arial"/>
                <w:sz w:val="20"/>
                <w:szCs w:val="20"/>
              </w:rPr>
              <w:t>Mantel-Haenszel chi-square</w:t>
            </w:r>
          </w:p>
        </w:tc>
      </w:tr>
      <w:tr w:rsidR="00A53611" w:rsidRPr="00A53611" w:rsidTr="00A53611">
        <w:tc>
          <w:tcPr>
            <w:tcW w:w="2518" w:type="dxa"/>
            <w:vAlign w:val="center"/>
          </w:tcPr>
          <w:p w:rsidR="00511B4B" w:rsidRPr="00A53611" w:rsidRDefault="00511B4B" w:rsidP="00954C6E">
            <w:pPr>
              <w:rPr>
                <w:rFonts w:ascii="Arial" w:hAnsi="Arial" w:cs="Arial"/>
                <w:sz w:val="20"/>
                <w:szCs w:val="20"/>
              </w:rPr>
            </w:pPr>
            <w:r w:rsidRPr="00A53611">
              <w:rPr>
                <w:rFonts w:ascii="Arial" w:hAnsi="Arial" w:cs="Arial"/>
                <w:sz w:val="20"/>
                <w:szCs w:val="20"/>
              </w:rPr>
              <w:t>1</w:t>
            </w:r>
            <w:r w:rsidR="00A53611" w:rsidRPr="00A53611">
              <w:rPr>
                <w:rFonts w:ascii="Arial" w:hAnsi="Arial" w:cs="Arial"/>
                <w:sz w:val="20"/>
                <w:szCs w:val="20"/>
              </w:rPr>
              <w:t>.</w:t>
            </w:r>
            <w:r w:rsidRPr="00A53611">
              <w:rPr>
                <w:rFonts w:ascii="Arial" w:hAnsi="Arial" w:cs="Arial"/>
                <w:sz w:val="20"/>
                <w:szCs w:val="20"/>
              </w:rPr>
              <w:t xml:space="preserve"> All variables (21)</w:t>
            </w:r>
          </w:p>
        </w:tc>
        <w:tc>
          <w:tcPr>
            <w:tcW w:w="756" w:type="dxa"/>
            <w:vAlign w:val="center"/>
          </w:tcPr>
          <w:p w:rsidR="00511B4B" w:rsidRPr="00A53611" w:rsidRDefault="00A53611" w:rsidP="0095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611">
              <w:rPr>
                <w:rFonts w:ascii="Arial" w:hAnsi="Arial" w:cs="Arial"/>
                <w:sz w:val="20"/>
                <w:szCs w:val="20"/>
              </w:rPr>
              <w:t>1.38</w:t>
            </w:r>
          </w:p>
        </w:tc>
        <w:tc>
          <w:tcPr>
            <w:tcW w:w="1234" w:type="dxa"/>
            <w:vAlign w:val="center"/>
          </w:tcPr>
          <w:p w:rsidR="00511B4B" w:rsidRPr="00A53611" w:rsidRDefault="00A53611" w:rsidP="0095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611">
              <w:rPr>
                <w:rFonts w:ascii="Arial" w:hAnsi="Arial" w:cs="Arial"/>
                <w:sz w:val="20"/>
                <w:szCs w:val="20"/>
              </w:rPr>
              <w:t>1.12-1.69</w:t>
            </w:r>
          </w:p>
        </w:tc>
        <w:tc>
          <w:tcPr>
            <w:tcW w:w="2924" w:type="dxa"/>
            <w:vAlign w:val="center"/>
          </w:tcPr>
          <w:p w:rsidR="00511B4B" w:rsidRPr="00A53611" w:rsidRDefault="00A53611" w:rsidP="0095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611">
              <w:rPr>
                <w:rFonts w:ascii="Arial" w:hAnsi="Arial" w:cs="Arial"/>
                <w:sz w:val="20"/>
                <w:szCs w:val="20"/>
              </w:rPr>
              <w:t>31.59</w:t>
            </w:r>
          </w:p>
        </w:tc>
      </w:tr>
      <w:tr w:rsidR="00A53611" w:rsidRPr="00A53611" w:rsidTr="00A53611">
        <w:tc>
          <w:tcPr>
            <w:tcW w:w="2518" w:type="dxa"/>
            <w:vAlign w:val="center"/>
          </w:tcPr>
          <w:p w:rsidR="00511B4B" w:rsidRPr="00A53611" w:rsidRDefault="00511B4B" w:rsidP="00954C6E">
            <w:pPr>
              <w:rPr>
                <w:rFonts w:ascii="Arial" w:hAnsi="Arial" w:cs="Arial"/>
                <w:sz w:val="20"/>
                <w:szCs w:val="20"/>
              </w:rPr>
            </w:pPr>
            <w:r w:rsidRPr="00A53611">
              <w:rPr>
                <w:rFonts w:ascii="Arial" w:hAnsi="Arial" w:cs="Arial"/>
                <w:sz w:val="20"/>
                <w:szCs w:val="20"/>
              </w:rPr>
              <w:t>2</w:t>
            </w:r>
            <w:r w:rsidR="00A53611" w:rsidRPr="00A53611">
              <w:rPr>
                <w:rFonts w:ascii="Arial" w:hAnsi="Arial" w:cs="Arial"/>
                <w:sz w:val="20"/>
                <w:szCs w:val="20"/>
              </w:rPr>
              <w:t>.</w:t>
            </w:r>
            <w:r w:rsidRPr="00A53611">
              <w:rPr>
                <w:rFonts w:ascii="Arial" w:hAnsi="Arial" w:cs="Arial"/>
                <w:sz w:val="20"/>
                <w:szCs w:val="20"/>
              </w:rPr>
              <w:t xml:space="preserve"> 16 variables</w:t>
            </w:r>
          </w:p>
        </w:tc>
        <w:tc>
          <w:tcPr>
            <w:tcW w:w="756" w:type="dxa"/>
            <w:vAlign w:val="center"/>
          </w:tcPr>
          <w:p w:rsidR="00511B4B" w:rsidRPr="00A53611" w:rsidRDefault="00A53611" w:rsidP="0095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611">
              <w:rPr>
                <w:rFonts w:ascii="Arial" w:hAnsi="Arial" w:cs="Arial"/>
                <w:sz w:val="20"/>
                <w:szCs w:val="20"/>
              </w:rPr>
              <w:t>1.39</w:t>
            </w:r>
          </w:p>
        </w:tc>
        <w:tc>
          <w:tcPr>
            <w:tcW w:w="1234" w:type="dxa"/>
            <w:vAlign w:val="center"/>
          </w:tcPr>
          <w:p w:rsidR="00511B4B" w:rsidRPr="00A53611" w:rsidRDefault="00A53611" w:rsidP="0095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611">
              <w:rPr>
                <w:rFonts w:ascii="Arial" w:hAnsi="Arial" w:cs="Arial"/>
                <w:sz w:val="20"/>
                <w:szCs w:val="20"/>
              </w:rPr>
              <w:t>1.13-1.70</w:t>
            </w:r>
          </w:p>
        </w:tc>
        <w:tc>
          <w:tcPr>
            <w:tcW w:w="2924" w:type="dxa"/>
            <w:vAlign w:val="center"/>
          </w:tcPr>
          <w:p w:rsidR="00511B4B" w:rsidRPr="00A53611" w:rsidRDefault="00A53611" w:rsidP="0095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611">
              <w:rPr>
                <w:rFonts w:ascii="Arial" w:hAnsi="Arial" w:cs="Arial"/>
                <w:sz w:val="20"/>
                <w:szCs w:val="20"/>
              </w:rPr>
              <w:t>32.47</w:t>
            </w:r>
          </w:p>
        </w:tc>
      </w:tr>
      <w:tr w:rsidR="00A53611" w:rsidRPr="00A53611" w:rsidTr="00A53611">
        <w:tc>
          <w:tcPr>
            <w:tcW w:w="2518" w:type="dxa"/>
            <w:vAlign w:val="center"/>
          </w:tcPr>
          <w:p w:rsidR="00511B4B" w:rsidRPr="00A53611" w:rsidRDefault="00511B4B" w:rsidP="00954C6E">
            <w:pPr>
              <w:rPr>
                <w:rFonts w:ascii="Arial" w:hAnsi="Arial" w:cs="Arial"/>
                <w:sz w:val="20"/>
                <w:szCs w:val="20"/>
              </w:rPr>
            </w:pPr>
            <w:r w:rsidRPr="00A53611">
              <w:rPr>
                <w:rFonts w:ascii="Arial" w:hAnsi="Arial" w:cs="Arial"/>
                <w:sz w:val="20"/>
                <w:szCs w:val="20"/>
              </w:rPr>
              <w:t>3</w:t>
            </w:r>
            <w:r w:rsidR="00A53611" w:rsidRPr="00A53611">
              <w:rPr>
                <w:rFonts w:ascii="Arial" w:hAnsi="Arial" w:cs="Arial"/>
                <w:sz w:val="20"/>
                <w:szCs w:val="20"/>
              </w:rPr>
              <w:t>.</w:t>
            </w:r>
            <w:r w:rsidRPr="00A53611">
              <w:rPr>
                <w:rFonts w:ascii="Arial" w:hAnsi="Arial" w:cs="Arial"/>
                <w:sz w:val="20"/>
                <w:szCs w:val="20"/>
              </w:rPr>
              <w:t xml:space="preserve"> 14 variables</w:t>
            </w:r>
          </w:p>
        </w:tc>
        <w:tc>
          <w:tcPr>
            <w:tcW w:w="756" w:type="dxa"/>
            <w:vAlign w:val="center"/>
          </w:tcPr>
          <w:p w:rsidR="00511B4B" w:rsidRPr="00A53611" w:rsidRDefault="00A53611" w:rsidP="0095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611">
              <w:rPr>
                <w:rFonts w:ascii="Arial" w:hAnsi="Arial" w:cs="Arial"/>
                <w:sz w:val="20"/>
                <w:szCs w:val="20"/>
              </w:rPr>
              <w:t>1.41</w:t>
            </w:r>
          </w:p>
        </w:tc>
        <w:tc>
          <w:tcPr>
            <w:tcW w:w="1234" w:type="dxa"/>
            <w:vAlign w:val="center"/>
          </w:tcPr>
          <w:p w:rsidR="00511B4B" w:rsidRPr="00A53611" w:rsidRDefault="00A53611" w:rsidP="0095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611">
              <w:rPr>
                <w:rFonts w:ascii="Arial" w:hAnsi="Arial" w:cs="Arial"/>
                <w:sz w:val="20"/>
                <w:szCs w:val="20"/>
              </w:rPr>
              <w:t>1.15-1.73</w:t>
            </w:r>
          </w:p>
        </w:tc>
        <w:tc>
          <w:tcPr>
            <w:tcW w:w="2924" w:type="dxa"/>
            <w:vAlign w:val="center"/>
          </w:tcPr>
          <w:p w:rsidR="00511B4B" w:rsidRPr="00A53611" w:rsidRDefault="00A53611" w:rsidP="0095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611">
              <w:rPr>
                <w:rFonts w:ascii="Arial" w:hAnsi="Arial" w:cs="Arial"/>
                <w:sz w:val="20"/>
                <w:szCs w:val="20"/>
              </w:rPr>
              <w:t>35.57</w:t>
            </w:r>
          </w:p>
        </w:tc>
      </w:tr>
      <w:tr w:rsidR="00A53611" w:rsidRPr="00A53611" w:rsidTr="00A53611"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511B4B" w:rsidRPr="00A53611" w:rsidRDefault="00511B4B" w:rsidP="00954C6E">
            <w:pPr>
              <w:rPr>
                <w:rFonts w:ascii="Arial" w:hAnsi="Arial" w:cs="Arial"/>
                <w:sz w:val="20"/>
                <w:szCs w:val="20"/>
              </w:rPr>
            </w:pPr>
            <w:r w:rsidRPr="00A53611">
              <w:rPr>
                <w:rFonts w:ascii="Arial" w:hAnsi="Arial" w:cs="Arial"/>
                <w:sz w:val="20"/>
                <w:szCs w:val="20"/>
              </w:rPr>
              <w:t>4</w:t>
            </w:r>
            <w:r w:rsidR="00A53611" w:rsidRPr="00A53611">
              <w:rPr>
                <w:rFonts w:ascii="Arial" w:hAnsi="Arial" w:cs="Arial"/>
                <w:sz w:val="20"/>
                <w:szCs w:val="20"/>
              </w:rPr>
              <w:t>.</w:t>
            </w:r>
            <w:r w:rsidRPr="00A53611">
              <w:rPr>
                <w:rFonts w:ascii="Arial" w:hAnsi="Arial" w:cs="Arial"/>
                <w:sz w:val="20"/>
                <w:szCs w:val="20"/>
              </w:rPr>
              <w:t xml:space="preserve"> 12 variables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511B4B" w:rsidRPr="00A53611" w:rsidRDefault="00A53611" w:rsidP="0095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611">
              <w:rPr>
                <w:rFonts w:ascii="Arial" w:hAnsi="Arial" w:cs="Arial"/>
                <w:sz w:val="20"/>
                <w:szCs w:val="20"/>
              </w:rPr>
              <w:t>1.40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:rsidR="00511B4B" w:rsidRPr="00A53611" w:rsidRDefault="00A53611" w:rsidP="0095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611">
              <w:rPr>
                <w:rFonts w:ascii="Arial" w:hAnsi="Arial" w:cs="Arial"/>
                <w:sz w:val="20"/>
                <w:szCs w:val="20"/>
              </w:rPr>
              <w:t>1.15-1.69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:rsidR="00511B4B" w:rsidRPr="00A53611" w:rsidRDefault="00A53611" w:rsidP="0095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611">
              <w:rPr>
                <w:rFonts w:ascii="Arial" w:hAnsi="Arial" w:cs="Arial"/>
                <w:sz w:val="20"/>
                <w:szCs w:val="20"/>
              </w:rPr>
              <w:t>34.18</w:t>
            </w:r>
          </w:p>
        </w:tc>
      </w:tr>
      <w:tr w:rsidR="00A53611" w:rsidRPr="00A53611" w:rsidTr="00A53611">
        <w:trPr>
          <w:trHeight w:val="56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B4B" w:rsidRPr="00A53611" w:rsidRDefault="00A53611" w:rsidP="00954C6E">
            <w:r w:rsidRPr="00A53611">
              <w:rPr>
                <w:rFonts w:ascii="Arial" w:hAnsi="Arial" w:cs="Arial"/>
                <w:sz w:val="20"/>
                <w:szCs w:val="20"/>
              </w:rPr>
              <w:t>High social capital score scenario</w:t>
            </w:r>
          </w:p>
        </w:tc>
        <w:tc>
          <w:tcPr>
            <w:tcW w:w="49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1B4B" w:rsidRPr="00A53611" w:rsidRDefault="00511B4B" w:rsidP="00954C6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3611">
              <w:rPr>
                <w:rFonts w:ascii="Arial" w:hAnsi="Arial" w:cs="Arial"/>
                <w:sz w:val="20"/>
                <w:szCs w:val="20"/>
                <w:lang w:val="en-US"/>
              </w:rPr>
              <w:t>Association with being negative for pupae</w:t>
            </w:r>
          </w:p>
        </w:tc>
      </w:tr>
      <w:tr w:rsidR="00A53611" w:rsidRPr="00A53611" w:rsidTr="00A53611">
        <w:trPr>
          <w:trHeight w:val="378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511B4B" w:rsidRPr="00A53611" w:rsidRDefault="00511B4B" w:rsidP="00954C6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511B4B" w:rsidRPr="00A53611" w:rsidRDefault="00511B4B" w:rsidP="0095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611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vAlign w:val="center"/>
          </w:tcPr>
          <w:p w:rsidR="00511B4B" w:rsidRPr="00A53611" w:rsidRDefault="00511B4B" w:rsidP="0095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611">
              <w:rPr>
                <w:rFonts w:ascii="Arial" w:hAnsi="Arial" w:cs="Arial"/>
                <w:sz w:val="20"/>
                <w:szCs w:val="20"/>
              </w:rPr>
              <w:t>95% CIca</w:t>
            </w:r>
          </w:p>
        </w:tc>
        <w:tc>
          <w:tcPr>
            <w:tcW w:w="2924" w:type="dxa"/>
            <w:tcBorders>
              <w:top w:val="single" w:sz="4" w:space="0" w:color="auto"/>
            </w:tcBorders>
            <w:vAlign w:val="center"/>
          </w:tcPr>
          <w:p w:rsidR="00511B4B" w:rsidRPr="00A53611" w:rsidRDefault="00511B4B" w:rsidP="0095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611">
              <w:rPr>
                <w:rFonts w:ascii="Arial" w:hAnsi="Arial" w:cs="Arial"/>
                <w:sz w:val="20"/>
                <w:szCs w:val="20"/>
              </w:rPr>
              <w:t>Mantel-Haenszel estimate</w:t>
            </w:r>
          </w:p>
        </w:tc>
      </w:tr>
      <w:tr w:rsidR="00A53611" w:rsidRPr="00A53611" w:rsidTr="00A53611">
        <w:tc>
          <w:tcPr>
            <w:tcW w:w="2518" w:type="dxa"/>
            <w:vAlign w:val="center"/>
          </w:tcPr>
          <w:p w:rsidR="00511B4B" w:rsidRPr="00A53611" w:rsidRDefault="00511B4B" w:rsidP="00954C6E">
            <w:pPr>
              <w:rPr>
                <w:rFonts w:ascii="Arial" w:hAnsi="Arial" w:cs="Arial"/>
                <w:sz w:val="20"/>
                <w:szCs w:val="20"/>
              </w:rPr>
            </w:pPr>
            <w:r w:rsidRPr="00A53611">
              <w:rPr>
                <w:rFonts w:ascii="Arial" w:hAnsi="Arial" w:cs="Arial"/>
                <w:sz w:val="20"/>
                <w:szCs w:val="20"/>
              </w:rPr>
              <w:t>1</w:t>
            </w:r>
            <w:r w:rsidR="00A53611" w:rsidRPr="00A53611">
              <w:rPr>
                <w:rFonts w:ascii="Arial" w:hAnsi="Arial" w:cs="Arial"/>
                <w:sz w:val="20"/>
                <w:szCs w:val="20"/>
              </w:rPr>
              <w:t>.</w:t>
            </w:r>
            <w:r w:rsidRPr="00A53611">
              <w:rPr>
                <w:rFonts w:ascii="Arial" w:hAnsi="Arial" w:cs="Arial"/>
                <w:sz w:val="20"/>
                <w:szCs w:val="20"/>
              </w:rPr>
              <w:t xml:space="preserve"> All variables (21)</w:t>
            </w:r>
          </w:p>
        </w:tc>
        <w:tc>
          <w:tcPr>
            <w:tcW w:w="756" w:type="dxa"/>
            <w:vAlign w:val="center"/>
          </w:tcPr>
          <w:p w:rsidR="00511B4B" w:rsidRPr="00A53611" w:rsidRDefault="00A53611" w:rsidP="0095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611">
              <w:rPr>
                <w:rFonts w:ascii="Arial" w:hAnsi="Arial" w:cs="Arial"/>
                <w:sz w:val="20"/>
                <w:szCs w:val="20"/>
              </w:rPr>
              <w:t>1.37</w:t>
            </w:r>
          </w:p>
        </w:tc>
        <w:tc>
          <w:tcPr>
            <w:tcW w:w="1234" w:type="dxa"/>
            <w:vAlign w:val="center"/>
          </w:tcPr>
          <w:p w:rsidR="00511B4B" w:rsidRPr="00A53611" w:rsidRDefault="00A53611" w:rsidP="0095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611">
              <w:rPr>
                <w:rFonts w:ascii="Arial" w:hAnsi="Arial" w:cs="Arial"/>
                <w:sz w:val="20"/>
                <w:szCs w:val="20"/>
              </w:rPr>
              <w:t>1.08-1.74</w:t>
            </w:r>
          </w:p>
        </w:tc>
        <w:tc>
          <w:tcPr>
            <w:tcW w:w="2924" w:type="dxa"/>
            <w:vAlign w:val="center"/>
          </w:tcPr>
          <w:p w:rsidR="00511B4B" w:rsidRPr="00A53611" w:rsidRDefault="00A53611" w:rsidP="0095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611">
              <w:rPr>
                <w:rFonts w:ascii="Arial" w:hAnsi="Arial" w:cs="Arial"/>
                <w:sz w:val="20"/>
                <w:szCs w:val="20"/>
              </w:rPr>
              <w:t>17.12</w:t>
            </w:r>
          </w:p>
        </w:tc>
      </w:tr>
      <w:tr w:rsidR="00A53611" w:rsidRPr="00A53611" w:rsidTr="00A53611">
        <w:tc>
          <w:tcPr>
            <w:tcW w:w="2518" w:type="dxa"/>
            <w:vAlign w:val="center"/>
          </w:tcPr>
          <w:p w:rsidR="00511B4B" w:rsidRPr="00A53611" w:rsidRDefault="00511B4B" w:rsidP="00954C6E">
            <w:pPr>
              <w:rPr>
                <w:rFonts w:ascii="Arial" w:hAnsi="Arial" w:cs="Arial"/>
                <w:sz w:val="20"/>
                <w:szCs w:val="20"/>
              </w:rPr>
            </w:pPr>
            <w:r w:rsidRPr="00A53611">
              <w:rPr>
                <w:rFonts w:ascii="Arial" w:hAnsi="Arial" w:cs="Arial"/>
                <w:sz w:val="20"/>
                <w:szCs w:val="20"/>
              </w:rPr>
              <w:t>2</w:t>
            </w:r>
            <w:r w:rsidR="00A53611" w:rsidRPr="00A53611">
              <w:rPr>
                <w:rFonts w:ascii="Arial" w:hAnsi="Arial" w:cs="Arial"/>
                <w:sz w:val="20"/>
                <w:szCs w:val="20"/>
              </w:rPr>
              <w:t>.</w:t>
            </w:r>
            <w:r w:rsidRPr="00A53611">
              <w:rPr>
                <w:rFonts w:ascii="Arial" w:hAnsi="Arial" w:cs="Arial"/>
                <w:sz w:val="20"/>
                <w:szCs w:val="20"/>
              </w:rPr>
              <w:t xml:space="preserve"> 16 variables</w:t>
            </w:r>
          </w:p>
        </w:tc>
        <w:tc>
          <w:tcPr>
            <w:tcW w:w="756" w:type="dxa"/>
            <w:vAlign w:val="center"/>
          </w:tcPr>
          <w:p w:rsidR="00511B4B" w:rsidRPr="00A53611" w:rsidRDefault="00A53611" w:rsidP="0095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611">
              <w:rPr>
                <w:rFonts w:ascii="Arial" w:hAnsi="Arial" w:cs="Arial"/>
                <w:sz w:val="20"/>
                <w:szCs w:val="20"/>
              </w:rPr>
              <w:t>1.37</w:t>
            </w:r>
          </w:p>
        </w:tc>
        <w:tc>
          <w:tcPr>
            <w:tcW w:w="1234" w:type="dxa"/>
            <w:vAlign w:val="center"/>
          </w:tcPr>
          <w:p w:rsidR="00511B4B" w:rsidRPr="00A53611" w:rsidRDefault="00A53611" w:rsidP="0095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611">
              <w:rPr>
                <w:rFonts w:ascii="Arial" w:hAnsi="Arial" w:cs="Arial"/>
                <w:sz w:val="20"/>
                <w:szCs w:val="20"/>
              </w:rPr>
              <w:t>1.07-1.74</w:t>
            </w:r>
          </w:p>
        </w:tc>
        <w:tc>
          <w:tcPr>
            <w:tcW w:w="2924" w:type="dxa"/>
            <w:vAlign w:val="center"/>
          </w:tcPr>
          <w:p w:rsidR="00511B4B" w:rsidRPr="00A53611" w:rsidRDefault="00A53611" w:rsidP="0095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611"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</w:tr>
      <w:tr w:rsidR="00A53611" w:rsidRPr="00A53611" w:rsidTr="00A53611">
        <w:tc>
          <w:tcPr>
            <w:tcW w:w="2518" w:type="dxa"/>
            <w:vAlign w:val="center"/>
          </w:tcPr>
          <w:p w:rsidR="00511B4B" w:rsidRPr="00A53611" w:rsidRDefault="00511B4B" w:rsidP="00954C6E">
            <w:pPr>
              <w:rPr>
                <w:rFonts w:ascii="Arial" w:hAnsi="Arial" w:cs="Arial"/>
                <w:sz w:val="20"/>
                <w:szCs w:val="20"/>
              </w:rPr>
            </w:pPr>
            <w:r w:rsidRPr="00A53611">
              <w:rPr>
                <w:rFonts w:ascii="Arial" w:hAnsi="Arial" w:cs="Arial"/>
                <w:sz w:val="20"/>
                <w:szCs w:val="20"/>
              </w:rPr>
              <w:t>3</w:t>
            </w:r>
            <w:r w:rsidR="00A53611" w:rsidRPr="00A53611">
              <w:rPr>
                <w:rFonts w:ascii="Arial" w:hAnsi="Arial" w:cs="Arial"/>
                <w:sz w:val="20"/>
                <w:szCs w:val="20"/>
              </w:rPr>
              <w:t>.</w:t>
            </w:r>
            <w:r w:rsidRPr="00A53611">
              <w:rPr>
                <w:rFonts w:ascii="Arial" w:hAnsi="Arial" w:cs="Arial"/>
                <w:sz w:val="20"/>
                <w:szCs w:val="20"/>
              </w:rPr>
              <w:t xml:space="preserve"> 14 variables</w:t>
            </w:r>
          </w:p>
        </w:tc>
        <w:tc>
          <w:tcPr>
            <w:tcW w:w="756" w:type="dxa"/>
            <w:vAlign w:val="center"/>
          </w:tcPr>
          <w:p w:rsidR="00511B4B" w:rsidRPr="00A53611" w:rsidRDefault="00A53611" w:rsidP="0095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611">
              <w:rPr>
                <w:rFonts w:ascii="Arial" w:hAnsi="Arial" w:cs="Arial"/>
                <w:sz w:val="20"/>
                <w:szCs w:val="20"/>
              </w:rPr>
              <w:t>1.36</w:t>
            </w:r>
          </w:p>
        </w:tc>
        <w:tc>
          <w:tcPr>
            <w:tcW w:w="1234" w:type="dxa"/>
            <w:vAlign w:val="center"/>
          </w:tcPr>
          <w:p w:rsidR="00511B4B" w:rsidRPr="00A53611" w:rsidRDefault="00A53611" w:rsidP="0095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611">
              <w:rPr>
                <w:rFonts w:ascii="Arial" w:hAnsi="Arial" w:cs="Arial"/>
                <w:sz w:val="20"/>
                <w:szCs w:val="20"/>
              </w:rPr>
              <w:t>1.07-1.74</w:t>
            </w:r>
          </w:p>
        </w:tc>
        <w:tc>
          <w:tcPr>
            <w:tcW w:w="2924" w:type="dxa"/>
            <w:vAlign w:val="center"/>
          </w:tcPr>
          <w:p w:rsidR="00511B4B" w:rsidRPr="00A53611" w:rsidRDefault="00A53611" w:rsidP="0095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611">
              <w:rPr>
                <w:rFonts w:ascii="Arial" w:hAnsi="Arial" w:cs="Arial"/>
                <w:sz w:val="20"/>
                <w:szCs w:val="20"/>
              </w:rPr>
              <w:t>16.72</w:t>
            </w:r>
          </w:p>
        </w:tc>
      </w:tr>
      <w:tr w:rsidR="00A53611" w:rsidRPr="00A53611" w:rsidTr="00A53611"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511B4B" w:rsidRPr="00A53611" w:rsidRDefault="00511B4B" w:rsidP="00954C6E">
            <w:pPr>
              <w:rPr>
                <w:rFonts w:ascii="Arial" w:hAnsi="Arial" w:cs="Arial"/>
                <w:sz w:val="20"/>
                <w:szCs w:val="20"/>
              </w:rPr>
            </w:pPr>
            <w:r w:rsidRPr="00A53611">
              <w:rPr>
                <w:rFonts w:ascii="Arial" w:hAnsi="Arial" w:cs="Arial"/>
                <w:sz w:val="20"/>
                <w:szCs w:val="20"/>
              </w:rPr>
              <w:t>4</w:t>
            </w:r>
            <w:r w:rsidR="00A53611" w:rsidRPr="00A53611">
              <w:rPr>
                <w:rFonts w:ascii="Arial" w:hAnsi="Arial" w:cs="Arial"/>
                <w:sz w:val="20"/>
                <w:szCs w:val="20"/>
              </w:rPr>
              <w:t>.</w:t>
            </w:r>
            <w:r w:rsidRPr="00A53611">
              <w:rPr>
                <w:rFonts w:ascii="Arial" w:hAnsi="Arial" w:cs="Arial"/>
                <w:sz w:val="20"/>
                <w:szCs w:val="20"/>
              </w:rPr>
              <w:t xml:space="preserve"> 12 variables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511B4B" w:rsidRPr="00A53611" w:rsidRDefault="00A53611" w:rsidP="0095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611">
              <w:rPr>
                <w:rFonts w:ascii="Arial" w:hAnsi="Arial" w:cs="Arial"/>
                <w:sz w:val="20"/>
                <w:szCs w:val="20"/>
              </w:rPr>
              <w:t>1.38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:rsidR="00511B4B" w:rsidRPr="00A53611" w:rsidRDefault="00A53611" w:rsidP="0095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611">
              <w:rPr>
                <w:rFonts w:ascii="Arial" w:hAnsi="Arial" w:cs="Arial"/>
                <w:sz w:val="20"/>
                <w:szCs w:val="20"/>
              </w:rPr>
              <w:t>1.10-1.74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:rsidR="00511B4B" w:rsidRPr="00A53611" w:rsidRDefault="00A53611" w:rsidP="0095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611">
              <w:rPr>
                <w:rFonts w:ascii="Arial" w:hAnsi="Arial" w:cs="Arial"/>
                <w:sz w:val="20"/>
                <w:szCs w:val="20"/>
              </w:rPr>
              <w:t>18.08</w:t>
            </w:r>
          </w:p>
        </w:tc>
      </w:tr>
    </w:tbl>
    <w:p w:rsidR="00511B4B" w:rsidRPr="005A5C11" w:rsidRDefault="00511B4B" w:rsidP="00511B4B">
      <w:pPr>
        <w:rPr>
          <w:color w:val="FF0000"/>
          <w:lang w:val="en-US"/>
        </w:rPr>
      </w:pPr>
    </w:p>
    <w:p w:rsidR="00511B4B" w:rsidRPr="00511B4B" w:rsidRDefault="00511B4B">
      <w:pPr>
        <w:rPr>
          <w:lang w:val="en-GB"/>
        </w:rPr>
      </w:pPr>
    </w:p>
    <w:sectPr w:rsidR="00511B4B" w:rsidRPr="00511B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4B"/>
    <w:rsid w:val="00511B4B"/>
    <w:rsid w:val="00A53611"/>
    <w:rsid w:val="00B720C7"/>
    <w:rsid w:val="00C54DEB"/>
    <w:rsid w:val="00DC5ED6"/>
    <w:rsid w:val="00E7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C4A1"/>
  <w15:chartTrackingRefBased/>
  <w15:docId w15:val="{C85BD153-6CF1-46E4-8C7F-8A25223E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11B4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Cockcroft</dc:creator>
  <cp:keywords/>
  <dc:description/>
  <cp:lastModifiedBy>527449094682</cp:lastModifiedBy>
  <cp:revision>3</cp:revision>
  <dcterms:created xsi:type="dcterms:W3CDTF">2019-06-29T14:01:00Z</dcterms:created>
  <dcterms:modified xsi:type="dcterms:W3CDTF">2019-06-29T14:18:00Z</dcterms:modified>
</cp:coreProperties>
</file>