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973C" w14:textId="50616CE8" w:rsidR="00B5378E" w:rsidRPr="00436F53" w:rsidRDefault="0044158B" w:rsidP="00436F53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Additional file</w:t>
      </w:r>
      <w:r w:rsidRPr="00436F53">
        <w:rPr>
          <w:b/>
          <w:sz w:val="24"/>
          <w:u w:val="single"/>
        </w:rPr>
        <w:t xml:space="preserve"> </w:t>
      </w:r>
      <w:r w:rsidR="00B42B8D" w:rsidRPr="00436F53">
        <w:rPr>
          <w:b/>
          <w:sz w:val="24"/>
          <w:u w:val="single"/>
        </w:rPr>
        <w:t>3</w:t>
      </w:r>
      <w:r w:rsidR="00157BEC" w:rsidRPr="00436F53">
        <w:rPr>
          <w:b/>
          <w:sz w:val="24"/>
          <w:u w:val="single"/>
        </w:rPr>
        <w:t>:</w:t>
      </w:r>
      <w:r w:rsidR="00DD269A" w:rsidRPr="00436F53">
        <w:rPr>
          <w:b/>
          <w:sz w:val="24"/>
          <w:u w:val="single"/>
        </w:rPr>
        <w:t xml:space="preserve"> </w:t>
      </w:r>
      <w:r w:rsidR="00617A9A" w:rsidRPr="00436F53">
        <w:rPr>
          <w:b/>
          <w:sz w:val="24"/>
          <w:u w:val="single"/>
        </w:rPr>
        <w:t>Definitions for the criteria against which reviewers</w:t>
      </w:r>
      <w:r w:rsidR="00436F53" w:rsidRPr="00436F53">
        <w:rPr>
          <w:b/>
          <w:sz w:val="24"/>
          <w:u w:val="single"/>
        </w:rPr>
        <w:t xml:space="preserve"> </w:t>
      </w:r>
      <w:r w:rsidR="00617A9A" w:rsidRPr="00436F53">
        <w:rPr>
          <w:b/>
          <w:sz w:val="24"/>
          <w:u w:val="single"/>
        </w:rPr>
        <w:t>marked indicator compliance</w:t>
      </w:r>
    </w:p>
    <w:p w14:paraId="7D13F325" w14:textId="77777777" w:rsidR="00B42B8D" w:rsidRPr="00B42B8D" w:rsidRDefault="00B42B8D" w:rsidP="00B42B8D">
      <w:pPr>
        <w:rPr>
          <w:b/>
          <w:lang w:val="en-US"/>
        </w:rPr>
      </w:pPr>
      <w:r w:rsidRPr="00B42B8D">
        <w:rPr>
          <w:b/>
          <w:lang w:val="en-US"/>
        </w:rPr>
        <w:t xml:space="preserve">Department of Health and Ageing National </w:t>
      </w:r>
      <w:proofErr w:type="spellStart"/>
      <w:r w:rsidRPr="00B42B8D">
        <w:rPr>
          <w:b/>
          <w:lang w:val="en-US"/>
        </w:rPr>
        <w:t>Immunisation</w:t>
      </w:r>
      <w:proofErr w:type="spellEnd"/>
      <w:r w:rsidRPr="00B42B8D">
        <w:rPr>
          <w:b/>
          <w:lang w:val="en-US"/>
        </w:rPr>
        <w:t xml:space="preserve"> Schedule (as at May 2012)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2B8D" w:rsidRPr="00B42B8D" w14:paraId="5CDCC834" w14:textId="77777777" w:rsidTr="00906768">
        <w:tc>
          <w:tcPr>
            <w:tcW w:w="4508" w:type="dxa"/>
          </w:tcPr>
          <w:p w14:paraId="0163C17D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Birth</w:t>
            </w:r>
          </w:p>
        </w:tc>
        <w:tc>
          <w:tcPr>
            <w:tcW w:w="4508" w:type="dxa"/>
          </w:tcPr>
          <w:p w14:paraId="6B029360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Hepatitis B (</w:t>
            </w:r>
            <w:proofErr w:type="spellStart"/>
            <w:r w:rsidRPr="00B42B8D">
              <w:rPr>
                <w:lang w:val="en-US"/>
              </w:rPr>
              <w:t>hepB</w:t>
            </w:r>
            <w:proofErr w:type="spellEnd"/>
            <w:r w:rsidRPr="00B42B8D">
              <w:rPr>
                <w:lang w:val="en-US"/>
              </w:rPr>
              <w:t>)</w:t>
            </w:r>
          </w:p>
        </w:tc>
      </w:tr>
      <w:tr w:rsidR="00B42B8D" w:rsidRPr="00B42B8D" w14:paraId="12B65038" w14:textId="77777777" w:rsidTr="00906768">
        <w:tc>
          <w:tcPr>
            <w:tcW w:w="4508" w:type="dxa"/>
          </w:tcPr>
          <w:p w14:paraId="1CF961B6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2 months</w:t>
            </w:r>
          </w:p>
        </w:tc>
        <w:tc>
          <w:tcPr>
            <w:tcW w:w="4508" w:type="dxa"/>
          </w:tcPr>
          <w:p w14:paraId="26264F65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Hepatitis B (</w:t>
            </w:r>
            <w:proofErr w:type="spellStart"/>
            <w:r w:rsidRPr="00B42B8D">
              <w:rPr>
                <w:lang w:val="en-US"/>
              </w:rPr>
              <w:t>hepB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26C0AC16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Diphtheria, tetanus and whooping cough (</w:t>
            </w:r>
            <w:proofErr w:type="spellStart"/>
            <w:r w:rsidRPr="00B42B8D">
              <w:rPr>
                <w:lang w:val="en-US"/>
              </w:rPr>
              <w:t>acellular</w:t>
            </w:r>
            <w:proofErr w:type="spellEnd"/>
            <w:r w:rsidRPr="00B42B8D">
              <w:rPr>
                <w:lang w:val="en-US"/>
              </w:rPr>
              <w:t xml:space="preserve"> pertussis) (</w:t>
            </w:r>
            <w:proofErr w:type="spellStart"/>
            <w:r w:rsidRPr="00B42B8D">
              <w:rPr>
                <w:lang w:val="en-US"/>
              </w:rPr>
              <w:t>DTPa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48968C07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B42B8D">
              <w:rPr>
                <w:i/>
                <w:lang w:val="en-US"/>
              </w:rPr>
              <w:t>Haemophilus</w:t>
            </w:r>
            <w:proofErr w:type="spellEnd"/>
            <w:r w:rsidRPr="00B42B8D">
              <w:rPr>
                <w:i/>
                <w:lang w:val="en-US"/>
              </w:rPr>
              <w:t xml:space="preserve"> </w:t>
            </w:r>
            <w:proofErr w:type="spellStart"/>
            <w:r w:rsidRPr="00B42B8D">
              <w:rPr>
                <w:i/>
                <w:lang w:val="en-US"/>
              </w:rPr>
              <w:t>influenzae</w:t>
            </w:r>
            <w:proofErr w:type="spellEnd"/>
            <w:r w:rsidRPr="00B42B8D">
              <w:rPr>
                <w:lang w:val="en-US"/>
              </w:rPr>
              <w:t xml:space="preserve"> type b (</w:t>
            </w:r>
            <w:proofErr w:type="spellStart"/>
            <w:r w:rsidRPr="00B42B8D">
              <w:rPr>
                <w:lang w:val="en-US"/>
              </w:rPr>
              <w:t>Hib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5286BFAF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Polio (inactivated poliomyelitis) (IPV)</w:t>
            </w:r>
          </w:p>
          <w:p w14:paraId="16747FEF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Pneumococcal conjugate (13VPCV)</w:t>
            </w:r>
          </w:p>
          <w:p w14:paraId="0E5CA1C2" w14:textId="77777777" w:rsidR="00B42B8D" w:rsidRPr="00B42B8D" w:rsidRDefault="00B42B8D" w:rsidP="00B42B8D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B42B8D">
              <w:rPr>
                <w:lang w:val="en-US"/>
              </w:rPr>
              <w:t>Rotavirus</w:t>
            </w:r>
          </w:p>
        </w:tc>
      </w:tr>
      <w:tr w:rsidR="00B42B8D" w:rsidRPr="00B42B8D" w14:paraId="3D9CC863" w14:textId="77777777" w:rsidTr="00906768">
        <w:tc>
          <w:tcPr>
            <w:tcW w:w="4508" w:type="dxa"/>
          </w:tcPr>
          <w:p w14:paraId="7730256B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4 months</w:t>
            </w:r>
          </w:p>
        </w:tc>
        <w:tc>
          <w:tcPr>
            <w:tcW w:w="4508" w:type="dxa"/>
          </w:tcPr>
          <w:p w14:paraId="0D18791A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Hepatitis B (</w:t>
            </w:r>
            <w:proofErr w:type="spellStart"/>
            <w:r w:rsidRPr="00B42B8D">
              <w:rPr>
                <w:lang w:val="en-US"/>
              </w:rPr>
              <w:t>hepB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7EEA9E67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Diphtheria, tetanus and whooping cough (</w:t>
            </w:r>
            <w:proofErr w:type="spellStart"/>
            <w:r w:rsidRPr="00B42B8D">
              <w:rPr>
                <w:lang w:val="en-US"/>
              </w:rPr>
              <w:t>acellular</w:t>
            </w:r>
            <w:proofErr w:type="spellEnd"/>
            <w:r w:rsidRPr="00B42B8D">
              <w:rPr>
                <w:lang w:val="en-US"/>
              </w:rPr>
              <w:t xml:space="preserve"> pertussis) (</w:t>
            </w:r>
            <w:proofErr w:type="spellStart"/>
            <w:r w:rsidRPr="00B42B8D">
              <w:rPr>
                <w:lang w:val="en-US"/>
              </w:rPr>
              <w:t>DTPa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09CBCBF5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B42B8D">
              <w:rPr>
                <w:i/>
                <w:lang w:val="en-US"/>
              </w:rPr>
              <w:t>Haemophilus</w:t>
            </w:r>
            <w:proofErr w:type="spellEnd"/>
            <w:r w:rsidRPr="00B42B8D">
              <w:rPr>
                <w:i/>
                <w:lang w:val="en-US"/>
              </w:rPr>
              <w:t xml:space="preserve"> </w:t>
            </w:r>
            <w:proofErr w:type="spellStart"/>
            <w:r w:rsidRPr="00B42B8D">
              <w:rPr>
                <w:i/>
                <w:lang w:val="en-US"/>
              </w:rPr>
              <w:t>influenzae</w:t>
            </w:r>
            <w:proofErr w:type="spellEnd"/>
            <w:r w:rsidRPr="00B42B8D">
              <w:rPr>
                <w:lang w:val="en-US"/>
              </w:rPr>
              <w:t xml:space="preserve"> type b (</w:t>
            </w:r>
            <w:proofErr w:type="spellStart"/>
            <w:r w:rsidRPr="00B42B8D">
              <w:rPr>
                <w:lang w:val="en-US"/>
              </w:rPr>
              <w:t>Hib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6A5C3744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Polio (inactivated poliomyelitis) (IPV)</w:t>
            </w:r>
          </w:p>
          <w:p w14:paraId="6EC10D8F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Pneumococcal conjugate (13VPCV)</w:t>
            </w:r>
          </w:p>
          <w:p w14:paraId="7F320954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Rotavirus</w:t>
            </w:r>
          </w:p>
        </w:tc>
      </w:tr>
      <w:tr w:rsidR="00B42B8D" w:rsidRPr="00B42B8D" w14:paraId="5DC2B21E" w14:textId="77777777" w:rsidTr="00906768">
        <w:tc>
          <w:tcPr>
            <w:tcW w:w="4508" w:type="dxa"/>
          </w:tcPr>
          <w:p w14:paraId="42C054F5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6 months</w:t>
            </w:r>
          </w:p>
        </w:tc>
        <w:tc>
          <w:tcPr>
            <w:tcW w:w="4508" w:type="dxa"/>
          </w:tcPr>
          <w:p w14:paraId="6788106C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Hepatitis B (</w:t>
            </w:r>
            <w:proofErr w:type="spellStart"/>
            <w:r w:rsidRPr="00B42B8D">
              <w:rPr>
                <w:lang w:val="en-US"/>
              </w:rPr>
              <w:t>hepB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69EADBC5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Diphtheria, tetanus and whooping cough (</w:t>
            </w:r>
            <w:proofErr w:type="spellStart"/>
            <w:r w:rsidRPr="00B42B8D">
              <w:rPr>
                <w:lang w:val="en-US"/>
              </w:rPr>
              <w:t>acellular</w:t>
            </w:r>
            <w:proofErr w:type="spellEnd"/>
            <w:r w:rsidRPr="00B42B8D">
              <w:rPr>
                <w:lang w:val="en-US"/>
              </w:rPr>
              <w:t xml:space="preserve"> pertussis) (</w:t>
            </w:r>
            <w:proofErr w:type="spellStart"/>
            <w:r w:rsidRPr="00B42B8D">
              <w:rPr>
                <w:lang w:val="en-US"/>
              </w:rPr>
              <w:t>DTPa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71FDFAEA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B42B8D">
              <w:rPr>
                <w:i/>
                <w:lang w:val="en-US"/>
              </w:rPr>
              <w:t>Haemophilus</w:t>
            </w:r>
            <w:proofErr w:type="spellEnd"/>
            <w:r w:rsidRPr="00B42B8D">
              <w:rPr>
                <w:i/>
                <w:lang w:val="en-US"/>
              </w:rPr>
              <w:t xml:space="preserve"> </w:t>
            </w:r>
            <w:proofErr w:type="spellStart"/>
            <w:r w:rsidRPr="00B42B8D">
              <w:rPr>
                <w:i/>
                <w:lang w:val="en-US"/>
              </w:rPr>
              <w:t>influenzae</w:t>
            </w:r>
            <w:proofErr w:type="spellEnd"/>
            <w:r w:rsidRPr="00B42B8D">
              <w:rPr>
                <w:lang w:val="en-US"/>
              </w:rPr>
              <w:t xml:space="preserve"> type b (</w:t>
            </w:r>
            <w:proofErr w:type="spellStart"/>
            <w:r w:rsidRPr="00B42B8D">
              <w:rPr>
                <w:lang w:val="en-US"/>
              </w:rPr>
              <w:t>Hib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378FE7DB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Polio (inactivated poliomyelitis) (IPV)</w:t>
            </w:r>
          </w:p>
          <w:p w14:paraId="26BE9859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Pneumococcal conjugate (13VPCV)</w:t>
            </w:r>
          </w:p>
          <w:p w14:paraId="78E7555C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Rotavirus</w:t>
            </w:r>
          </w:p>
        </w:tc>
      </w:tr>
      <w:tr w:rsidR="00B42B8D" w:rsidRPr="00B42B8D" w14:paraId="07346526" w14:textId="77777777" w:rsidTr="00906768">
        <w:tc>
          <w:tcPr>
            <w:tcW w:w="4508" w:type="dxa"/>
          </w:tcPr>
          <w:p w14:paraId="113800F1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12 months</w:t>
            </w:r>
          </w:p>
        </w:tc>
        <w:tc>
          <w:tcPr>
            <w:tcW w:w="4508" w:type="dxa"/>
          </w:tcPr>
          <w:p w14:paraId="2C88E170" w14:textId="77777777" w:rsidR="00B42B8D" w:rsidRPr="00B42B8D" w:rsidRDefault="00B42B8D" w:rsidP="00B42B8D">
            <w:pPr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B42B8D">
              <w:rPr>
                <w:i/>
                <w:lang w:val="en-US"/>
              </w:rPr>
              <w:t>Haemophilus</w:t>
            </w:r>
            <w:proofErr w:type="spellEnd"/>
            <w:r w:rsidRPr="00B42B8D">
              <w:rPr>
                <w:i/>
                <w:lang w:val="en-US"/>
              </w:rPr>
              <w:t xml:space="preserve"> </w:t>
            </w:r>
            <w:proofErr w:type="spellStart"/>
            <w:r w:rsidRPr="00B42B8D">
              <w:rPr>
                <w:i/>
                <w:lang w:val="en-US"/>
              </w:rPr>
              <w:t>influenzae</w:t>
            </w:r>
            <w:proofErr w:type="spellEnd"/>
            <w:r w:rsidRPr="00B42B8D">
              <w:rPr>
                <w:lang w:val="en-US"/>
              </w:rPr>
              <w:t xml:space="preserve"> type b (</w:t>
            </w:r>
            <w:proofErr w:type="spellStart"/>
            <w:r w:rsidRPr="00B42B8D">
              <w:rPr>
                <w:lang w:val="en-US"/>
              </w:rPr>
              <w:t>Hib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1A3D4EE5" w14:textId="77777777" w:rsidR="00B42B8D" w:rsidRPr="00B42B8D" w:rsidRDefault="00B42B8D" w:rsidP="00B42B8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B42B8D">
              <w:rPr>
                <w:lang w:val="en-US"/>
              </w:rPr>
              <w:t>Measles, mumps and rubella (MMR)</w:t>
            </w:r>
          </w:p>
          <w:p w14:paraId="3D086C6D" w14:textId="77777777" w:rsidR="00B42B8D" w:rsidRPr="00B42B8D" w:rsidRDefault="00B42B8D" w:rsidP="00B42B8D">
            <w:pPr>
              <w:numPr>
                <w:ilvl w:val="0"/>
                <w:numId w:val="4"/>
              </w:numPr>
              <w:rPr>
                <w:lang w:val="en-US"/>
              </w:rPr>
            </w:pPr>
            <w:r w:rsidRPr="00B42B8D">
              <w:rPr>
                <w:lang w:val="en-US"/>
              </w:rPr>
              <w:t>Meningococcal C (</w:t>
            </w:r>
            <w:proofErr w:type="spellStart"/>
            <w:r w:rsidRPr="00B42B8D">
              <w:rPr>
                <w:lang w:val="en-US"/>
              </w:rPr>
              <w:t>MenCCV</w:t>
            </w:r>
            <w:proofErr w:type="spellEnd"/>
            <w:r w:rsidRPr="00B42B8D">
              <w:rPr>
                <w:lang w:val="en-US"/>
              </w:rPr>
              <w:t>)</w:t>
            </w:r>
          </w:p>
        </w:tc>
      </w:tr>
      <w:tr w:rsidR="00B42B8D" w:rsidRPr="00B42B8D" w14:paraId="266883C2" w14:textId="77777777" w:rsidTr="00906768">
        <w:tc>
          <w:tcPr>
            <w:tcW w:w="4508" w:type="dxa"/>
          </w:tcPr>
          <w:p w14:paraId="0019043A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18 months</w:t>
            </w:r>
          </w:p>
        </w:tc>
        <w:tc>
          <w:tcPr>
            <w:tcW w:w="4508" w:type="dxa"/>
          </w:tcPr>
          <w:p w14:paraId="5AC3D8FF" w14:textId="77777777" w:rsidR="00B42B8D" w:rsidRPr="00B42B8D" w:rsidRDefault="00B42B8D" w:rsidP="00B42B8D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B42B8D">
              <w:rPr>
                <w:lang w:val="en-US"/>
              </w:rPr>
              <w:t>Chickenpox (varicella) (VZV)</w:t>
            </w:r>
          </w:p>
        </w:tc>
      </w:tr>
      <w:tr w:rsidR="00B42B8D" w:rsidRPr="00B42B8D" w14:paraId="52768C00" w14:textId="77777777" w:rsidTr="00906768">
        <w:tc>
          <w:tcPr>
            <w:tcW w:w="4508" w:type="dxa"/>
          </w:tcPr>
          <w:p w14:paraId="129377C8" w14:textId="77777777" w:rsidR="00B42B8D" w:rsidRPr="00B42B8D" w:rsidRDefault="00B42B8D" w:rsidP="00B42B8D">
            <w:pPr>
              <w:rPr>
                <w:lang w:val="en-US"/>
              </w:rPr>
            </w:pPr>
            <w:r w:rsidRPr="00B42B8D">
              <w:rPr>
                <w:lang w:val="en-US"/>
              </w:rPr>
              <w:t>4 years</w:t>
            </w:r>
          </w:p>
        </w:tc>
        <w:tc>
          <w:tcPr>
            <w:tcW w:w="4508" w:type="dxa"/>
          </w:tcPr>
          <w:p w14:paraId="3E66E004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Diphtheria, tetanus and whooping cough (</w:t>
            </w:r>
            <w:proofErr w:type="spellStart"/>
            <w:r w:rsidRPr="00B42B8D">
              <w:rPr>
                <w:lang w:val="en-US"/>
              </w:rPr>
              <w:t>acellular</w:t>
            </w:r>
            <w:proofErr w:type="spellEnd"/>
            <w:r w:rsidRPr="00B42B8D">
              <w:rPr>
                <w:lang w:val="en-US"/>
              </w:rPr>
              <w:t xml:space="preserve"> pertussis) (</w:t>
            </w:r>
            <w:proofErr w:type="spellStart"/>
            <w:r w:rsidRPr="00B42B8D">
              <w:rPr>
                <w:lang w:val="en-US"/>
              </w:rPr>
              <w:t>DTPa</w:t>
            </w:r>
            <w:proofErr w:type="spellEnd"/>
            <w:r w:rsidRPr="00B42B8D">
              <w:rPr>
                <w:lang w:val="en-US"/>
              </w:rPr>
              <w:t>)</w:t>
            </w:r>
          </w:p>
          <w:p w14:paraId="0BACC150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Polio (inactivated poliomyelitis) (IPV)</w:t>
            </w:r>
          </w:p>
          <w:p w14:paraId="7D80D4F4" w14:textId="77777777" w:rsidR="00B42B8D" w:rsidRPr="00B42B8D" w:rsidRDefault="00B42B8D" w:rsidP="00B42B8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B42B8D">
              <w:rPr>
                <w:lang w:val="en-US"/>
              </w:rPr>
              <w:t>Measles, mumps and rubella (MMR)</w:t>
            </w:r>
          </w:p>
        </w:tc>
      </w:tr>
    </w:tbl>
    <w:p w14:paraId="6822CA89" w14:textId="77777777" w:rsidR="00B42B8D" w:rsidRDefault="00B42B8D" w:rsidP="00F37CA6">
      <w:pPr>
        <w:spacing w:after="0" w:line="240" w:lineRule="auto"/>
        <w:rPr>
          <w:b/>
          <w:lang w:val="en-US"/>
        </w:rPr>
      </w:pPr>
    </w:p>
    <w:p w14:paraId="28E5C37A" w14:textId="77777777" w:rsidR="00B42B8D" w:rsidRPr="00B42B8D" w:rsidRDefault="00B42B8D" w:rsidP="00F37CA6">
      <w:pPr>
        <w:spacing w:after="0" w:line="240" w:lineRule="auto"/>
        <w:rPr>
          <w:b/>
          <w:lang w:val="en-US"/>
        </w:rPr>
      </w:pPr>
      <w:r w:rsidRPr="00B42B8D">
        <w:rPr>
          <w:b/>
          <w:lang w:val="en-US"/>
        </w:rPr>
        <w:t xml:space="preserve">Eye examination: </w:t>
      </w:r>
    </w:p>
    <w:p w14:paraId="1188F33E" w14:textId="77777777" w:rsidR="00B42B8D" w:rsidRPr="00B42B8D" w:rsidRDefault="00B42B8D" w:rsidP="00F37CA6">
      <w:pPr>
        <w:spacing w:after="0" w:line="240" w:lineRule="auto"/>
        <w:rPr>
          <w:lang w:val="en-US"/>
        </w:rPr>
      </w:pPr>
      <w:r w:rsidRPr="00B42B8D">
        <w:rPr>
          <w:i/>
          <w:lang w:val="en-US"/>
        </w:rPr>
        <w:t>2, 4 and 6 months -</w:t>
      </w:r>
      <w:r w:rsidRPr="00B42B8D">
        <w:rPr>
          <w:b/>
          <w:lang w:val="en-US"/>
        </w:rPr>
        <w:t xml:space="preserve"> </w:t>
      </w:r>
      <w:r w:rsidRPr="00B42B8D">
        <w:rPr>
          <w:lang w:val="en-US"/>
        </w:rPr>
        <w:t>observation, fixation and following</w:t>
      </w:r>
    </w:p>
    <w:p w14:paraId="4DE855C8" w14:textId="77777777" w:rsidR="00B42B8D" w:rsidRPr="00B42B8D" w:rsidRDefault="00B42B8D" w:rsidP="00F37CA6">
      <w:pPr>
        <w:spacing w:after="0" w:line="240" w:lineRule="auto"/>
        <w:rPr>
          <w:lang w:val="en-US"/>
        </w:rPr>
      </w:pPr>
      <w:r w:rsidRPr="00B42B8D">
        <w:rPr>
          <w:i/>
          <w:lang w:val="en-US"/>
        </w:rPr>
        <w:t xml:space="preserve">12 and 18 months - </w:t>
      </w:r>
      <w:r w:rsidRPr="00B42B8D">
        <w:rPr>
          <w:lang w:val="en-US"/>
        </w:rPr>
        <w:t>observation, fixation and following, corneal light reflex</w:t>
      </w:r>
    </w:p>
    <w:p w14:paraId="19C0D8F7" w14:textId="77777777" w:rsidR="00B42B8D" w:rsidRDefault="00B42B8D" w:rsidP="00F37CA6">
      <w:pPr>
        <w:spacing w:after="0" w:line="240" w:lineRule="auto"/>
        <w:rPr>
          <w:b/>
          <w:lang w:val="en-US"/>
        </w:rPr>
      </w:pPr>
    </w:p>
    <w:p w14:paraId="652FC5B3" w14:textId="77777777" w:rsidR="00B42B8D" w:rsidRPr="00B42B8D" w:rsidRDefault="00B42B8D" w:rsidP="00F37CA6">
      <w:pPr>
        <w:spacing w:after="0" w:line="240" w:lineRule="auto"/>
        <w:rPr>
          <w:lang w:val="en-US"/>
        </w:rPr>
      </w:pPr>
      <w:r w:rsidRPr="00B42B8D">
        <w:rPr>
          <w:b/>
          <w:lang w:val="en-US"/>
        </w:rPr>
        <w:t>Nutrition assessment:</w:t>
      </w:r>
      <w:r w:rsidRPr="00B42B8D">
        <w:rPr>
          <w:lang w:val="en-US"/>
        </w:rPr>
        <w:t xml:space="preserve"> breastfeeding and solids</w:t>
      </w:r>
    </w:p>
    <w:p w14:paraId="1650447D" w14:textId="77777777" w:rsidR="00B42B8D" w:rsidRDefault="00B42B8D" w:rsidP="00F37CA6">
      <w:pPr>
        <w:spacing w:after="0" w:line="240" w:lineRule="auto"/>
        <w:rPr>
          <w:b/>
          <w:lang w:val="en-US"/>
        </w:rPr>
      </w:pPr>
    </w:p>
    <w:p w14:paraId="74C06161" w14:textId="77777777" w:rsidR="00B42B8D" w:rsidRPr="00B42B8D" w:rsidRDefault="00B42B8D" w:rsidP="00F37CA6">
      <w:pPr>
        <w:spacing w:after="0" w:line="240" w:lineRule="auto"/>
        <w:rPr>
          <w:lang w:val="en-US"/>
        </w:rPr>
      </w:pPr>
      <w:r w:rsidRPr="00B42B8D">
        <w:rPr>
          <w:b/>
          <w:lang w:val="en-US"/>
        </w:rPr>
        <w:t>Oral health examination:</w:t>
      </w:r>
      <w:r w:rsidRPr="00B42B8D">
        <w:rPr>
          <w:lang w:val="en-US"/>
        </w:rPr>
        <w:t xml:space="preserve"> teeth and gums</w:t>
      </w:r>
    </w:p>
    <w:p w14:paraId="20603133" w14:textId="77777777" w:rsidR="00B42B8D" w:rsidRDefault="00B42B8D" w:rsidP="00F37CA6">
      <w:pPr>
        <w:spacing w:after="0" w:line="240" w:lineRule="auto"/>
        <w:rPr>
          <w:b/>
          <w:lang w:val="en-US"/>
        </w:rPr>
      </w:pPr>
    </w:p>
    <w:p w14:paraId="1364C206" w14:textId="77777777" w:rsidR="00B42B8D" w:rsidRPr="00B42B8D" w:rsidRDefault="00B42B8D" w:rsidP="00F37CA6">
      <w:pPr>
        <w:spacing w:after="0" w:line="240" w:lineRule="auto"/>
        <w:rPr>
          <w:lang w:val="en-US"/>
        </w:rPr>
      </w:pPr>
      <w:r w:rsidRPr="00B42B8D">
        <w:rPr>
          <w:b/>
          <w:lang w:val="en-US"/>
        </w:rPr>
        <w:t xml:space="preserve">Parental concerns: </w:t>
      </w:r>
      <w:r w:rsidRPr="00B42B8D">
        <w:rPr>
          <w:lang w:val="en-US"/>
        </w:rPr>
        <w:t xml:space="preserve">“any parental concerns” can relate to specific or general signs, symptoms and presentations (e.g. a new condition/illness, or general developmental progress). </w:t>
      </w:r>
    </w:p>
    <w:p w14:paraId="615D5139" w14:textId="1A3FBC6C" w:rsidR="00B42B8D" w:rsidRDefault="00B42B8D" w:rsidP="00B42B8D"/>
    <w:p w14:paraId="33A322A8" w14:textId="77777777" w:rsidR="0079736C" w:rsidRPr="0079736C" w:rsidRDefault="0079736C" w:rsidP="00B42B8D">
      <w:pPr>
        <w:rPr>
          <w:b/>
        </w:rPr>
      </w:pPr>
      <w:r w:rsidRPr="0079736C">
        <w:rPr>
          <w:b/>
        </w:rPr>
        <w:t>Other care providers:</w:t>
      </w:r>
    </w:p>
    <w:p w14:paraId="280439E9" w14:textId="085AD610" w:rsidR="0079736C" w:rsidRDefault="0052288E" w:rsidP="00B42B8D">
      <w:r w:rsidRPr="0052288E">
        <w:lastRenderedPageBreak/>
        <w:t xml:space="preserve">If it </w:t>
      </w:r>
      <w:r w:rsidR="0079736C">
        <w:t>i</w:t>
      </w:r>
      <w:r w:rsidRPr="0052288E">
        <w:t>s noted within GP records that components of preventive care ha</w:t>
      </w:r>
      <w:r w:rsidR="0079736C">
        <w:t>ve</w:t>
      </w:r>
      <w:r w:rsidRPr="0052288E">
        <w:t xml:space="preserve"> been delivered by other primary care clinicians external to the practice (i.e. not including their own practice nurses), IQs for these care components </w:t>
      </w:r>
      <w:r w:rsidR="001F25E8">
        <w:t xml:space="preserve">should be assessed </w:t>
      </w:r>
      <w:r w:rsidRPr="0052288E">
        <w:t xml:space="preserve">as ‘not applicable’.  </w:t>
      </w:r>
    </w:p>
    <w:p w14:paraId="2022FC50" w14:textId="77777777" w:rsidR="0079736C" w:rsidRDefault="0079736C" w:rsidP="00B42B8D"/>
    <w:p w14:paraId="283DA7B5" w14:textId="77777777" w:rsidR="0079736C" w:rsidRPr="0079736C" w:rsidRDefault="0079736C" w:rsidP="00B42B8D">
      <w:pPr>
        <w:rPr>
          <w:b/>
        </w:rPr>
      </w:pPr>
      <w:r w:rsidRPr="0079736C">
        <w:rPr>
          <w:b/>
        </w:rPr>
        <w:t xml:space="preserve">Care refusal: </w:t>
      </w:r>
    </w:p>
    <w:p w14:paraId="1A2C4963" w14:textId="32C00518" w:rsidR="0052288E" w:rsidRPr="00B42B8D" w:rsidRDefault="0079736C" w:rsidP="00B42B8D">
      <w:r>
        <w:t>I</w:t>
      </w:r>
      <w:r w:rsidR="0052288E" w:rsidRPr="0052288E">
        <w:t xml:space="preserve">f the GP offered recommended care that was refused by the parent or child, </w:t>
      </w:r>
      <w:r>
        <w:t>the relevant IQ(s) should be r</w:t>
      </w:r>
      <w:r w:rsidR="0052288E" w:rsidRPr="0052288E">
        <w:t xml:space="preserve">ecorded as compliant </w:t>
      </w:r>
      <w:r>
        <w:t xml:space="preserve">(i.e. Yes). </w:t>
      </w:r>
    </w:p>
    <w:sectPr w:rsidR="0052288E" w:rsidRPr="00B42B8D" w:rsidSect="00C472AC">
      <w:footerReference w:type="default" r:id="rId9"/>
      <w:footnotePr>
        <w:numFmt w:val="lowerLetter"/>
      </w:foot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06C17" w14:textId="77777777" w:rsidR="005130C9" w:rsidRDefault="005130C9" w:rsidP="006E7D16">
      <w:pPr>
        <w:spacing w:after="0" w:line="240" w:lineRule="auto"/>
      </w:pPr>
      <w:r>
        <w:separator/>
      </w:r>
    </w:p>
  </w:endnote>
  <w:endnote w:type="continuationSeparator" w:id="0">
    <w:p w14:paraId="65C55B96" w14:textId="77777777" w:rsidR="005130C9" w:rsidRDefault="005130C9" w:rsidP="006E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77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0820" w14:textId="5A28FEFF" w:rsidR="001E51CE" w:rsidRDefault="001E51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8A914" w14:textId="77777777" w:rsidR="001E51CE" w:rsidRDefault="001E5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946E0" w14:textId="77777777" w:rsidR="005130C9" w:rsidRDefault="005130C9" w:rsidP="006E7D16">
      <w:pPr>
        <w:spacing w:after="0" w:line="240" w:lineRule="auto"/>
      </w:pPr>
      <w:r>
        <w:separator/>
      </w:r>
    </w:p>
  </w:footnote>
  <w:footnote w:type="continuationSeparator" w:id="0">
    <w:p w14:paraId="78D8D530" w14:textId="77777777" w:rsidR="005130C9" w:rsidRDefault="005130C9" w:rsidP="006E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52"/>
    <w:multiLevelType w:val="hybridMultilevel"/>
    <w:tmpl w:val="B20E4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79D8"/>
    <w:multiLevelType w:val="hybridMultilevel"/>
    <w:tmpl w:val="3594B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6904"/>
    <w:multiLevelType w:val="hybridMultilevel"/>
    <w:tmpl w:val="1322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A5490"/>
    <w:multiLevelType w:val="hybridMultilevel"/>
    <w:tmpl w:val="52CCEC2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32440"/>
    <w:multiLevelType w:val="hybridMultilevel"/>
    <w:tmpl w:val="84B0C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ise Wiles [2]">
    <w15:presenceInfo w15:providerId="None" w15:userId="Louise Wi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 Light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57BEC"/>
    <w:rsid w:val="00044EE7"/>
    <w:rsid w:val="0004616C"/>
    <w:rsid w:val="00075A08"/>
    <w:rsid w:val="00083185"/>
    <w:rsid w:val="000A090E"/>
    <w:rsid w:val="000D3B87"/>
    <w:rsid w:val="000F3A5D"/>
    <w:rsid w:val="001310AE"/>
    <w:rsid w:val="001356D8"/>
    <w:rsid w:val="00152932"/>
    <w:rsid w:val="00154782"/>
    <w:rsid w:val="00154B02"/>
    <w:rsid w:val="00157BEC"/>
    <w:rsid w:val="001829DD"/>
    <w:rsid w:val="001B4B96"/>
    <w:rsid w:val="001E51CE"/>
    <w:rsid w:val="001F25E8"/>
    <w:rsid w:val="001F4CC7"/>
    <w:rsid w:val="001F7E0C"/>
    <w:rsid w:val="00231D73"/>
    <w:rsid w:val="002416DA"/>
    <w:rsid w:val="00244EBE"/>
    <w:rsid w:val="00244FE0"/>
    <w:rsid w:val="00262F96"/>
    <w:rsid w:val="002A505F"/>
    <w:rsid w:val="002B08CB"/>
    <w:rsid w:val="002C35BF"/>
    <w:rsid w:val="002F3FDD"/>
    <w:rsid w:val="002F5A8B"/>
    <w:rsid w:val="00344A6E"/>
    <w:rsid w:val="00350133"/>
    <w:rsid w:val="00373244"/>
    <w:rsid w:val="00384F6F"/>
    <w:rsid w:val="00391305"/>
    <w:rsid w:val="003A22D0"/>
    <w:rsid w:val="003C5E85"/>
    <w:rsid w:val="003D419A"/>
    <w:rsid w:val="003E6433"/>
    <w:rsid w:val="004365E7"/>
    <w:rsid w:val="00436F53"/>
    <w:rsid w:val="0044158B"/>
    <w:rsid w:val="00442AD5"/>
    <w:rsid w:val="004730BB"/>
    <w:rsid w:val="00474484"/>
    <w:rsid w:val="00495530"/>
    <w:rsid w:val="004969C2"/>
    <w:rsid w:val="00497B31"/>
    <w:rsid w:val="004C1DE3"/>
    <w:rsid w:val="004E7B08"/>
    <w:rsid w:val="005130C9"/>
    <w:rsid w:val="00517258"/>
    <w:rsid w:val="00521468"/>
    <w:rsid w:val="0052288E"/>
    <w:rsid w:val="00561211"/>
    <w:rsid w:val="00561CD4"/>
    <w:rsid w:val="005A1960"/>
    <w:rsid w:val="005E61BE"/>
    <w:rsid w:val="005F4491"/>
    <w:rsid w:val="005F69E7"/>
    <w:rsid w:val="00605B65"/>
    <w:rsid w:val="00617A9A"/>
    <w:rsid w:val="00631E72"/>
    <w:rsid w:val="0065098E"/>
    <w:rsid w:val="00665B51"/>
    <w:rsid w:val="00667610"/>
    <w:rsid w:val="006765EB"/>
    <w:rsid w:val="0068716F"/>
    <w:rsid w:val="0069087D"/>
    <w:rsid w:val="00691B73"/>
    <w:rsid w:val="006C418E"/>
    <w:rsid w:val="006D7885"/>
    <w:rsid w:val="006E7D16"/>
    <w:rsid w:val="0070633C"/>
    <w:rsid w:val="007356FB"/>
    <w:rsid w:val="00743419"/>
    <w:rsid w:val="007552B2"/>
    <w:rsid w:val="007832BE"/>
    <w:rsid w:val="0079736C"/>
    <w:rsid w:val="007A2C0B"/>
    <w:rsid w:val="007A32CB"/>
    <w:rsid w:val="007C6D48"/>
    <w:rsid w:val="007E6DFE"/>
    <w:rsid w:val="008150B2"/>
    <w:rsid w:val="00816C4F"/>
    <w:rsid w:val="0084113E"/>
    <w:rsid w:val="00855070"/>
    <w:rsid w:val="008625B4"/>
    <w:rsid w:val="008957D1"/>
    <w:rsid w:val="008B0CB4"/>
    <w:rsid w:val="008B6BBD"/>
    <w:rsid w:val="008D5257"/>
    <w:rsid w:val="008F5DFE"/>
    <w:rsid w:val="00950953"/>
    <w:rsid w:val="0097381E"/>
    <w:rsid w:val="00981D75"/>
    <w:rsid w:val="00993791"/>
    <w:rsid w:val="009A4C58"/>
    <w:rsid w:val="009C4C70"/>
    <w:rsid w:val="009E2034"/>
    <w:rsid w:val="00A059CA"/>
    <w:rsid w:val="00A12623"/>
    <w:rsid w:val="00A1417E"/>
    <w:rsid w:val="00A462F7"/>
    <w:rsid w:val="00A47BA4"/>
    <w:rsid w:val="00A47F0D"/>
    <w:rsid w:val="00A60E89"/>
    <w:rsid w:val="00A70288"/>
    <w:rsid w:val="00A86CE1"/>
    <w:rsid w:val="00A86EA3"/>
    <w:rsid w:val="00A95471"/>
    <w:rsid w:val="00AA3F95"/>
    <w:rsid w:val="00AA7B56"/>
    <w:rsid w:val="00AC500F"/>
    <w:rsid w:val="00B1356C"/>
    <w:rsid w:val="00B33D7B"/>
    <w:rsid w:val="00B34B66"/>
    <w:rsid w:val="00B42B8D"/>
    <w:rsid w:val="00B5378E"/>
    <w:rsid w:val="00B63F84"/>
    <w:rsid w:val="00B74BC8"/>
    <w:rsid w:val="00BD5483"/>
    <w:rsid w:val="00C17E84"/>
    <w:rsid w:val="00C472AC"/>
    <w:rsid w:val="00C754A7"/>
    <w:rsid w:val="00C80F3E"/>
    <w:rsid w:val="00C91005"/>
    <w:rsid w:val="00C93CBE"/>
    <w:rsid w:val="00C96130"/>
    <w:rsid w:val="00CB0871"/>
    <w:rsid w:val="00CD35E9"/>
    <w:rsid w:val="00CE6CA7"/>
    <w:rsid w:val="00D70465"/>
    <w:rsid w:val="00D72FAB"/>
    <w:rsid w:val="00D872FD"/>
    <w:rsid w:val="00D90FD0"/>
    <w:rsid w:val="00D94DDC"/>
    <w:rsid w:val="00DA239E"/>
    <w:rsid w:val="00DB38E4"/>
    <w:rsid w:val="00DC5E4E"/>
    <w:rsid w:val="00DD269A"/>
    <w:rsid w:val="00DD7FA0"/>
    <w:rsid w:val="00E00B30"/>
    <w:rsid w:val="00E05985"/>
    <w:rsid w:val="00E351FA"/>
    <w:rsid w:val="00E44D06"/>
    <w:rsid w:val="00E512BF"/>
    <w:rsid w:val="00E522CF"/>
    <w:rsid w:val="00EA63DC"/>
    <w:rsid w:val="00EB5815"/>
    <w:rsid w:val="00EE5EAF"/>
    <w:rsid w:val="00F05574"/>
    <w:rsid w:val="00F366BF"/>
    <w:rsid w:val="00F37CA6"/>
    <w:rsid w:val="00F6243A"/>
    <w:rsid w:val="00F73BBE"/>
    <w:rsid w:val="00F87C51"/>
    <w:rsid w:val="00FA2380"/>
    <w:rsid w:val="00FA2CF2"/>
    <w:rsid w:val="00FC105B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3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5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6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5E61BE"/>
    <w:pPr>
      <w:spacing w:after="0"/>
      <w:jc w:val="center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61BE"/>
    <w:rPr>
      <w:rFonts w:ascii="Calibri Light" w:hAnsi="Calibri Light" w:cs="Calibri Light"/>
      <w:noProof/>
      <w:sz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61BE"/>
    <w:pPr>
      <w:spacing w:line="240" w:lineRule="auto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61BE"/>
    <w:rPr>
      <w:rFonts w:ascii="Calibri Light" w:hAnsi="Calibri Light" w:cs="Calibri Light"/>
      <w:noProof/>
      <w:sz w:val="26"/>
      <w:lang w:val="en-US"/>
    </w:rPr>
  </w:style>
  <w:style w:type="character" w:styleId="Hyperlink">
    <w:name w:val="Hyperlink"/>
    <w:basedOn w:val="DefaultParagraphFont"/>
    <w:uiPriority w:val="99"/>
    <w:unhideWhenUsed/>
    <w:rsid w:val="005E61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1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3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7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7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D1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E7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8"/>
  </w:style>
  <w:style w:type="paragraph" w:styleId="Footer">
    <w:name w:val="footer"/>
    <w:basedOn w:val="Normal"/>
    <w:link w:val="FooterChar"/>
    <w:uiPriority w:val="99"/>
    <w:unhideWhenUsed/>
    <w:rsid w:val="0007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8"/>
  </w:style>
  <w:style w:type="paragraph" w:styleId="Revision">
    <w:name w:val="Revision"/>
    <w:hidden/>
    <w:uiPriority w:val="99"/>
    <w:semiHidden/>
    <w:rsid w:val="00A47BA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E5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B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5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61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5E61BE"/>
    <w:pPr>
      <w:spacing w:after="0"/>
      <w:jc w:val="center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61BE"/>
    <w:rPr>
      <w:rFonts w:ascii="Calibri Light" w:hAnsi="Calibri Light" w:cs="Calibri Light"/>
      <w:noProof/>
      <w:sz w:val="26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61BE"/>
    <w:pPr>
      <w:spacing w:line="240" w:lineRule="auto"/>
    </w:pPr>
    <w:rPr>
      <w:rFonts w:ascii="Calibri Light" w:hAnsi="Calibri Light" w:cs="Calibri Light"/>
      <w:noProof/>
      <w:sz w:val="26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61BE"/>
    <w:rPr>
      <w:rFonts w:ascii="Calibri Light" w:hAnsi="Calibri Light" w:cs="Calibri Light"/>
      <w:noProof/>
      <w:sz w:val="26"/>
      <w:lang w:val="en-US"/>
    </w:rPr>
  </w:style>
  <w:style w:type="character" w:styleId="Hyperlink">
    <w:name w:val="Hyperlink"/>
    <w:basedOn w:val="DefaultParagraphFont"/>
    <w:uiPriority w:val="99"/>
    <w:unhideWhenUsed/>
    <w:rsid w:val="005E61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1B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33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7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6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7D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D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D1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E7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08"/>
  </w:style>
  <w:style w:type="paragraph" w:styleId="Footer">
    <w:name w:val="footer"/>
    <w:basedOn w:val="Normal"/>
    <w:link w:val="FooterChar"/>
    <w:uiPriority w:val="99"/>
    <w:unhideWhenUsed/>
    <w:rsid w:val="00075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08"/>
  </w:style>
  <w:style w:type="paragraph" w:styleId="Revision">
    <w:name w:val="Revision"/>
    <w:hidden/>
    <w:uiPriority w:val="99"/>
    <w:semiHidden/>
    <w:rsid w:val="00A47BA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E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E53C-3B32-487A-8074-1B916E85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Arnolda</dc:creator>
  <cp:keywords/>
  <dc:description/>
  <cp:lastModifiedBy>LAMIRA</cp:lastModifiedBy>
  <cp:revision>4</cp:revision>
  <cp:lastPrinted>2018-08-01T00:31:00Z</cp:lastPrinted>
  <dcterms:created xsi:type="dcterms:W3CDTF">2019-10-17T03:31:00Z</dcterms:created>
  <dcterms:modified xsi:type="dcterms:W3CDTF">2019-11-08T06:52:00Z</dcterms:modified>
</cp:coreProperties>
</file>