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A3DFD" w14:textId="3C301670" w:rsidR="00D25378" w:rsidRPr="00370B41" w:rsidRDefault="0065768D" w:rsidP="006C0F28">
      <w:pPr>
        <w:spacing w:after="0" w:line="480" w:lineRule="auto"/>
        <w:contextualSpacing/>
        <w:rPr>
          <w:b/>
          <w:sz w:val="24"/>
          <w:u w:val="single"/>
        </w:rPr>
      </w:pPr>
      <w:bookmarkStart w:id="0" w:name="_GoBack"/>
      <w:bookmarkEnd w:id="0"/>
      <w:r>
        <w:rPr>
          <w:b/>
          <w:sz w:val="24"/>
          <w:u w:val="single"/>
        </w:rPr>
        <w:t>Additional file</w:t>
      </w:r>
      <w:r w:rsidRPr="00370B41">
        <w:rPr>
          <w:b/>
          <w:sz w:val="24"/>
          <w:u w:val="single"/>
        </w:rPr>
        <w:t xml:space="preserve"> </w:t>
      </w:r>
      <w:r w:rsidR="00D25378" w:rsidRPr="00370B41">
        <w:rPr>
          <w:b/>
          <w:sz w:val="24"/>
          <w:u w:val="single"/>
        </w:rPr>
        <w:t>1: Additional details relating to study methods</w:t>
      </w:r>
    </w:p>
    <w:p w14:paraId="1F78E1BD" w14:textId="77777777" w:rsidR="00D25378" w:rsidRPr="00C91005" w:rsidRDefault="00D25378" w:rsidP="006C0F28">
      <w:pPr>
        <w:autoSpaceDE w:val="0"/>
        <w:autoSpaceDN w:val="0"/>
        <w:adjustRightInd w:val="0"/>
        <w:spacing w:after="0" w:line="480" w:lineRule="auto"/>
        <w:contextualSpacing/>
        <w:rPr>
          <w:rFonts w:ascii="Calibri" w:hAnsi="Calibri" w:cs="Calibri"/>
        </w:rPr>
      </w:pPr>
      <w:bookmarkStart w:id="1" w:name="_Hlk484089977"/>
      <w:r w:rsidRPr="00C91005">
        <w:rPr>
          <w:rFonts w:ascii="Calibri" w:hAnsi="Calibri" w:cs="Calibri"/>
        </w:rPr>
        <w:t>The ma</w:t>
      </w:r>
      <w:r>
        <w:rPr>
          <w:rFonts w:ascii="Calibri" w:hAnsi="Calibri" w:cs="Calibri"/>
        </w:rPr>
        <w:t xml:space="preserve">in CTK </w:t>
      </w:r>
      <w:proofErr w:type="gramStart"/>
      <w:r>
        <w:rPr>
          <w:rFonts w:ascii="Calibri" w:hAnsi="Calibri" w:cs="Calibri"/>
        </w:rPr>
        <w:t>paper</w:t>
      </w:r>
      <w:r w:rsidRPr="00D952D0">
        <w:rPr>
          <w:rFonts w:ascii="Calibri" w:hAnsi="Calibri" w:cs="Calibri"/>
          <w:noProof/>
          <w:vertAlign w:val="superscript"/>
        </w:rPr>
        <w:t>[</w:t>
      </w:r>
      <w:proofErr w:type="gramEnd"/>
      <w:r w:rsidRPr="00D952D0">
        <w:rPr>
          <w:rFonts w:ascii="Calibri" w:hAnsi="Calibri" w:cs="Calibri"/>
          <w:noProof/>
          <w:vertAlign w:val="superscript"/>
        </w:rPr>
        <w:t>1]</w:t>
      </w:r>
      <w:r>
        <w:rPr>
          <w:rFonts w:ascii="Calibri" w:hAnsi="Calibri" w:cs="Calibri"/>
        </w:rPr>
        <w:t xml:space="preserve"> and its associated online appendix detail the methods of the larger study, which generated the data reported in this paper. Selected methods specifically relevant to preventive care</w:t>
      </w:r>
      <w:r w:rsidRPr="00B33D7B">
        <w:rPr>
          <w:rFonts w:ascii="Calibri" w:hAnsi="Calibri" w:cs="Calibri"/>
        </w:rPr>
        <w:t xml:space="preserve"> </w:t>
      </w:r>
      <w:r>
        <w:rPr>
          <w:rFonts w:ascii="Calibri" w:hAnsi="Calibri" w:cs="Calibri"/>
        </w:rPr>
        <w:t>are described below.</w:t>
      </w:r>
    </w:p>
    <w:p w14:paraId="7B78C66E" w14:textId="77777777" w:rsidR="00D25378" w:rsidRPr="008B13DD" w:rsidRDefault="00D25378" w:rsidP="006C0F28">
      <w:pPr>
        <w:pStyle w:val="Heading2"/>
        <w:spacing w:before="0" w:line="480" w:lineRule="auto"/>
        <w:contextualSpacing/>
      </w:pPr>
      <w:r>
        <w:t>1.1</w:t>
      </w:r>
      <w:r>
        <w:tab/>
      </w:r>
      <w:r w:rsidRPr="008B13DD">
        <w:t xml:space="preserve">Sample size </w:t>
      </w:r>
    </w:p>
    <w:p w14:paraId="636161B2" w14:textId="77777777" w:rsidR="00D25378" w:rsidRDefault="00D25378" w:rsidP="006C0F28">
      <w:pPr>
        <w:autoSpaceDE w:val="0"/>
        <w:autoSpaceDN w:val="0"/>
        <w:adjustRightInd w:val="0"/>
        <w:spacing w:after="0" w:line="480" w:lineRule="auto"/>
        <w:contextualSpacing/>
        <w:rPr>
          <w:rFonts w:cstheme="minorHAnsi"/>
        </w:rPr>
      </w:pPr>
      <w:bookmarkStart w:id="2" w:name="_Hlk488219765"/>
      <w:r w:rsidRPr="00786FBE">
        <w:rPr>
          <w:rFonts w:cstheme="minorHAnsi"/>
        </w:rPr>
        <w:t>CTK targeted 6</w:t>
      </w:r>
      <w:r>
        <w:rPr>
          <w:rFonts w:cstheme="minorHAnsi"/>
        </w:rPr>
        <w:t>4</w:t>
      </w:r>
      <w:r w:rsidRPr="00786FBE">
        <w:rPr>
          <w:rFonts w:cstheme="minorHAnsi"/>
        </w:rPr>
        <w:t>00 medical records for 1</w:t>
      </w:r>
      <w:r>
        <w:rPr>
          <w:rFonts w:cstheme="minorHAnsi"/>
        </w:rPr>
        <w:t>7 important clinical</w:t>
      </w:r>
      <w:r w:rsidRPr="00786FBE">
        <w:rPr>
          <w:rFonts w:cstheme="minorHAnsi"/>
        </w:rPr>
        <w:t xml:space="preserve"> conditions</w:t>
      </w:r>
      <w:r>
        <w:rPr>
          <w:rFonts w:cstheme="minorHAnsi"/>
        </w:rPr>
        <w:t xml:space="preserve"> in children across four types of healthcare setting: General Practitioners (GPs) and specialist paediatricians in the community and, in hospitals, emergency department presentations and inpatient admissions. Four hundred records were targeted for each of 15 clinical conditions (</w:t>
      </w:r>
      <w:r w:rsidRPr="00950CBB">
        <w:rPr>
          <w:i/>
          <w:lang w:val="en-US"/>
        </w:rPr>
        <w:t>Acute abdominal pain, Acute bronchiolitis, Acute gastroenteritis, Anxiety, Asthma, Attention deficit hyperactivity disorder, Autism, Croup, Depression, Diabetes, Eczema, Fever, Gastro-</w:t>
      </w:r>
      <w:proofErr w:type="spellStart"/>
      <w:r>
        <w:rPr>
          <w:i/>
          <w:lang w:val="en-US"/>
        </w:rPr>
        <w:t>o</w:t>
      </w:r>
      <w:r w:rsidRPr="00950CBB">
        <w:rPr>
          <w:i/>
          <w:lang w:val="en-US"/>
        </w:rPr>
        <w:t>esophageal</w:t>
      </w:r>
      <w:proofErr w:type="spellEnd"/>
      <w:r w:rsidRPr="00950CBB">
        <w:rPr>
          <w:i/>
          <w:lang w:val="en-US"/>
        </w:rPr>
        <w:t xml:space="preserve"> reflux disease, Head injury, Otitis media, Tonsillitis, and Upper respiratory tract </w:t>
      </w:r>
      <w:r>
        <w:rPr>
          <w:i/>
          <w:lang w:val="en-US"/>
        </w:rPr>
        <w:t>infection)</w:t>
      </w:r>
      <w:r>
        <w:rPr>
          <w:lang w:val="en-US"/>
        </w:rPr>
        <w:t xml:space="preserve">, with a further 400 shared between </w:t>
      </w:r>
      <w:r w:rsidRPr="00075A08">
        <w:rPr>
          <w:i/>
          <w:lang w:val="en-US"/>
        </w:rPr>
        <w:t>Anxiety</w:t>
      </w:r>
      <w:r>
        <w:rPr>
          <w:lang w:val="en-US"/>
        </w:rPr>
        <w:t xml:space="preserve"> (233 records) and </w:t>
      </w:r>
      <w:r w:rsidRPr="00075A08">
        <w:rPr>
          <w:i/>
          <w:lang w:val="en-US"/>
        </w:rPr>
        <w:t>Depression</w:t>
      </w:r>
      <w:r>
        <w:rPr>
          <w:lang w:val="en-US"/>
        </w:rPr>
        <w:t xml:space="preserve"> (167).</w:t>
      </w:r>
    </w:p>
    <w:p w14:paraId="29EDCDB2" w14:textId="77777777" w:rsidR="00D25378" w:rsidRPr="009A4C58" w:rsidRDefault="00D25378" w:rsidP="006C0F28">
      <w:pPr>
        <w:autoSpaceDE w:val="0"/>
        <w:autoSpaceDN w:val="0"/>
        <w:adjustRightInd w:val="0"/>
        <w:spacing w:after="0" w:line="480" w:lineRule="auto"/>
        <w:contextualSpacing/>
        <w:rPr>
          <w:rFonts w:ascii="Calibri" w:hAnsi="Calibri" w:cs="Calibri"/>
        </w:rPr>
      </w:pPr>
      <w:r>
        <w:rPr>
          <w:rFonts w:cstheme="minorHAnsi"/>
        </w:rPr>
        <w:t>The proportion of medical records allocated to GPs varied by clinical condition, but GPs were routinely under-sampled, to ensure sufficient numbers of other healthcare settings</w:t>
      </w:r>
      <w:r w:rsidRPr="00786FBE">
        <w:rPr>
          <w:rFonts w:cstheme="minorHAnsi"/>
        </w:rPr>
        <w:t>.</w:t>
      </w:r>
      <w:bookmarkEnd w:id="2"/>
      <w:r>
        <w:rPr>
          <w:rFonts w:cstheme="minorHAnsi"/>
        </w:rPr>
        <w:t xml:space="preserve"> </w:t>
      </w:r>
      <w:r w:rsidRPr="008B13DD">
        <w:rPr>
          <w:rFonts w:ascii="Calibri" w:hAnsi="Calibri" w:cs="Calibri"/>
        </w:rPr>
        <w:t>A</w:t>
      </w:r>
      <w:r>
        <w:rPr>
          <w:rFonts w:ascii="Calibri" w:hAnsi="Calibri" w:cs="Calibri"/>
        </w:rPr>
        <w:t>ny</w:t>
      </w:r>
      <w:r w:rsidRPr="008B13DD">
        <w:rPr>
          <w:rFonts w:ascii="Calibri" w:hAnsi="Calibri" w:cs="Calibri"/>
        </w:rPr>
        <w:t xml:space="preserve"> </w:t>
      </w:r>
      <w:r>
        <w:rPr>
          <w:rFonts w:ascii="Calibri" w:hAnsi="Calibri" w:cs="Calibri"/>
        </w:rPr>
        <w:t>visit</w:t>
      </w:r>
      <w:r w:rsidRPr="008B13DD">
        <w:rPr>
          <w:rFonts w:ascii="Calibri" w:hAnsi="Calibri" w:cs="Calibri"/>
        </w:rPr>
        <w:t xml:space="preserve"> </w:t>
      </w:r>
      <w:r>
        <w:rPr>
          <w:rFonts w:ascii="Calibri" w:hAnsi="Calibri" w:cs="Calibri"/>
        </w:rPr>
        <w:t>to a General Practitioner (GP) during the period 1 January 2012 to 31 December 2013 was considered</w:t>
      </w:r>
      <w:r w:rsidRPr="008B13DD">
        <w:rPr>
          <w:rFonts w:ascii="Calibri" w:hAnsi="Calibri" w:cs="Calibri"/>
        </w:rPr>
        <w:t>. Without adjustment for the design effect</w:t>
      </w:r>
      <w:r>
        <w:rPr>
          <w:rFonts w:cstheme="minorHAnsi"/>
        </w:rPr>
        <w:t>, a</w:t>
      </w:r>
      <w:r w:rsidRPr="001F0E6D">
        <w:t xml:space="preserve"> minimum of 400 </w:t>
      </w:r>
      <w:r>
        <w:t>visits</w:t>
      </w:r>
      <w:r w:rsidRPr="001F0E6D">
        <w:t xml:space="preserve"> per </w:t>
      </w:r>
      <w:r>
        <w:t>condition</w:t>
      </w:r>
      <w:r w:rsidRPr="001F0E6D">
        <w:t xml:space="preserve"> was required to obtain national estimates with 95% Confidence Interval (CI) and precision of +/- 5%</w:t>
      </w:r>
      <w:r>
        <w:t>; a</w:t>
      </w:r>
      <w:r>
        <w:rPr>
          <w:rFonts w:cstheme="minorHAnsi"/>
        </w:rPr>
        <w:t>s sampling for preventive care was opportunistic, no sample size could be pre-specified, but we anticipated that more than 400 of the 6400 records targeted for sampling would be eligible for assessment of preventive care indicators</w:t>
      </w:r>
      <w:r>
        <w:t>.</w:t>
      </w:r>
    </w:p>
    <w:bookmarkEnd w:id="1"/>
    <w:p w14:paraId="22F8EBF3" w14:textId="77777777" w:rsidR="00D25378" w:rsidRPr="008B13DD" w:rsidRDefault="00D25378" w:rsidP="006C0F28">
      <w:pPr>
        <w:pStyle w:val="Heading2"/>
        <w:spacing w:before="0" w:line="480" w:lineRule="auto"/>
        <w:contextualSpacing/>
      </w:pPr>
      <w:r>
        <w:t xml:space="preserve">1.2 </w:t>
      </w:r>
      <w:r>
        <w:tab/>
      </w:r>
      <w:r w:rsidRPr="008B13DD">
        <w:t>Sampling Process</w:t>
      </w:r>
    </w:p>
    <w:p w14:paraId="42808B4A" w14:textId="77777777" w:rsidR="00D25378" w:rsidRPr="008B13DD" w:rsidRDefault="00D25378" w:rsidP="006C0F28">
      <w:pPr>
        <w:spacing w:after="0" w:line="480" w:lineRule="auto"/>
        <w:contextualSpacing/>
        <w:rPr>
          <w:rFonts w:ascii="Calibri" w:hAnsi="Calibri" w:cs="Calibri"/>
        </w:rPr>
      </w:pPr>
      <w:r w:rsidRPr="008B13DD">
        <w:rPr>
          <w:rFonts w:ascii="Calibri" w:hAnsi="Calibri" w:cs="Calibri"/>
        </w:rPr>
        <w:t xml:space="preserve">A multistage stratified random sampling process was implemented. For logistical efficiency, sampling was </w:t>
      </w:r>
      <w:r>
        <w:rPr>
          <w:rFonts w:ascii="Calibri" w:hAnsi="Calibri" w:cs="Calibri"/>
        </w:rPr>
        <w:t>conducted in</w:t>
      </w:r>
      <w:r w:rsidRPr="008B13DD">
        <w:rPr>
          <w:rFonts w:ascii="Calibri" w:hAnsi="Calibri" w:cs="Calibri"/>
        </w:rPr>
        <w:t xml:space="preserve"> three states, Queensland (QLD), New South Wales (NSW) and South Australia (SA), which together comprise 60.0% of the Australian population aged 15 years or younger in the 2012 and 2013 calendar years. State Departments of Health organize care within </w:t>
      </w:r>
      <w:bookmarkStart w:id="3" w:name="_Hlk506300921"/>
      <w:r>
        <w:rPr>
          <w:rFonts w:ascii="Calibri" w:hAnsi="Calibri" w:cs="Calibri"/>
        </w:rPr>
        <w:t>Health Districts</w:t>
      </w:r>
      <w:bookmarkEnd w:id="3"/>
      <w:r w:rsidRPr="008B13DD">
        <w:rPr>
          <w:rFonts w:ascii="Calibri" w:hAnsi="Calibri" w:cs="Calibri"/>
        </w:rPr>
        <w:t xml:space="preserve">: Hospital </w:t>
      </w:r>
      <w:r w:rsidRPr="008B13DD">
        <w:rPr>
          <w:rFonts w:ascii="Calibri" w:hAnsi="Calibri" w:cs="Calibri"/>
        </w:rPr>
        <w:lastRenderedPageBreak/>
        <w:t>Health Services in QLD, Local Health Districts in NSW, and Local Health Networks in SA. For QLD</w:t>
      </w:r>
      <w:r>
        <w:rPr>
          <w:rFonts w:ascii="Calibri" w:hAnsi="Calibri" w:cs="Calibri"/>
        </w:rPr>
        <w:t>,</w:t>
      </w:r>
      <w:r w:rsidRPr="008B13DD">
        <w:rPr>
          <w:rFonts w:ascii="Calibri" w:hAnsi="Calibri" w:cs="Calibri"/>
        </w:rPr>
        <w:t xml:space="preserve"> we targeted five </w:t>
      </w:r>
      <w:r>
        <w:rPr>
          <w:rFonts w:ascii="Calibri" w:hAnsi="Calibri" w:cs="Calibri"/>
        </w:rPr>
        <w:t>Health Districts</w:t>
      </w:r>
      <w:r w:rsidRPr="008B13DD" w:rsidDel="00C80F3E">
        <w:rPr>
          <w:rFonts w:ascii="Calibri" w:hAnsi="Calibri" w:cs="Calibri"/>
        </w:rPr>
        <w:t xml:space="preserve"> </w:t>
      </w:r>
      <w:r w:rsidRPr="008B13DD">
        <w:rPr>
          <w:rFonts w:ascii="Calibri" w:hAnsi="Calibri" w:cs="Calibri"/>
        </w:rPr>
        <w:t xml:space="preserve">(two metropolitan, three regional), in NSW four </w:t>
      </w:r>
      <w:r>
        <w:rPr>
          <w:rFonts w:ascii="Calibri" w:hAnsi="Calibri" w:cs="Calibri"/>
        </w:rPr>
        <w:t>Health Districts</w:t>
      </w:r>
      <w:r w:rsidRPr="008B13DD" w:rsidDel="00C80F3E">
        <w:rPr>
          <w:rFonts w:ascii="Calibri" w:hAnsi="Calibri" w:cs="Calibri"/>
        </w:rPr>
        <w:t xml:space="preserve"> </w:t>
      </w:r>
      <w:r w:rsidRPr="008B13DD">
        <w:rPr>
          <w:rFonts w:ascii="Calibri" w:hAnsi="Calibri" w:cs="Calibri"/>
        </w:rPr>
        <w:t>(two metropo</w:t>
      </w:r>
      <w:r>
        <w:rPr>
          <w:rFonts w:ascii="Calibri" w:hAnsi="Calibri" w:cs="Calibri"/>
        </w:rPr>
        <w:t>l</w:t>
      </w:r>
      <w:r w:rsidRPr="008B13DD">
        <w:rPr>
          <w:rFonts w:ascii="Calibri" w:hAnsi="Calibri" w:cs="Calibri"/>
        </w:rPr>
        <w:t xml:space="preserve">itan, two regional), and in SA three </w:t>
      </w:r>
      <w:r>
        <w:rPr>
          <w:rFonts w:ascii="Calibri" w:hAnsi="Calibri" w:cs="Calibri"/>
        </w:rPr>
        <w:t>Health Districts</w:t>
      </w:r>
      <w:r w:rsidRPr="008B13DD" w:rsidDel="00C80F3E">
        <w:rPr>
          <w:rFonts w:ascii="Calibri" w:hAnsi="Calibri" w:cs="Calibri"/>
        </w:rPr>
        <w:t xml:space="preserve"> </w:t>
      </w:r>
      <w:r w:rsidRPr="008B13DD">
        <w:rPr>
          <w:rFonts w:ascii="Calibri" w:hAnsi="Calibri" w:cs="Calibri"/>
        </w:rPr>
        <w:t>(two metropolitan, one regional).</w:t>
      </w:r>
      <w:r>
        <w:rPr>
          <w:rFonts w:ascii="Calibri" w:hAnsi="Calibri" w:cs="Calibri"/>
        </w:rPr>
        <w:t xml:space="preserve"> </w:t>
      </w:r>
    </w:p>
    <w:p w14:paraId="586C70B2" w14:textId="77777777" w:rsidR="00D25378" w:rsidRPr="008B13DD" w:rsidRDefault="00D25378" w:rsidP="006C0F28">
      <w:pPr>
        <w:pStyle w:val="Heading2"/>
        <w:spacing w:before="0" w:line="480" w:lineRule="auto"/>
        <w:contextualSpacing/>
      </w:pPr>
      <w:r>
        <w:t>1.3</w:t>
      </w:r>
      <w:r>
        <w:tab/>
        <w:t>Sampling of records</w:t>
      </w:r>
    </w:p>
    <w:p w14:paraId="532C3C32" w14:textId="77777777" w:rsidR="00D25378" w:rsidRPr="007C0016" w:rsidRDefault="00D25378" w:rsidP="006C0F28">
      <w:pPr>
        <w:spacing w:after="0" w:line="480" w:lineRule="auto"/>
        <w:contextualSpacing/>
        <w:rPr>
          <w:lang w:val="en-US"/>
        </w:rPr>
      </w:pPr>
      <w:r w:rsidRPr="007C0016">
        <w:rPr>
          <w:lang w:val="en-US"/>
        </w:rPr>
        <w:t xml:space="preserve">SA was over-sampled relative to population and allocated 100 </w:t>
      </w:r>
      <w:r>
        <w:rPr>
          <w:lang w:val="en-US"/>
        </w:rPr>
        <w:t>records</w:t>
      </w:r>
      <w:r w:rsidRPr="007C0016">
        <w:rPr>
          <w:lang w:val="en-US"/>
        </w:rPr>
        <w:t>/condition</w:t>
      </w:r>
      <w:r>
        <w:rPr>
          <w:lang w:val="en-US"/>
        </w:rPr>
        <w:t xml:space="preserve"> (cf. 45 records expected on a population allocation)</w:t>
      </w:r>
      <w:r w:rsidRPr="007C0016">
        <w:rPr>
          <w:lang w:val="en-US"/>
        </w:rPr>
        <w:t>, with NSW and QLD allocated the remaining 300 pro rata relative to population.</w:t>
      </w:r>
      <w:r w:rsidRPr="00D952D0">
        <w:rPr>
          <w:noProof/>
          <w:vertAlign w:val="superscript"/>
          <w:lang w:val="en-US"/>
        </w:rPr>
        <w:t>[2]</w:t>
      </w:r>
      <w:r w:rsidRPr="007C0016">
        <w:rPr>
          <w:lang w:val="en-US"/>
        </w:rPr>
        <w:t xml:space="preserve"> Within each state, </w:t>
      </w:r>
      <w:r>
        <w:rPr>
          <w:lang w:val="en-US"/>
        </w:rPr>
        <w:t>records</w:t>
      </w:r>
      <w:r w:rsidRPr="007C0016">
        <w:rPr>
          <w:lang w:val="en-US"/>
        </w:rPr>
        <w:t xml:space="preserve"> were allocated to Metropolitan and Regional strata proportional to target population</w:t>
      </w:r>
      <w:r>
        <w:rPr>
          <w:lang w:val="en-US"/>
        </w:rPr>
        <w:t>s</w:t>
      </w:r>
      <w:r w:rsidRPr="007C0016">
        <w:rPr>
          <w:lang w:val="en-US"/>
        </w:rPr>
        <w:t>, with the tertiary hospitals sharing the allocation</w:t>
      </w:r>
      <w:r>
        <w:rPr>
          <w:lang w:val="en-US"/>
        </w:rPr>
        <w:t xml:space="preserve"> appropriate to their geographical location</w:t>
      </w:r>
      <w:r w:rsidRPr="007C0016">
        <w:rPr>
          <w:lang w:val="en-US"/>
        </w:rPr>
        <w:t>.</w:t>
      </w:r>
    </w:p>
    <w:p w14:paraId="630E3AB4" w14:textId="77777777" w:rsidR="00D25378" w:rsidRPr="007C0016" w:rsidRDefault="00D25378" w:rsidP="006C0F28">
      <w:pPr>
        <w:spacing w:after="0" w:line="480" w:lineRule="auto"/>
        <w:contextualSpacing/>
      </w:pPr>
      <w:r w:rsidRPr="007C0016">
        <w:t>The allocation of conditions to be sampled at each healthcare setting</w:t>
      </w:r>
      <w:r>
        <w:t xml:space="preserve"> to achieve 400 per condition (or 233 anxiety and 167 for depression)</w:t>
      </w:r>
      <w:r w:rsidRPr="007C0016">
        <w:t xml:space="preserve"> was based on the following proce</w:t>
      </w:r>
      <w:r>
        <w:t>dure</w:t>
      </w:r>
      <w:r w:rsidRPr="007C0016">
        <w:t xml:space="preserve">: </w:t>
      </w:r>
    </w:p>
    <w:p w14:paraId="33EF04DA" w14:textId="77777777" w:rsidR="00D25378" w:rsidRDefault="00D25378" w:rsidP="006C0F28">
      <w:pPr>
        <w:numPr>
          <w:ilvl w:val="0"/>
          <w:numId w:val="1"/>
        </w:numPr>
        <w:spacing w:after="0" w:line="480" w:lineRule="auto"/>
        <w:ind w:left="357" w:hanging="357"/>
        <w:contextualSpacing/>
      </w:pPr>
      <w:r>
        <w:t xml:space="preserve">Data on the number of </w:t>
      </w:r>
      <w:r w:rsidRPr="007C0016">
        <w:t>episode</w:t>
      </w:r>
      <w:r>
        <w:t>s</w:t>
      </w:r>
      <w:r w:rsidRPr="007C0016">
        <w:t xml:space="preserve"> of care by condition </w:t>
      </w:r>
      <w:r>
        <w:t>and healthcare were sourced as follows: GP data were sourced through personal communications with an established survey of GP activity;</w:t>
      </w:r>
      <w:r w:rsidRPr="00D952D0">
        <w:rPr>
          <w:noProof/>
          <w:vertAlign w:val="superscript"/>
        </w:rPr>
        <w:t>[3]</w:t>
      </w:r>
      <w:r>
        <w:t xml:space="preserve"> data on SP occasions of care were estimated from published material;</w:t>
      </w:r>
      <w:r w:rsidRPr="00D952D0">
        <w:rPr>
          <w:noProof/>
          <w:vertAlign w:val="superscript"/>
        </w:rPr>
        <w:t>[4]</w:t>
      </w:r>
      <w:r>
        <w:t xml:space="preserve"> and ED and inpatient data were sourced from personal communications with the NSW Department of Health;</w:t>
      </w:r>
      <w:r w:rsidRPr="00D952D0">
        <w:rPr>
          <w:noProof/>
          <w:vertAlign w:val="superscript"/>
        </w:rPr>
        <w:t>[5, 6]</w:t>
      </w:r>
    </w:p>
    <w:p w14:paraId="7399E387" w14:textId="77777777" w:rsidR="00D25378" w:rsidRPr="00391305" w:rsidRDefault="00D25378" w:rsidP="006C0F28">
      <w:pPr>
        <w:numPr>
          <w:ilvl w:val="0"/>
          <w:numId w:val="1"/>
        </w:numPr>
        <w:spacing w:after="0" w:line="480" w:lineRule="auto"/>
        <w:ind w:left="357" w:hanging="357"/>
        <w:contextualSpacing/>
        <w:rPr>
          <w:rFonts w:ascii="Calibri" w:hAnsi="Calibri" w:cs="Calibri"/>
        </w:rPr>
      </w:pPr>
      <w:r>
        <w:t xml:space="preserve">These data </w:t>
      </w:r>
      <w:r w:rsidRPr="007C0016">
        <w:t xml:space="preserve">were reviewed by expert clinicians, and used to estimate the proportion of frequency of attendance by </w:t>
      </w:r>
      <w:r>
        <w:t>healthcare setting</w:t>
      </w:r>
      <w:r w:rsidRPr="007C0016">
        <w:t xml:space="preserve"> for each condition, as shown in Table 2</w:t>
      </w:r>
      <w:r>
        <w:rPr>
          <w:rStyle w:val="FootnoteReference"/>
        </w:rPr>
        <w:footnoteReference w:id="1"/>
      </w:r>
      <w:r>
        <w:t xml:space="preserve"> of </w:t>
      </w:r>
      <w:r w:rsidRPr="007C0016">
        <w:t>the published protocol</w:t>
      </w:r>
      <w:r>
        <w:t>;</w:t>
      </w:r>
      <w:r w:rsidRPr="00D952D0">
        <w:rPr>
          <w:noProof/>
          <w:vertAlign w:val="superscript"/>
        </w:rPr>
        <w:t>[2]</w:t>
      </w:r>
      <w:r>
        <w:t xml:space="preserve"> </w:t>
      </w:r>
    </w:p>
    <w:p w14:paraId="71BAA50E" w14:textId="77777777" w:rsidR="00D25378" w:rsidRPr="00DB38E4" w:rsidRDefault="00D25378" w:rsidP="006C0F28">
      <w:pPr>
        <w:numPr>
          <w:ilvl w:val="0"/>
          <w:numId w:val="1"/>
        </w:numPr>
        <w:spacing w:after="0" w:line="480" w:lineRule="auto"/>
        <w:ind w:left="357" w:hanging="357"/>
        <w:contextualSpacing/>
        <w:rPr>
          <w:rFonts w:ascii="Calibri" w:hAnsi="Calibri" w:cs="Calibri"/>
        </w:rPr>
      </w:pPr>
      <w:r w:rsidRPr="007C0016">
        <w:t>HCP types with small number</w:t>
      </w:r>
      <w:r>
        <w:t>s</w:t>
      </w:r>
      <w:r w:rsidRPr="007C0016">
        <w:t xml:space="preserve"> of attendance</w:t>
      </w:r>
      <w:r>
        <w:t>s</w:t>
      </w:r>
      <w:r w:rsidRPr="007C0016">
        <w:t xml:space="preserve"> for a condition were over-sampled</w:t>
      </w:r>
      <w:r>
        <w:t>, and</w:t>
      </w:r>
      <w:r w:rsidRPr="007C0016">
        <w:t xml:space="preserve"> those with </w:t>
      </w:r>
      <w:r>
        <w:t>more numerous</w:t>
      </w:r>
      <w:r w:rsidRPr="007C0016">
        <w:t xml:space="preserve"> attendance</w:t>
      </w:r>
      <w:r>
        <w:t>s</w:t>
      </w:r>
      <w:r w:rsidRPr="007C0016">
        <w:t xml:space="preserve"> were under-sampled, to create a revised sampling table that improve</w:t>
      </w:r>
      <w:r>
        <w:t>d</w:t>
      </w:r>
      <w:r w:rsidRPr="007C0016">
        <w:t xml:space="preserve"> the accuracy of the point estimate for each </w:t>
      </w:r>
      <w:r>
        <w:t>healthcare setting.</w:t>
      </w:r>
    </w:p>
    <w:p w14:paraId="205B0366" w14:textId="77777777" w:rsidR="00D25378" w:rsidRDefault="00D25378" w:rsidP="006C0F28">
      <w:pPr>
        <w:spacing w:after="0" w:line="480" w:lineRule="auto"/>
        <w:contextualSpacing/>
        <w:rPr>
          <w:rFonts w:ascii="Calibri" w:hAnsi="Calibri" w:cs="Calibri"/>
        </w:rPr>
      </w:pPr>
      <w:r>
        <w:rPr>
          <w:rFonts w:ascii="Calibri" w:hAnsi="Calibri" w:cs="Calibri"/>
        </w:rPr>
        <w:t xml:space="preserve">The number of medical records targeted at GPs varied by condition, as the outcome of this process. Within the records selected at each GP, a single preventive care assessment was undertaken for each child that was eligible for one or more preventive care indicators. All visits in the medical </w:t>
      </w:r>
      <w:r>
        <w:rPr>
          <w:rFonts w:ascii="Calibri" w:hAnsi="Calibri" w:cs="Calibri"/>
        </w:rPr>
        <w:lastRenderedPageBreak/>
        <w:t>record that was age-eligible for preventive care assessment was considered; routine ‘well-baby’ checks were, for example, therefore included in assessing preventive care.</w:t>
      </w:r>
    </w:p>
    <w:p w14:paraId="5E9E1687" w14:textId="77777777" w:rsidR="00D25378" w:rsidRDefault="00D25378" w:rsidP="006C0F28">
      <w:pPr>
        <w:pStyle w:val="NormalWeb"/>
        <w:spacing w:before="0" w:beforeAutospacing="0" w:after="0" w:afterAutospacing="0" w:line="480" w:lineRule="auto"/>
        <w:contextualSpacing/>
        <w:rPr>
          <w:rFonts w:ascii="Calibri" w:eastAsiaTheme="minorHAnsi" w:hAnsi="Calibri" w:cs="Calibri"/>
          <w:sz w:val="22"/>
          <w:szCs w:val="22"/>
          <w:lang w:eastAsia="en-US"/>
        </w:rPr>
      </w:pPr>
      <w:r w:rsidRPr="0069087D">
        <w:rPr>
          <w:rFonts w:ascii="Calibri" w:hAnsi="Calibri" w:cs="Calibri"/>
          <w:sz w:val="22"/>
          <w:szCs w:val="22"/>
        </w:rPr>
        <w:t>Preventive care activities were expected at 2, 4, 6, 12, 18, 24 and 48 months of age.</w:t>
      </w:r>
      <w:r>
        <w:rPr>
          <w:rFonts w:ascii="Calibri" w:hAnsi="Calibri" w:cs="Calibri"/>
        </w:rPr>
        <w:t xml:space="preserve"> </w:t>
      </w:r>
      <w:r>
        <w:rPr>
          <w:rFonts w:ascii="Calibri" w:eastAsiaTheme="minorHAnsi" w:hAnsi="Calibri" w:cs="Calibri"/>
          <w:sz w:val="22"/>
          <w:szCs w:val="22"/>
          <w:lang w:eastAsia="en-US"/>
        </w:rPr>
        <w:t>Each indicator was restricted to children of these ages. As shown in Table 2.1, different numbers of indicators are assessed at each time point.</w:t>
      </w:r>
    </w:p>
    <w:p w14:paraId="71D314E7" w14:textId="77777777" w:rsidR="00D25378" w:rsidRDefault="00D25378" w:rsidP="006C0F28">
      <w:pPr>
        <w:spacing w:after="0" w:line="480" w:lineRule="auto"/>
        <w:contextualSpacing/>
      </w:pPr>
      <w:r>
        <w:t xml:space="preserve">Preventive care did not have a fixed date for an occasion of care, to allow for multi-episode assessments in a single record; surveyors were therefore directed to assign a dummy date of 31 December 2013 (i.e., the final date of the two-year survey period). Automated age-filtering of indicator questions, helped to reduce surveyors’ workload. As shown in </w:t>
      </w:r>
      <w:proofErr w:type="spellStart"/>
      <w:r>
        <w:t>eTable</w:t>
      </w:r>
      <w:proofErr w:type="spellEnd"/>
      <w:r>
        <w:t xml:space="preserve"> 1.1, assigning a dummy date and an eligibility window based on the dummy age effectively restricted sampling to specific birth date ranges; for example, assessments of actions planned at 2 months of age, with a dummy date of 31 December 2013, would only be offered to children born in the period 1 January 2013 to 31 October 2013. This procedure therefore artificially reduces the sample sizes of children eligible for assessment of preventive care, when compared to a method that assessed all children eligible for a preventive care assessment over the period 1 January 2012 to 31 December 2013.</w:t>
      </w:r>
    </w:p>
    <w:p w14:paraId="4F5813AF" w14:textId="77777777" w:rsidR="00B97767" w:rsidRDefault="00B97767" w:rsidP="00B97767">
      <w:pPr>
        <w:pStyle w:val="NormalWeb"/>
        <w:keepNext/>
        <w:spacing w:before="0" w:beforeAutospacing="0" w:after="0" w:afterAutospacing="0" w:line="480" w:lineRule="auto"/>
        <w:contextualSpacing/>
        <w:rPr>
          <w:rFonts w:ascii="Calibri" w:eastAsiaTheme="minorHAnsi" w:hAnsi="Calibri" w:cs="Calibri"/>
          <w:b/>
          <w:sz w:val="22"/>
          <w:szCs w:val="22"/>
          <w:lang w:eastAsia="en-US"/>
        </w:rPr>
      </w:pPr>
    </w:p>
    <w:p w14:paraId="49D5D648" w14:textId="076F2E83" w:rsidR="00D25378" w:rsidRPr="00FA2CF2" w:rsidRDefault="00D25378" w:rsidP="006C0F28">
      <w:pPr>
        <w:pStyle w:val="NormalWeb"/>
        <w:keepNext/>
        <w:spacing w:before="0" w:beforeAutospacing="0" w:after="0" w:afterAutospacing="0" w:line="480" w:lineRule="auto"/>
        <w:contextualSpacing/>
        <w:rPr>
          <w:rFonts w:ascii="Calibri" w:eastAsiaTheme="minorHAnsi" w:hAnsi="Calibri" w:cs="Calibri"/>
          <w:b/>
          <w:sz w:val="22"/>
          <w:szCs w:val="22"/>
          <w:lang w:eastAsia="en-US"/>
        </w:rPr>
      </w:pPr>
      <w:proofErr w:type="spellStart"/>
      <w:r>
        <w:rPr>
          <w:rFonts w:ascii="Calibri" w:eastAsiaTheme="minorHAnsi" w:hAnsi="Calibri" w:cs="Calibri"/>
          <w:b/>
          <w:sz w:val="22"/>
          <w:szCs w:val="22"/>
          <w:lang w:eastAsia="en-US"/>
        </w:rPr>
        <w:t>e</w:t>
      </w:r>
      <w:r w:rsidRPr="00FA2CF2">
        <w:rPr>
          <w:rFonts w:ascii="Calibri" w:eastAsiaTheme="minorHAnsi" w:hAnsi="Calibri" w:cs="Calibri"/>
          <w:b/>
          <w:sz w:val="22"/>
          <w:szCs w:val="22"/>
          <w:lang w:eastAsia="en-US"/>
        </w:rPr>
        <w:t>Table</w:t>
      </w:r>
      <w:proofErr w:type="spellEnd"/>
      <w:r w:rsidRPr="00FA2CF2">
        <w:rPr>
          <w:rFonts w:ascii="Calibri" w:eastAsiaTheme="minorHAnsi" w:hAnsi="Calibri" w:cs="Calibri"/>
          <w:b/>
          <w:sz w:val="22"/>
          <w:szCs w:val="22"/>
          <w:lang w:eastAsia="en-US"/>
        </w:rPr>
        <w:t xml:space="preserve"> </w:t>
      </w:r>
      <w:r>
        <w:rPr>
          <w:rFonts w:ascii="Calibri" w:eastAsiaTheme="minorHAnsi" w:hAnsi="Calibri" w:cs="Calibri"/>
          <w:b/>
          <w:sz w:val="22"/>
          <w:szCs w:val="22"/>
          <w:lang w:eastAsia="en-US"/>
        </w:rPr>
        <w:t>1</w:t>
      </w:r>
      <w:r w:rsidRPr="00D55C36">
        <w:rPr>
          <w:rFonts w:ascii="Calibri" w:eastAsiaTheme="minorHAnsi" w:hAnsi="Calibri" w:cs="Calibri"/>
          <w:b/>
          <w:sz w:val="22"/>
          <w:szCs w:val="22"/>
          <w:lang w:eastAsia="en-US"/>
        </w:rPr>
        <w:t>.1</w:t>
      </w:r>
      <w:r w:rsidRPr="00FA2CF2">
        <w:rPr>
          <w:rFonts w:ascii="Calibri" w:eastAsiaTheme="minorHAnsi" w:hAnsi="Calibri" w:cs="Calibri"/>
          <w:b/>
          <w:sz w:val="22"/>
          <w:szCs w:val="22"/>
          <w:lang w:eastAsia="en-US"/>
        </w:rPr>
        <w:t xml:space="preserve">: </w:t>
      </w:r>
      <w:r>
        <w:rPr>
          <w:rFonts w:ascii="Calibri" w:eastAsiaTheme="minorHAnsi" w:hAnsi="Calibri" w:cs="Calibri"/>
          <w:b/>
          <w:sz w:val="22"/>
          <w:szCs w:val="22"/>
          <w:lang w:eastAsia="en-US"/>
        </w:rPr>
        <w:t>Number of indicators and follow-up duration for children of different ages</w:t>
      </w:r>
    </w:p>
    <w:tbl>
      <w:tblPr>
        <w:tblStyle w:val="TableGrid"/>
        <w:tblW w:w="9067" w:type="dxa"/>
        <w:tblLook w:val="04A0" w:firstRow="1" w:lastRow="0" w:firstColumn="1" w:lastColumn="0" w:noHBand="0" w:noVBand="1"/>
      </w:tblPr>
      <w:tblGrid>
        <w:gridCol w:w="1803"/>
        <w:gridCol w:w="1281"/>
        <w:gridCol w:w="2291"/>
        <w:gridCol w:w="1141"/>
        <w:gridCol w:w="2551"/>
      </w:tblGrid>
      <w:tr w:rsidR="00D25378" w:rsidRPr="00FA2CF2" w14:paraId="176861AB" w14:textId="77777777" w:rsidTr="00F61DD5">
        <w:tc>
          <w:tcPr>
            <w:tcW w:w="1803" w:type="dxa"/>
            <w:shd w:val="clear" w:color="auto" w:fill="BDD6EE" w:themeFill="accent5" w:themeFillTint="66"/>
            <w:vAlign w:val="center"/>
          </w:tcPr>
          <w:p w14:paraId="2B8A6572" w14:textId="77777777" w:rsidR="00D25378" w:rsidRPr="00FA2CF2" w:rsidRDefault="00D25378" w:rsidP="006C0F28">
            <w:pPr>
              <w:spacing w:line="480" w:lineRule="auto"/>
              <w:contextualSpacing/>
              <w:jc w:val="center"/>
              <w:rPr>
                <w:b/>
              </w:rPr>
            </w:pPr>
            <w:r w:rsidRPr="00FA2CF2">
              <w:rPr>
                <w:b/>
              </w:rPr>
              <w:t xml:space="preserve">Age-target for </w:t>
            </w:r>
            <w:r>
              <w:rPr>
                <w:b/>
              </w:rPr>
              <w:t>i</w:t>
            </w:r>
            <w:r w:rsidRPr="00FA2CF2">
              <w:rPr>
                <w:b/>
              </w:rPr>
              <w:t>ndicator</w:t>
            </w:r>
            <w:r>
              <w:rPr>
                <w:b/>
              </w:rPr>
              <w:t xml:space="preserve"> action</w:t>
            </w:r>
          </w:p>
        </w:tc>
        <w:tc>
          <w:tcPr>
            <w:tcW w:w="1281" w:type="dxa"/>
            <w:shd w:val="clear" w:color="auto" w:fill="BDD6EE" w:themeFill="accent5" w:themeFillTint="66"/>
            <w:vAlign w:val="center"/>
          </w:tcPr>
          <w:p w14:paraId="77627F5B" w14:textId="77777777" w:rsidR="00D25378" w:rsidRPr="00FA2CF2" w:rsidRDefault="00D25378" w:rsidP="006C0F28">
            <w:pPr>
              <w:spacing w:line="480" w:lineRule="auto"/>
              <w:contextualSpacing/>
              <w:jc w:val="center"/>
              <w:rPr>
                <w:b/>
              </w:rPr>
            </w:pPr>
            <w:r w:rsidRPr="00FA2CF2">
              <w:rPr>
                <w:b/>
              </w:rPr>
              <w:t>Number of indicators</w:t>
            </w:r>
          </w:p>
        </w:tc>
        <w:tc>
          <w:tcPr>
            <w:tcW w:w="2291" w:type="dxa"/>
            <w:shd w:val="clear" w:color="auto" w:fill="BDD6EE" w:themeFill="accent5" w:themeFillTint="66"/>
            <w:vAlign w:val="center"/>
          </w:tcPr>
          <w:p w14:paraId="18BCC810" w14:textId="77777777" w:rsidR="00D25378" w:rsidRPr="00FA2CF2" w:rsidRDefault="00D25378" w:rsidP="006C0F28">
            <w:pPr>
              <w:spacing w:line="480" w:lineRule="auto"/>
              <w:contextualSpacing/>
              <w:jc w:val="center"/>
              <w:rPr>
                <w:b/>
              </w:rPr>
            </w:pPr>
            <w:r w:rsidRPr="00FA2CF2">
              <w:rPr>
                <w:b/>
              </w:rPr>
              <w:t xml:space="preserve">Child’s </w:t>
            </w:r>
            <w:r>
              <w:rPr>
                <w:b/>
              </w:rPr>
              <w:t xml:space="preserve">dummy </w:t>
            </w:r>
            <w:r w:rsidRPr="00FA2CF2">
              <w:rPr>
                <w:b/>
              </w:rPr>
              <w:t>age at indicator assessment</w:t>
            </w:r>
          </w:p>
        </w:tc>
        <w:tc>
          <w:tcPr>
            <w:tcW w:w="1141" w:type="dxa"/>
            <w:shd w:val="clear" w:color="auto" w:fill="BDD6EE" w:themeFill="accent5" w:themeFillTint="66"/>
            <w:vAlign w:val="center"/>
          </w:tcPr>
          <w:p w14:paraId="1D53C6FC" w14:textId="77777777" w:rsidR="00D25378" w:rsidRPr="00FA2CF2" w:rsidRDefault="00D25378" w:rsidP="006C0F28">
            <w:pPr>
              <w:spacing w:line="480" w:lineRule="auto"/>
              <w:contextualSpacing/>
              <w:jc w:val="center"/>
              <w:rPr>
                <w:b/>
              </w:rPr>
            </w:pPr>
            <w:r>
              <w:rPr>
                <w:b/>
              </w:rPr>
              <w:t>Eligibility window</w:t>
            </w:r>
          </w:p>
        </w:tc>
        <w:tc>
          <w:tcPr>
            <w:tcW w:w="2551" w:type="dxa"/>
            <w:shd w:val="clear" w:color="auto" w:fill="BDD6EE" w:themeFill="accent5" w:themeFillTint="66"/>
            <w:vAlign w:val="center"/>
          </w:tcPr>
          <w:p w14:paraId="32057BBA" w14:textId="77777777" w:rsidR="00D25378" w:rsidRPr="00FA2CF2" w:rsidRDefault="00D25378" w:rsidP="006C0F28">
            <w:pPr>
              <w:spacing w:line="480" w:lineRule="auto"/>
              <w:contextualSpacing/>
              <w:jc w:val="center"/>
              <w:rPr>
                <w:b/>
              </w:rPr>
            </w:pPr>
            <w:r>
              <w:rPr>
                <w:b/>
              </w:rPr>
              <w:t>Eligible birth dates</w:t>
            </w:r>
          </w:p>
        </w:tc>
      </w:tr>
      <w:tr w:rsidR="00D25378" w14:paraId="264EFA59" w14:textId="77777777" w:rsidTr="00F61DD5">
        <w:tc>
          <w:tcPr>
            <w:tcW w:w="1803" w:type="dxa"/>
            <w:tcBorders>
              <w:bottom w:val="dotted" w:sz="4" w:space="0" w:color="auto"/>
            </w:tcBorders>
            <w:vAlign w:val="center"/>
          </w:tcPr>
          <w:p w14:paraId="1A77A175" w14:textId="77777777" w:rsidR="00D25378" w:rsidRPr="00391305" w:rsidRDefault="00D25378" w:rsidP="006C0F28">
            <w:pPr>
              <w:spacing w:line="480" w:lineRule="auto"/>
              <w:contextualSpacing/>
              <w:jc w:val="center"/>
              <w:rPr>
                <w:sz w:val="20"/>
                <w:szCs w:val="20"/>
              </w:rPr>
            </w:pPr>
            <w:bookmarkStart w:id="4" w:name="_Hlk487627653"/>
            <w:r w:rsidRPr="00391305">
              <w:rPr>
                <w:sz w:val="20"/>
                <w:szCs w:val="20"/>
              </w:rPr>
              <w:t>2 months</w:t>
            </w:r>
          </w:p>
        </w:tc>
        <w:tc>
          <w:tcPr>
            <w:tcW w:w="1281" w:type="dxa"/>
            <w:tcBorders>
              <w:bottom w:val="dotted" w:sz="4" w:space="0" w:color="auto"/>
            </w:tcBorders>
            <w:vAlign w:val="center"/>
          </w:tcPr>
          <w:p w14:paraId="7A79D227" w14:textId="77777777" w:rsidR="00D25378" w:rsidRPr="00391305" w:rsidRDefault="00D25378" w:rsidP="006C0F28">
            <w:pPr>
              <w:spacing w:line="480" w:lineRule="auto"/>
              <w:contextualSpacing/>
              <w:jc w:val="center"/>
              <w:rPr>
                <w:sz w:val="20"/>
                <w:szCs w:val="20"/>
              </w:rPr>
            </w:pPr>
            <w:r w:rsidRPr="00391305">
              <w:rPr>
                <w:sz w:val="20"/>
                <w:szCs w:val="20"/>
              </w:rPr>
              <w:t>10</w:t>
            </w:r>
          </w:p>
        </w:tc>
        <w:tc>
          <w:tcPr>
            <w:tcW w:w="2291" w:type="dxa"/>
            <w:tcBorders>
              <w:bottom w:val="dotted" w:sz="4" w:space="0" w:color="auto"/>
            </w:tcBorders>
            <w:vAlign w:val="center"/>
          </w:tcPr>
          <w:p w14:paraId="2E801B67" w14:textId="77777777" w:rsidR="00D25378" w:rsidRPr="00391305" w:rsidRDefault="00D25378" w:rsidP="006C0F28">
            <w:pPr>
              <w:spacing w:line="480" w:lineRule="auto"/>
              <w:contextualSpacing/>
              <w:jc w:val="center"/>
              <w:rPr>
                <w:sz w:val="20"/>
                <w:szCs w:val="20"/>
              </w:rPr>
            </w:pPr>
            <w:r w:rsidRPr="00391305">
              <w:rPr>
                <w:sz w:val="20"/>
                <w:szCs w:val="20"/>
              </w:rPr>
              <w:t>2-11 months</w:t>
            </w:r>
          </w:p>
        </w:tc>
        <w:tc>
          <w:tcPr>
            <w:tcW w:w="1141" w:type="dxa"/>
            <w:tcBorders>
              <w:bottom w:val="dotted" w:sz="4" w:space="0" w:color="auto"/>
            </w:tcBorders>
            <w:vAlign w:val="center"/>
          </w:tcPr>
          <w:p w14:paraId="03A8145D" w14:textId="77777777" w:rsidR="00D25378" w:rsidRPr="00391305" w:rsidRDefault="00D25378" w:rsidP="006C0F28">
            <w:pPr>
              <w:spacing w:line="480" w:lineRule="auto"/>
              <w:contextualSpacing/>
              <w:jc w:val="center"/>
              <w:rPr>
                <w:sz w:val="20"/>
                <w:szCs w:val="20"/>
              </w:rPr>
            </w:pPr>
            <w:r w:rsidRPr="00391305">
              <w:rPr>
                <w:sz w:val="20"/>
                <w:szCs w:val="20"/>
              </w:rPr>
              <w:t>10 months</w:t>
            </w:r>
          </w:p>
        </w:tc>
        <w:tc>
          <w:tcPr>
            <w:tcW w:w="2551" w:type="dxa"/>
            <w:tcBorders>
              <w:bottom w:val="dotted" w:sz="4" w:space="0" w:color="auto"/>
            </w:tcBorders>
            <w:vAlign w:val="center"/>
          </w:tcPr>
          <w:p w14:paraId="6221F45F" w14:textId="77777777" w:rsidR="00D25378" w:rsidRPr="00391305" w:rsidRDefault="00D25378" w:rsidP="006C0F28">
            <w:pPr>
              <w:spacing w:line="480" w:lineRule="auto"/>
              <w:contextualSpacing/>
              <w:jc w:val="center"/>
              <w:rPr>
                <w:sz w:val="20"/>
                <w:szCs w:val="20"/>
              </w:rPr>
            </w:pPr>
            <w:r w:rsidRPr="00391305">
              <w:rPr>
                <w:sz w:val="20"/>
                <w:szCs w:val="20"/>
              </w:rPr>
              <w:t xml:space="preserve">1 January 2013 – </w:t>
            </w:r>
          </w:p>
          <w:p w14:paraId="4BA8D061" w14:textId="77777777" w:rsidR="00D25378" w:rsidRPr="00391305" w:rsidRDefault="00D25378" w:rsidP="006C0F28">
            <w:pPr>
              <w:spacing w:line="480" w:lineRule="auto"/>
              <w:contextualSpacing/>
              <w:jc w:val="center"/>
              <w:rPr>
                <w:sz w:val="20"/>
                <w:szCs w:val="20"/>
              </w:rPr>
            </w:pPr>
            <w:r w:rsidRPr="00391305">
              <w:rPr>
                <w:sz w:val="20"/>
                <w:szCs w:val="20"/>
              </w:rPr>
              <w:t>31 October 2013</w:t>
            </w:r>
          </w:p>
        </w:tc>
      </w:tr>
      <w:bookmarkEnd w:id="4"/>
      <w:tr w:rsidR="00D25378" w14:paraId="0A60AF76" w14:textId="77777777" w:rsidTr="00F61DD5">
        <w:tc>
          <w:tcPr>
            <w:tcW w:w="1803" w:type="dxa"/>
            <w:tcBorders>
              <w:top w:val="dotted" w:sz="4" w:space="0" w:color="auto"/>
              <w:bottom w:val="dotted" w:sz="4" w:space="0" w:color="auto"/>
            </w:tcBorders>
            <w:vAlign w:val="center"/>
          </w:tcPr>
          <w:p w14:paraId="3EE6EB65" w14:textId="77777777" w:rsidR="00D25378" w:rsidRPr="00391305" w:rsidRDefault="00D25378" w:rsidP="006C0F28">
            <w:pPr>
              <w:spacing w:line="480" w:lineRule="auto"/>
              <w:contextualSpacing/>
              <w:jc w:val="center"/>
              <w:rPr>
                <w:sz w:val="20"/>
                <w:szCs w:val="20"/>
              </w:rPr>
            </w:pPr>
            <w:r w:rsidRPr="00391305">
              <w:rPr>
                <w:sz w:val="20"/>
                <w:szCs w:val="20"/>
              </w:rPr>
              <w:t>4 months</w:t>
            </w:r>
          </w:p>
        </w:tc>
        <w:tc>
          <w:tcPr>
            <w:tcW w:w="1281" w:type="dxa"/>
            <w:tcBorders>
              <w:top w:val="dotted" w:sz="4" w:space="0" w:color="auto"/>
              <w:bottom w:val="dotted" w:sz="4" w:space="0" w:color="auto"/>
            </w:tcBorders>
            <w:vAlign w:val="center"/>
          </w:tcPr>
          <w:p w14:paraId="3BE14AF9" w14:textId="77777777" w:rsidR="00D25378" w:rsidRPr="00391305" w:rsidRDefault="00D25378" w:rsidP="006C0F28">
            <w:pPr>
              <w:spacing w:line="480" w:lineRule="auto"/>
              <w:contextualSpacing/>
              <w:jc w:val="center"/>
              <w:rPr>
                <w:sz w:val="20"/>
                <w:szCs w:val="20"/>
              </w:rPr>
            </w:pPr>
            <w:r w:rsidRPr="00391305">
              <w:rPr>
                <w:sz w:val="20"/>
                <w:szCs w:val="20"/>
              </w:rPr>
              <w:t>10</w:t>
            </w:r>
          </w:p>
        </w:tc>
        <w:tc>
          <w:tcPr>
            <w:tcW w:w="2291" w:type="dxa"/>
            <w:tcBorders>
              <w:top w:val="dotted" w:sz="4" w:space="0" w:color="auto"/>
              <w:bottom w:val="dotted" w:sz="4" w:space="0" w:color="auto"/>
            </w:tcBorders>
            <w:vAlign w:val="center"/>
          </w:tcPr>
          <w:p w14:paraId="4D05FEA9" w14:textId="77777777" w:rsidR="00D25378" w:rsidRPr="00391305" w:rsidRDefault="00D25378" w:rsidP="006C0F28">
            <w:pPr>
              <w:spacing w:line="480" w:lineRule="auto"/>
              <w:contextualSpacing/>
              <w:jc w:val="center"/>
              <w:rPr>
                <w:sz w:val="20"/>
                <w:szCs w:val="20"/>
              </w:rPr>
            </w:pPr>
            <w:r w:rsidRPr="00391305">
              <w:rPr>
                <w:sz w:val="20"/>
                <w:szCs w:val="20"/>
              </w:rPr>
              <w:t>4-11 months</w:t>
            </w:r>
          </w:p>
        </w:tc>
        <w:tc>
          <w:tcPr>
            <w:tcW w:w="1141" w:type="dxa"/>
            <w:tcBorders>
              <w:top w:val="dotted" w:sz="4" w:space="0" w:color="auto"/>
              <w:bottom w:val="dotted" w:sz="4" w:space="0" w:color="auto"/>
            </w:tcBorders>
            <w:vAlign w:val="center"/>
          </w:tcPr>
          <w:p w14:paraId="7A0768D1" w14:textId="77777777" w:rsidR="00D25378" w:rsidRPr="00391305" w:rsidRDefault="00D25378" w:rsidP="006C0F28">
            <w:pPr>
              <w:spacing w:line="480" w:lineRule="auto"/>
              <w:contextualSpacing/>
              <w:jc w:val="center"/>
              <w:rPr>
                <w:sz w:val="20"/>
                <w:szCs w:val="20"/>
              </w:rPr>
            </w:pPr>
            <w:r w:rsidRPr="00391305">
              <w:rPr>
                <w:sz w:val="20"/>
                <w:szCs w:val="20"/>
              </w:rPr>
              <w:t>8 months</w:t>
            </w:r>
          </w:p>
        </w:tc>
        <w:tc>
          <w:tcPr>
            <w:tcW w:w="2551" w:type="dxa"/>
            <w:tcBorders>
              <w:top w:val="dotted" w:sz="4" w:space="0" w:color="auto"/>
              <w:bottom w:val="dotted" w:sz="4" w:space="0" w:color="auto"/>
            </w:tcBorders>
            <w:vAlign w:val="center"/>
          </w:tcPr>
          <w:p w14:paraId="094D0873" w14:textId="77777777" w:rsidR="00D25378" w:rsidRPr="00391305" w:rsidRDefault="00D25378" w:rsidP="006C0F28">
            <w:pPr>
              <w:spacing w:line="480" w:lineRule="auto"/>
              <w:contextualSpacing/>
              <w:jc w:val="center"/>
              <w:rPr>
                <w:sz w:val="20"/>
                <w:szCs w:val="20"/>
              </w:rPr>
            </w:pPr>
            <w:r w:rsidRPr="00391305">
              <w:rPr>
                <w:sz w:val="20"/>
                <w:szCs w:val="20"/>
              </w:rPr>
              <w:t xml:space="preserve">1 January 2013 – </w:t>
            </w:r>
          </w:p>
          <w:p w14:paraId="6B49D441" w14:textId="77777777" w:rsidR="00D25378" w:rsidRPr="00391305" w:rsidRDefault="00D25378" w:rsidP="006C0F28">
            <w:pPr>
              <w:spacing w:line="480" w:lineRule="auto"/>
              <w:contextualSpacing/>
              <w:jc w:val="center"/>
              <w:rPr>
                <w:sz w:val="20"/>
                <w:szCs w:val="20"/>
              </w:rPr>
            </w:pPr>
            <w:r w:rsidRPr="00391305">
              <w:rPr>
                <w:sz w:val="20"/>
                <w:szCs w:val="20"/>
              </w:rPr>
              <w:t>31 August 2013</w:t>
            </w:r>
          </w:p>
        </w:tc>
      </w:tr>
      <w:tr w:rsidR="00D25378" w14:paraId="115B7493" w14:textId="77777777" w:rsidTr="00F61DD5">
        <w:tc>
          <w:tcPr>
            <w:tcW w:w="1803" w:type="dxa"/>
            <w:tcBorders>
              <w:top w:val="dotted" w:sz="4" w:space="0" w:color="auto"/>
              <w:bottom w:val="dotted" w:sz="4" w:space="0" w:color="auto"/>
            </w:tcBorders>
            <w:vAlign w:val="center"/>
          </w:tcPr>
          <w:p w14:paraId="3A38006F" w14:textId="77777777" w:rsidR="00D25378" w:rsidRPr="00391305" w:rsidRDefault="00D25378" w:rsidP="006C0F28">
            <w:pPr>
              <w:spacing w:line="480" w:lineRule="auto"/>
              <w:contextualSpacing/>
              <w:jc w:val="center"/>
              <w:rPr>
                <w:sz w:val="20"/>
                <w:szCs w:val="20"/>
              </w:rPr>
            </w:pPr>
            <w:r w:rsidRPr="00391305">
              <w:rPr>
                <w:sz w:val="20"/>
                <w:szCs w:val="20"/>
              </w:rPr>
              <w:t>6 months</w:t>
            </w:r>
          </w:p>
        </w:tc>
        <w:tc>
          <w:tcPr>
            <w:tcW w:w="1281" w:type="dxa"/>
            <w:tcBorders>
              <w:top w:val="dotted" w:sz="4" w:space="0" w:color="auto"/>
              <w:bottom w:val="dotted" w:sz="4" w:space="0" w:color="auto"/>
            </w:tcBorders>
            <w:vAlign w:val="center"/>
          </w:tcPr>
          <w:p w14:paraId="11756F81" w14:textId="77777777" w:rsidR="00D25378" w:rsidRPr="00391305" w:rsidRDefault="00D25378" w:rsidP="006C0F28">
            <w:pPr>
              <w:spacing w:line="480" w:lineRule="auto"/>
              <w:contextualSpacing/>
              <w:jc w:val="center"/>
              <w:rPr>
                <w:sz w:val="20"/>
                <w:szCs w:val="20"/>
              </w:rPr>
            </w:pPr>
            <w:r w:rsidRPr="00391305">
              <w:rPr>
                <w:sz w:val="20"/>
                <w:szCs w:val="20"/>
              </w:rPr>
              <w:t>10</w:t>
            </w:r>
          </w:p>
        </w:tc>
        <w:tc>
          <w:tcPr>
            <w:tcW w:w="2291" w:type="dxa"/>
            <w:tcBorders>
              <w:top w:val="dotted" w:sz="4" w:space="0" w:color="auto"/>
              <w:bottom w:val="dotted" w:sz="4" w:space="0" w:color="auto"/>
            </w:tcBorders>
            <w:vAlign w:val="center"/>
          </w:tcPr>
          <w:p w14:paraId="61435EC9" w14:textId="77777777" w:rsidR="00D25378" w:rsidRPr="00391305" w:rsidRDefault="00D25378" w:rsidP="006C0F28">
            <w:pPr>
              <w:spacing w:line="480" w:lineRule="auto"/>
              <w:contextualSpacing/>
              <w:jc w:val="center"/>
              <w:rPr>
                <w:sz w:val="20"/>
                <w:szCs w:val="20"/>
              </w:rPr>
            </w:pPr>
            <w:r w:rsidRPr="00391305">
              <w:rPr>
                <w:sz w:val="20"/>
                <w:szCs w:val="20"/>
              </w:rPr>
              <w:t>6-11 months</w:t>
            </w:r>
          </w:p>
        </w:tc>
        <w:tc>
          <w:tcPr>
            <w:tcW w:w="1141" w:type="dxa"/>
            <w:tcBorders>
              <w:top w:val="dotted" w:sz="4" w:space="0" w:color="auto"/>
              <w:bottom w:val="dotted" w:sz="4" w:space="0" w:color="auto"/>
            </w:tcBorders>
            <w:vAlign w:val="center"/>
          </w:tcPr>
          <w:p w14:paraId="70982453" w14:textId="77777777" w:rsidR="00D25378" w:rsidRPr="00391305" w:rsidRDefault="00D25378" w:rsidP="006C0F28">
            <w:pPr>
              <w:spacing w:line="480" w:lineRule="auto"/>
              <w:contextualSpacing/>
              <w:jc w:val="center"/>
              <w:rPr>
                <w:sz w:val="20"/>
                <w:szCs w:val="20"/>
              </w:rPr>
            </w:pPr>
            <w:r w:rsidRPr="00391305">
              <w:rPr>
                <w:sz w:val="20"/>
                <w:szCs w:val="20"/>
              </w:rPr>
              <w:t>6 months</w:t>
            </w:r>
          </w:p>
        </w:tc>
        <w:tc>
          <w:tcPr>
            <w:tcW w:w="2551" w:type="dxa"/>
            <w:tcBorders>
              <w:top w:val="dotted" w:sz="4" w:space="0" w:color="auto"/>
              <w:bottom w:val="dotted" w:sz="4" w:space="0" w:color="auto"/>
            </w:tcBorders>
            <w:vAlign w:val="center"/>
          </w:tcPr>
          <w:p w14:paraId="17B68628" w14:textId="77777777" w:rsidR="00D25378" w:rsidRPr="00391305" w:rsidRDefault="00D25378" w:rsidP="006C0F28">
            <w:pPr>
              <w:spacing w:line="480" w:lineRule="auto"/>
              <w:contextualSpacing/>
              <w:jc w:val="center"/>
              <w:rPr>
                <w:sz w:val="20"/>
                <w:szCs w:val="20"/>
              </w:rPr>
            </w:pPr>
            <w:r w:rsidRPr="00391305">
              <w:rPr>
                <w:sz w:val="20"/>
                <w:szCs w:val="20"/>
              </w:rPr>
              <w:t xml:space="preserve">1 January 2013 – </w:t>
            </w:r>
          </w:p>
          <w:p w14:paraId="504565B3" w14:textId="77777777" w:rsidR="00D25378" w:rsidRPr="00391305" w:rsidRDefault="00D25378" w:rsidP="006C0F28">
            <w:pPr>
              <w:spacing w:line="480" w:lineRule="auto"/>
              <w:contextualSpacing/>
              <w:jc w:val="center"/>
              <w:rPr>
                <w:sz w:val="20"/>
                <w:szCs w:val="20"/>
              </w:rPr>
            </w:pPr>
            <w:r w:rsidRPr="00391305">
              <w:rPr>
                <w:sz w:val="20"/>
                <w:szCs w:val="20"/>
              </w:rPr>
              <w:t>30 June 2013</w:t>
            </w:r>
          </w:p>
        </w:tc>
      </w:tr>
      <w:tr w:rsidR="00D25378" w14:paraId="4CF40E51" w14:textId="77777777" w:rsidTr="00F61DD5">
        <w:tc>
          <w:tcPr>
            <w:tcW w:w="1803" w:type="dxa"/>
            <w:tcBorders>
              <w:top w:val="dotted" w:sz="4" w:space="0" w:color="auto"/>
              <w:bottom w:val="dotted" w:sz="4" w:space="0" w:color="auto"/>
            </w:tcBorders>
            <w:vAlign w:val="center"/>
          </w:tcPr>
          <w:p w14:paraId="7C93D822" w14:textId="77777777" w:rsidR="00D25378" w:rsidRPr="00391305" w:rsidRDefault="00D25378" w:rsidP="006C0F28">
            <w:pPr>
              <w:spacing w:line="480" w:lineRule="auto"/>
              <w:contextualSpacing/>
              <w:jc w:val="center"/>
              <w:rPr>
                <w:sz w:val="20"/>
                <w:szCs w:val="20"/>
              </w:rPr>
            </w:pPr>
            <w:r w:rsidRPr="00391305">
              <w:rPr>
                <w:sz w:val="20"/>
                <w:szCs w:val="20"/>
              </w:rPr>
              <w:t>12 months</w:t>
            </w:r>
          </w:p>
        </w:tc>
        <w:tc>
          <w:tcPr>
            <w:tcW w:w="1281" w:type="dxa"/>
            <w:tcBorders>
              <w:top w:val="dotted" w:sz="4" w:space="0" w:color="auto"/>
              <w:bottom w:val="dotted" w:sz="4" w:space="0" w:color="auto"/>
            </w:tcBorders>
            <w:vAlign w:val="center"/>
          </w:tcPr>
          <w:p w14:paraId="4ED77B0D" w14:textId="77777777" w:rsidR="00D25378" w:rsidRPr="00391305" w:rsidRDefault="00D25378" w:rsidP="006C0F28">
            <w:pPr>
              <w:spacing w:line="480" w:lineRule="auto"/>
              <w:contextualSpacing/>
              <w:jc w:val="center"/>
              <w:rPr>
                <w:sz w:val="20"/>
                <w:szCs w:val="20"/>
              </w:rPr>
            </w:pPr>
            <w:r w:rsidRPr="00391305">
              <w:rPr>
                <w:sz w:val="20"/>
                <w:szCs w:val="20"/>
              </w:rPr>
              <w:t>4</w:t>
            </w:r>
          </w:p>
        </w:tc>
        <w:tc>
          <w:tcPr>
            <w:tcW w:w="2291" w:type="dxa"/>
            <w:tcBorders>
              <w:top w:val="dotted" w:sz="4" w:space="0" w:color="auto"/>
              <w:bottom w:val="dotted" w:sz="4" w:space="0" w:color="auto"/>
            </w:tcBorders>
            <w:vAlign w:val="center"/>
          </w:tcPr>
          <w:p w14:paraId="3B986E60" w14:textId="77777777" w:rsidR="00D25378" w:rsidRPr="00391305" w:rsidRDefault="00D25378" w:rsidP="006C0F28">
            <w:pPr>
              <w:spacing w:line="480" w:lineRule="auto"/>
              <w:contextualSpacing/>
              <w:jc w:val="center"/>
              <w:rPr>
                <w:sz w:val="20"/>
                <w:szCs w:val="20"/>
              </w:rPr>
            </w:pPr>
            <w:r w:rsidRPr="00391305">
              <w:rPr>
                <w:sz w:val="20"/>
                <w:szCs w:val="20"/>
              </w:rPr>
              <w:t>12-23 months</w:t>
            </w:r>
          </w:p>
        </w:tc>
        <w:tc>
          <w:tcPr>
            <w:tcW w:w="1141" w:type="dxa"/>
            <w:tcBorders>
              <w:top w:val="dotted" w:sz="4" w:space="0" w:color="auto"/>
              <w:bottom w:val="dotted" w:sz="4" w:space="0" w:color="auto"/>
            </w:tcBorders>
            <w:vAlign w:val="center"/>
          </w:tcPr>
          <w:p w14:paraId="61CF2BBE" w14:textId="77777777" w:rsidR="00D25378" w:rsidRPr="00391305" w:rsidRDefault="00D25378" w:rsidP="006C0F28">
            <w:pPr>
              <w:spacing w:line="480" w:lineRule="auto"/>
              <w:contextualSpacing/>
              <w:jc w:val="center"/>
              <w:rPr>
                <w:sz w:val="20"/>
                <w:szCs w:val="20"/>
              </w:rPr>
            </w:pPr>
            <w:r w:rsidRPr="00391305">
              <w:rPr>
                <w:sz w:val="20"/>
                <w:szCs w:val="20"/>
              </w:rPr>
              <w:t>12 months</w:t>
            </w:r>
          </w:p>
        </w:tc>
        <w:tc>
          <w:tcPr>
            <w:tcW w:w="2551" w:type="dxa"/>
            <w:tcBorders>
              <w:top w:val="dotted" w:sz="4" w:space="0" w:color="auto"/>
              <w:bottom w:val="dotted" w:sz="4" w:space="0" w:color="auto"/>
            </w:tcBorders>
            <w:vAlign w:val="center"/>
          </w:tcPr>
          <w:p w14:paraId="63CE142E" w14:textId="77777777" w:rsidR="00D25378" w:rsidRPr="00391305" w:rsidRDefault="00D25378" w:rsidP="006C0F28">
            <w:pPr>
              <w:spacing w:line="480" w:lineRule="auto"/>
              <w:contextualSpacing/>
              <w:jc w:val="center"/>
              <w:rPr>
                <w:sz w:val="20"/>
                <w:szCs w:val="20"/>
              </w:rPr>
            </w:pPr>
            <w:r w:rsidRPr="00391305">
              <w:rPr>
                <w:sz w:val="20"/>
                <w:szCs w:val="20"/>
              </w:rPr>
              <w:t>1 January 2012 –</w:t>
            </w:r>
          </w:p>
          <w:p w14:paraId="73E901B9" w14:textId="77777777" w:rsidR="00D25378" w:rsidRPr="00391305" w:rsidRDefault="00D25378" w:rsidP="006C0F28">
            <w:pPr>
              <w:spacing w:line="480" w:lineRule="auto"/>
              <w:contextualSpacing/>
              <w:jc w:val="center"/>
              <w:rPr>
                <w:sz w:val="20"/>
                <w:szCs w:val="20"/>
              </w:rPr>
            </w:pPr>
            <w:r w:rsidRPr="00391305">
              <w:rPr>
                <w:sz w:val="20"/>
                <w:szCs w:val="20"/>
              </w:rPr>
              <w:lastRenderedPageBreak/>
              <w:t>31 December 2012</w:t>
            </w:r>
          </w:p>
        </w:tc>
      </w:tr>
      <w:tr w:rsidR="00D25378" w14:paraId="52D8377A" w14:textId="77777777" w:rsidTr="00F61DD5">
        <w:tc>
          <w:tcPr>
            <w:tcW w:w="1803" w:type="dxa"/>
            <w:tcBorders>
              <w:top w:val="dotted" w:sz="4" w:space="0" w:color="auto"/>
              <w:bottom w:val="dotted" w:sz="4" w:space="0" w:color="auto"/>
            </w:tcBorders>
            <w:vAlign w:val="center"/>
          </w:tcPr>
          <w:p w14:paraId="49D619DC" w14:textId="77777777" w:rsidR="00D25378" w:rsidRPr="00391305" w:rsidRDefault="00D25378" w:rsidP="006C0F28">
            <w:pPr>
              <w:spacing w:line="480" w:lineRule="auto"/>
              <w:contextualSpacing/>
              <w:jc w:val="center"/>
              <w:rPr>
                <w:sz w:val="20"/>
                <w:szCs w:val="20"/>
              </w:rPr>
            </w:pPr>
            <w:r w:rsidRPr="00391305">
              <w:rPr>
                <w:sz w:val="20"/>
                <w:szCs w:val="20"/>
              </w:rPr>
              <w:lastRenderedPageBreak/>
              <w:t>18 months</w:t>
            </w:r>
          </w:p>
        </w:tc>
        <w:tc>
          <w:tcPr>
            <w:tcW w:w="1281" w:type="dxa"/>
            <w:tcBorders>
              <w:top w:val="dotted" w:sz="4" w:space="0" w:color="auto"/>
              <w:bottom w:val="dotted" w:sz="4" w:space="0" w:color="auto"/>
            </w:tcBorders>
            <w:vAlign w:val="center"/>
          </w:tcPr>
          <w:p w14:paraId="35AADDFF" w14:textId="77777777" w:rsidR="00D25378" w:rsidRPr="00391305" w:rsidRDefault="00D25378" w:rsidP="006C0F28">
            <w:pPr>
              <w:spacing w:line="480" w:lineRule="auto"/>
              <w:contextualSpacing/>
              <w:jc w:val="center"/>
              <w:rPr>
                <w:sz w:val="20"/>
                <w:szCs w:val="20"/>
              </w:rPr>
            </w:pPr>
            <w:r w:rsidRPr="00391305">
              <w:rPr>
                <w:sz w:val="20"/>
                <w:szCs w:val="20"/>
              </w:rPr>
              <w:t>4</w:t>
            </w:r>
          </w:p>
        </w:tc>
        <w:tc>
          <w:tcPr>
            <w:tcW w:w="2291" w:type="dxa"/>
            <w:tcBorders>
              <w:top w:val="dotted" w:sz="4" w:space="0" w:color="auto"/>
              <w:bottom w:val="dotted" w:sz="4" w:space="0" w:color="auto"/>
            </w:tcBorders>
            <w:vAlign w:val="center"/>
          </w:tcPr>
          <w:p w14:paraId="771347A4" w14:textId="77777777" w:rsidR="00D25378" w:rsidRPr="00391305" w:rsidRDefault="00D25378" w:rsidP="006C0F28">
            <w:pPr>
              <w:spacing w:line="480" w:lineRule="auto"/>
              <w:contextualSpacing/>
              <w:jc w:val="center"/>
              <w:rPr>
                <w:sz w:val="20"/>
                <w:szCs w:val="20"/>
              </w:rPr>
            </w:pPr>
            <w:r w:rsidRPr="00391305">
              <w:rPr>
                <w:sz w:val="20"/>
                <w:szCs w:val="20"/>
              </w:rPr>
              <w:t>18-23 months</w:t>
            </w:r>
          </w:p>
        </w:tc>
        <w:tc>
          <w:tcPr>
            <w:tcW w:w="1141" w:type="dxa"/>
            <w:tcBorders>
              <w:top w:val="dotted" w:sz="4" w:space="0" w:color="auto"/>
              <w:bottom w:val="dotted" w:sz="4" w:space="0" w:color="auto"/>
            </w:tcBorders>
            <w:vAlign w:val="center"/>
          </w:tcPr>
          <w:p w14:paraId="39B04DC6" w14:textId="77777777" w:rsidR="00D25378" w:rsidRPr="00391305" w:rsidRDefault="00D25378" w:rsidP="006C0F28">
            <w:pPr>
              <w:spacing w:line="480" w:lineRule="auto"/>
              <w:contextualSpacing/>
              <w:jc w:val="center"/>
              <w:rPr>
                <w:sz w:val="20"/>
                <w:szCs w:val="20"/>
              </w:rPr>
            </w:pPr>
            <w:r w:rsidRPr="00391305">
              <w:rPr>
                <w:sz w:val="20"/>
                <w:szCs w:val="20"/>
              </w:rPr>
              <w:t>6 months</w:t>
            </w:r>
          </w:p>
        </w:tc>
        <w:tc>
          <w:tcPr>
            <w:tcW w:w="2551" w:type="dxa"/>
            <w:tcBorders>
              <w:top w:val="dotted" w:sz="4" w:space="0" w:color="auto"/>
              <w:bottom w:val="dotted" w:sz="4" w:space="0" w:color="auto"/>
            </w:tcBorders>
            <w:vAlign w:val="center"/>
          </w:tcPr>
          <w:p w14:paraId="3BA46DB0" w14:textId="77777777" w:rsidR="00D25378" w:rsidRPr="00391305" w:rsidRDefault="00D25378" w:rsidP="006C0F28">
            <w:pPr>
              <w:spacing w:line="480" w:lineRule="auto"/>
              <w:contextualSpacing/>
              <w:jc w:val="center"/>
              <w:rPr>
                <w:sz w:val="20"/>
                <w:szCs w:val="20"/>
              </w:rPr>
            </w:pPr>
            <w:r w:rsidRPr="00391305">
              <w:rPr>
                <w:sz w:val="20"/>
                <w:szCs w:val="20"/>
              </w:rPr>
              <w:t>1 January 2012 –</w:t>
            </w:r>
          </w:p>
          <w:p w14:paraId="2E10BABA" w14:textId="77777777" w:rsidR="00D25378" w:rsidRPr="00391305" w:rsidRDefault="00D25378" w:rsidP="006C0F28">
            <w:pPr>
              <w:spacing w:line="480" w:lineRule="auto"/>
              <w:contextualSpacing/>
              <w:jc w:val="center"/>
              <w:rPr>
                <w:sz w:val="20"/>
                <w:szCs w:val="20"/>
              </w:rPr>
            </w:pPr>
            <w:r w:rsidRPr="00391305">
              <w:rPr>
                <w:sz w:val="20"/>
                <w:szCs w:val="20"/>
              </w:rPr>
              <w:t>30 June 2012</w:t>
            </w:r>
          </w:p>
        </w:tc>
      </w:tr>
      <w:tr w:rsidR="00D25378" w14:paraId="6C2A1679" w14:textId="77777777" w:rsidTr="00F61DD5">
        <w:tc>
          <w:tcPr>
            <w:tcW w:w="1803" w:type="dxa"/>
            <w:tcBorders>
              <w:top w:val="dotted" w:sz="4" w:space="0" w:color="auto"/>
              <w:bottom w:val="dotted" w:sz="4" w:space="0" w:color="auto"/>
            </w:tcBorders>
            <w:vAlign w:val="center"/>
          </w:tcPr>
          <w:p w14:paraId="4BD52F37" w14:textId="77777777" w:rsidR="00D25378" w:rsidRPr="00391305" w:rsidRDefault="00D25378" w:rsidP="006C0F28">
            <w:pPr>
              <w:spacing w:line="480" w:lineRule="auto"/>
              <w:contextualSpacing/>
              <w:jc w:val="center"/>
              <w:rPr>
                <w:sz w:val="20"/>
                <w:szCs w:val="20"/>
              </w:rPr>
            </w:pPr>
            <w:r w:rsidRPr="00391305">
              <w:rPr>
                <w:sz w:val="20"/>
                <w:szCs w:val="20"/>
              </w:rPr>
              <w:t>24 months</w:t>
            </w:r>
          </w:p>
        </w:tc>
        <w:tc>
          <w:tcPr>
            <w:tcW w:w="1281" w:type="dxa"/>
            <w:tcBorders>
              <w:top w:val="dotted" w:sz="4" w:space="0" w:color="auto"/>
              <w:bottom w:val="dotted" w:sz="4" w:space="0" w:color="auto"/>
            </w:tcBorders>
            <w:vAlign w:val="center"/>
          </w:tcPr>
          <w:p w14:paraId="4C814066" w14:textId="77777777" w:rsidR="00D25378" w:rsidRPr="00391305" w:rsidRDefault="00D25378" w:rsidP="006C0F28">
            <w:pPr>
              <w:spacing w:line="480" w:lineRule="auto"/>
              <w:contextualSpacing/>
              <w:jc w:val="center"/>
              <w:rPr>
                <w:sz w:val="20"/>
                <w:szCs w:val="20"/>
              </w:rPr>
            </w:pPr>
            <w:r w:rsidRPr="00391305">
              <w:rPr>
                <w:sz w:val="20"/>
                <w:szCs w:val="20"/>
              </w:rPr>
              <w:t>4</w:t>
            </w:r>
          </w:p>
        </w:tc>
        <w:tc>
          <w:tcPr>
            <w:tcW w:w="2291" w:type="dxa"/>
            <w:tcBorders>
              <w:top w:val="dotted" w:sz="4" w:space="0" w:color="auto"/>
              <w:bottom w:val="dotted" w:sz="4" w:space="0" w:color="auto"/>
            </w:tcBorders>
            <w:vAlign w:val="center"/>
          </w:tcPr>
          <w:p w14:paraId="159066B8" w14:textId="77777777" w:rsidR="00D25378" w:rsidRPr="00391305" w:rsidRDefault="00D25378" w:rsidP="006C0F28">
            <w:pPr>
              <w:spacing w:line="480" w:lineRule="auto"/>
              <w:contextualSpacing/>
              <w:jc w:val="center"/>
              <w:rPr>
                <w:sz w:val="20"/>
                <w:szCs w:val="20"/>
              </w:rPr>
            </w:pPr>
            <w:r w:rsidRPr="00391305">
              <w:rPr>
                <w:sz w:val="20"/>
                <w:szCs w:val="20"/>
              </w:rPr>
              <w:t>24-35 months</w:t>
            </w:r>
          </w:p>
        </w:tc>
        <w:tc>
          <w:tcPr>
            <w:tcW w:w="1141" w:type="dxa"/>
            <w:tcBorders>
              <w:top w:val="dotted" w:sz="4" w:space="0" w:color="auto"/>
              <w:bottom w:val="dotted" w:sz="4" w:space="0" w:color="auto"/>
            </w:tcBorders>
            <w:vAlign w:val="center"/>
          </w:tcPr>
          <w:p w14:paraId="5FC15644" w14:textId="77777777" w:rsidR="00D25378" w:rsidRPr="00391305" w:rsidRDefault="00D25378" w:rsidP="006C0F28">
            <w:pPr>
              <w:spacing w:line="480" w:lineRule="auto"/>
              <w:contextualSpacing/>
              <w:jc w:val="center"/>
              <w:rPr>
                <w:sz w:val="20"/>
                <w:szCs w:val="20"/>
              </w:rPr>
            </w:pPr>
            <w:r w:rsidRPr="00391305">
              <w:rPr>
                <w:sz w:val="20"/>
                <w:szCs w:val="20"/>
              </w:rPr>
              <w:t>12 months</w:t>
            </w:r>
          </w:p>
        </w:tc>
        <w:tc>
          <w:tcPr>
            <w:tcW w:w="2551" w:type="dxa"/>
            <w:tcBorders>
              <w:top w:val="dotted" w:sz="4" w:space="0" w:color="auto"/>
              <w:bottom w:val="dotted" w:sz="4" w:space="0" w:color="auto"/>
            </w:tcBorders>
            <w:vAlign w:val="center"/>
          </w:tcPr>
          <w:p w14:paraId="17175C1A" w14:textId="77777777" w:rsidR="00D25378" w:rsidRPr="00391305" w:rsidRDefault="00D25378" w:rsidP="006C0F28">
            <w:pPr>
              <w:spacing w:line="480" w:lineRule="auto"/>
              <w:contextualSpacing/>
              <w:jc w:val="center"/>
              <w:rPr>
                <w:sz w:val="20"/>
                <w:szCs w:val="20"/>
              </w:rPr>
            </w:pPr>
            <w:r w:rsidRPr="00391305">
              <w:rPr>
                <w:sz w:val="20"/>
                <w:szCs w:val="20"/>
              </w:rPr>
              <w:t>1 January 2011 –</w:t>
            </w:r>
          </w:p>
          <w:p w14:paraId="76350C69" w14:textId="77777777" w:rsidR="00D25378" w:rsidRPr="00391305" w:rsidRDefault="00D25378" w:rsidP="006C0F28">
            <w:pPr>
              <w:spacing w:line="480" w:lineRule="auto"/>
              <w:contextualSpacing/>
              <w:jc w:val="center"/>
              <w:rPr>
                <w:sz w:val="20"/>
                <w:szCs w:val="20"/>
              </w:rPr>
            </w:pPr>
            <w:r w:rsidRPr="00391305">
              <w:rPr>
                <w:sz w:val="20"/>
                <w:szCs w:val="20"/>
              </w:rPr>
              <w:t>31 December 2011</w:t>
            </w:r>
          </w:p>
        </w:tc>
      </w:tr>
      <w:tr w:rsidR="00D25378" w14:paraId="15082441" w14:textId="77777777" w:rsidTr="00F61DD5">
        <w:tc>
          <w:tcPr>
            <w:tcW w:w="1803" w:type="dxa"/>
            <w:tcBorders>
              <w:top w:val="dotted" w:sz="4" w:space="0" w:color="auto"/>
            </w:tcBorders>
            <w:vAlign w:val="center"/>
          </w:tcPr>
          <w:p w14:paraId="25AD0364" w14:textId="77777777" w:rsidR="00D25378" w:rsidRPr="00391305" w:rsidRDefault="00D25378" w:rsidP="006C0F28">
            <w:pPr>
              <w:spacing w:line="480" w:lineRule="auto"/>
              <w:contextualSpacing/>
              <w:jc w:val="center"/>
              <w:rPr>
                <w:sz w:val="20"/>
                <w:szCs w:val="20"/>
              </w:rPr>
            </w:pPr>
            <w:r w:rsidRPr="00391305">
              <w:rPr>
                <w:sz w:val="20"/>
                <w:szCs w:val="20"/>
              </w:rPr>
              <w:t>48 months</w:t>
            </w:r>
          </w:p>
        </w:tc>
        <w:tc>
          <w:tcPr>
            <w:tcW w:w="1281" w:type="dxa"/>
            <w:tcBorders>
              <w:top w:val="dotted" w:sz="4" w:space="0" w:color="auto"/>
            </w:tcBorders>
            <w:vAlign w:val="center"/>
          </w:tcPr>
          <w:p w14:paraId="7967C84D" w14:textId="77777777" w:rsidR="00D25378" w:rsidRPr="00391305" w:rsidRDefault="00D25378" w:rsidP="006C0F28">
            <w:pPr>
              <w:spacing w:line="480" w:lineRule="auto"/>
              <w:contextualSpacing/>
              <w:jc w:val="center"/>
              <w:rPr>
                <w:sz w:val="20"/>
                <w:szCs w:val="20"/>
              </w:rPr>
            </w:pPr>
            <w:r w:rsidRPr="00391305">
              <w:rPr>
                <w:sz w:val="20"/>
                <w:szCs w:val="20"/>
              </w:rPr>
              <w:t>1</w:t>
            </w:r>
          </w:p>
        </w:tc>
        <w:tc>
          <w:tcPr>
            <w:tcW w:w="2291" w:type="dxa"/>
            <w:tcBorders>
              <w:top w:val="dotted" w:sz="4" w:space="0" w:color="auto"/>
            </w:tcBorders>
            <w:vAlign w:val="center"/>
          </w:tcPr>
          <w:p w14:paraId="1D7C1BEC" w14:textId="77777777" w:rsidR="00D25378" w:rsidRPr="00391305" w:rsidRDefault="00D25378" w:rsidP="006C0F28">
            <w:pPr>
              <w:spacing w:line="480" w:lineRule="auto"/>
              <w:contextualSpacing/>
              <w:jc w:val="center"/>
              <w:rPr>
                <w:sz w:val="20"/>
                <w:szCs w:val="20"/>
              </w:rPr>
            </w:pPr>
            <w:r w:rsidRPr="00391305">
              <w:rPr>
                <w:sz w:val="20"/>
                <w:szCs w:val="20"/>
              </w:rPr>
              <w:t>48-59 months</w:t>
            </w:r>
          </w:p>
        </w:tc>
        <w:tc>
          <w:tcPr>
            <w:tcW w:w="1141" w:type="dxa"/>
            <w:tcBorders>
              <w:top w:val="dotted" w:sz="4" w:space="0" w:color="auto"/>
            </w:tcBorders>
            <w:vAlign w:val="center"/>
          </w:tcPr>
          <w:p w14:paraId="3D480094" w14:textId="77777777" w:rsidR="00D25378" w:rsidRPr="00391305" w:rsidRDefault="00D25378" w:rsidP="006C0F28">
            <w:pPr>
              <w:spacing w:line="480" w:lineRule="auto"/>
              <w:contextualSpacing/>
              <w:jc w:val="center"/>
              <w:rPr>
                <w:sz w:val="20"/>
                <w:szCs w:val="20"/>
              </w:rPr>
            </w:pPr>
            <w:r w:rsidRPr="00391305">
              <w:rPr>
                <w:sz w:val="20"/>
                <w:szCs w:val="20"/>
              </w:rPr>
              <w:t>12 months</w:t>
            </w:r>
          </w:p>
        </w:tc>
        <w:tc>
          <w:tcPr>
            <w:tcW w:w="2551" w:type="dxa"/>
            <w:tcBorders>
              <w:top w:val="dotted" w:sz="4" w:space="0" w:color="auto"/>
            </w:tcBorders>
            <w:vAlign w:val="center"/>
          </w:tcPr>
          <w:p w14:paraId="0E4B116C" w14:textId="77777777" w:rsidR="00D25378" w:rsidRPr="00391305" w:rsidRDefault="00D25378" w:rsidP="006C0F28">
            <w:pPr>
              <w:spacing w:line="480" w:lineRule="auto"/>
              <w:contextualSpacing/>
              <w:jc w:val="center"/>
              <w:rPr>
                <w:sz w:val="20"/>
                <w:szCs w:val="20"/>
              </w:rPr>
            </w:pPr>
            <w:r w:rsidRPr="00391305">
              <w:rPr>
                <w:sz w:val="20"/>
                <w:szCs w:val="20"/>
              </w:rPr>
              <w:t>1 January 2009 –</w:t>
            </w:r>
          </w:p>
          <w:p w14:paraId="70E82609" w14:textId="77777777" w:rsidR="00D25378" w:rsidRPr="00391305" w:rsidRDefault="00D25378" w:rsidP="006C0F28">
            <w:pPr>
              <w:spacing w:line="480" w:lineRule="auto"/>
              <w:contextualSpacing/>
              <w:jc w:val="center"/>
              <w:rPr>
                <w:sz w:val="20"/>
                <w:szCs w:val="20"/>
              </w:rPr>
            </w:pPr>
            <w:r w:rsidRPr="00391305">
              <w:rPr>
                <w:sz w:val="20"/>
                <w:szCs w:val="20"/>
              </w:rPr>
              <w:t>31 December 2009</w:t>
            </w:r>
          </w:p>
        </w:tc>
      </w:tr>
    </w:tbl>
    <w:p w14:paraId="3D3077C2" w14:textId="77777777" w:rsidR="00B97767" w:rsidRDefault="00B97767" w:rsidP="00B97767">
      <w:pPr>
        <w:pStyle w:val="Heading2"/>
        <w:spacing w:before="0" w:line="480" w:lineRule="auto"/>
        <w:contextualSpacing/>
      </w:pPr>
      <w:bookmarkStart w:id="5" w:name="_Hlk489339508"/>
      <w:bookmarkStart w:id="6" w:name="_Hlk489339167"/>
    </w:p>
    <w:p w14:paraId="74638430" w14:textId="61AB7CF6" w:rsidR="00D25378" w:rsidRPr="006E7D16" w:rsidRDefault="00D25378" w:rsidP="006C0F28">
      <w:pPr>
        <w:pStyle w:val="Heading2"/>
        <w:spacing w:before="0" w:line="480" w:lineRule="auto"/>
        <w:contextualSpacing/>
      </w:pPr>
      <w:r>
        <w:t>1.</w:t>
      </w:r>
      <w:r w:rsidR="006B3461">
        <w:t>4</w:t>
      </w:r>
      <w:r>
        <w:tab/>
        <w:t>Sampling w</w:t>
      </w:r>
      <w:r w:rsidRPr="006E7D16">
        <w:t>eights</w:t>
      </w:r>
    </w:p>
    <w:p w14:paraId="28D31695" w14:textId="77777777" w:rsidR="00D25378" w:rsidRDefault="00D25378" w:rsidP="006C0F28">
      <w:pPr>
        <w:spacing w:after="0" w:line="480" w:lineRule="auto"/>
        <w:contextualSpacing/>
      </w:pPr>
      <w:r>
        <w:t xml:space="preserve">There are two challenges in calculating an overall estimate of the appropriateness of preventive care. First, the different durations of eligibility windows for indicators at different age-points led to differential under-sampling of some age-points for preventive care (e.g., activities at 6 and 18 months were under-sampled by a factor of 4, while activities at 12, 24 and 48 months were only under-sampled by a factor of 2).  Second, as sampling was performed </w:t>
      </w:r>
      <w:r w:rsidRPr="00154782">
        <w:rPr>
          <w:i/>
        </w:rPr>
        <w:t>within</w:t>
      </w:r>
      <w:r>
        <w:t xml:space="preserve"> records selected because they were thought to contain one or more targeted clinical conditions, this imposes an age-structure on the sample, resulting in larger numbers eligible for some ages than for others; for example, there were ~100 children with one or more eligible GP records born in 2013, but around 300 in other years.</w:t>
      </w:r>
    </w:p>
    <w:bookmarkEnd w:id="5"/>
    <w:p w14:paraId="45161065" w14:textId="77777777" w:rsidR="00D25378" w:rsidRDefault="00D25378" w:rsidP="006C0F28">
      <w:pPr>
        <w:keepNext/>
        <w:spacing w:after="0" w:line="480" w:lineRule="auto"/>
        <w:contextualSpacing/>
      </w:pPr>
      <w:r>
        <w:t>Sampling weights were constructed in such a way as to address both of these issues simultaneously. Assessments of 43 indicators were broken into 7 sub-groups: sub-groups at 2, 4 and 6 months of age each had ten indicators; sub-groups at 12, 18 and 24 months of age each had four indicators; and the sub-group at 48 months of age each contained one indicator.</w:t>
      </w:r>
    </w:p>
    <w:p w14:paraId="7A7FCA5B" w14:textId="77777777" w:rsidR="00D25378" w:rsidRDefault="00D25378" w:rsidP="006C0F28">
      <w:pPr>
        <w:keepNext/>
        <w:spacing w:after="0" w:line="480" w:lineRule="auto"/>
        <w:contextualSpacing/>
        <w:rPr>
          <w:rFonts w:eastAsiaTheme="minorEastAsia"/>
        </w:rPr>
      </w:pPr>
      <w:r>
        <w:rPr>
          <w:rFonts w:eastAsiaTheme="minorEastAsia"/>
        </w:rPr>
        <w:t>Sampling fractions were calculated at</w:t>
      </w:r>
      <w:r w:rsidRPr="0090680E">
        <w:rPr>
          <w:rFonts w:eastAsiaTheme="minorEastAsia"/>
        </w:rPr>
        <w:t xml:space="preserve"> </w:t>
      </w:r>
      <w:r>
        <w:rPr>
          <w:rFonts w:ascii="Calibri" w:hAnsi="Calibri" w:cs="Calibri"/>
        </w:rPr>
        <w:t xml:space="preserve">Health District </w:t>
      </w:r>
      <w:r w:rsidRPr="0090680E">
        <w:rPr>
          <w:rFonts w:eastAsiaTheme="minorEastAsia"/>
        </w:rPr>
        <w:t>level</w:t>
      </w:r>
      <w:r>
        <w:rPr>
          <w:rFonts w:eastAsiaTheme="minorEastAsia"/>
        </w:rPr>
        <w:t>, using identical methods, separately for each of the 7 sub-groups:</w:t>
      </w:r>
    </w:p>
    <w:p w14:paraId="1382F2D5" w14:textId="77777777" w:rsidR="00D25378" w:rsidRPr="00C80F3E" w:rsidRDefault="00A83829" w:rsidP="006C0F28">
      <w:pPr>
        <w:spacing w:after="0" w:line="480" w:lineRule="auto"/>
        <w:ind w:left="720"/>
        <w:contextualSpacing/>
        <w:rPr>
          <w:rFonts w:eastAsiaTheme="minorEastAsia"/>
          <w:sz w:val="20"/>
          <w:szCs w:val="20"/>
          <w:lang w:val="en-US"/>
        </w:rPr>
      </w:pPr>
      <m:oMath>
        <m:sSub>
          <m:sSubPr>
            <m:ctrlPr>
              <w:rPr>
                <w:rFonts w:ascii="Cambria Math" w:hAnsi="Cambria Math"/>
                <w:i/>
                <w:sz w:val="20"/>
                <w:szCs w:val="20"/>
                <w:lang w:val="en-US"/>
              </w:rPr>
            </m:ctrlPr>
          </m:sSubPr>
          <m:e>
            <m:r>
              <w:rPr>
                <w:rFonts w:ascii="Cambria Math" w:hAnsi="Cambria Math"/>
                <w:sz w:val="20"/>
                <w:szCs w:val="20"/>
                <w:lang w:val="en-US"/>
              </w:rPr>
              <m:t>Sampling Fraction</m:t>
            </m:r>
          </m:e>
          <m:sub/>
        </m:sSub>
        <m:r>
          <w:rPr>
            <w:rFonts w:ascii="Cambria Math" w:hAnsi="Cambria Math"/>
            <w:sz w:val="20"/>
            <w:szCs w:val="20"/>
            <w:lang w:val="en-US"/>
          </w:rPr>
          <m:t xml:space="preserve">=Area Sampling Fraction × Health District Sampling Fraction  </m:t>
        </m:r>
      </m:oMath>
      <w:r w:rsidR="00D25378" w:rsidRPr="00C80F3E">
        <w:rPr>
          <w:rFonts w:eastAsiaTheme="minorEastAsia"/>
          <w:sz w:val="20"/>
          <w:szCs w:val="20"/>
          <w:lang w:val="en-US"/>
        </w:rPr>
        <w:t xml:space="preserve"> </w:t>
      </w:r>
    </w:p>
    <w:p w14:paraId="21AA8CE7" w14:textId="77777777" w:rsidR="00D25378" w:rsidRDefault="00D25378" w:rsidP="006C0F28">
      <w:pPr>
        <w:spacing w:after="0" w:line="480" w:lineRule="auto"/>
        <w:ind w:left="720"/>
        <w:contextualSpacing/>
        <w:rPr>
          <w:rFonts w:eastAsiaTheme="minorEastAsia"/>
          <w:lang w:val="en-US"/>
        </w:rPr>
      </w:pPr>
      <w:r>
        <w:rPr>
          <w:rFonts w:eastAsiaTheme="minorEastAsia"/>
          <w:lang w:val="en-US"/>
        </w:rPr>
        <w:lastRenderedPageBreak/>
        <w:t>Where the Area Sampling Fraction (SF) refers to Metropolitan or Regional geographical areas, and:</w:t>
      </w:r>
    </w:p>
    <w:p w14:paraId="26EC4440" w14:textId="77777777" w:rsidR="00D25378" w:rsidRPr="00C80F3E" w:rsidRDefault="00A83829" w:rsidP="006C0F28">
      <w:pPr>
        <w:spacing w:after="0" w:line="480" w:lineRule="auto"/>
        <w:ind w:left="1440"/>
        <w:contextualSpacing/>
        <w:rPr>
          <w:rFonts w:eastAsiaTheme="minorEastAsia"/>
          <w:sz w:val="20"/>
          <w:szCs w:val="20"/>
          <w:lang w:val="en-US"/>
        </w:rPr>
      </w:pPr>
      <m:oMathPara>
        <m:oMathParaPr>
          <m:jc m:val="left"/>
        </m:oMathParaPr>
        <m:oMath>
          <m:sSub>
            <m:sSubPr>
              <m:ctrlPr>
                <w:rPr>
                  <w:rFonts w:ascii="Cambria Math" w:hAnsi="Cambria Math"/>
                  <w:i/>
                  <w:sz w:val="20"/>
                  <w:szCs w:val="20"/>
                  <w:lang w:val="en-US"/>
                </w:rPr>
              </m:ctrlPr>
            </m:sSubPr>
            <m:e>
              <m:r>
                <w:rPr>
                  <w:rFonts w:ascii="Cambria Math" w:hAnsi="Cambria Math"/>
                  <w:sz w:val="20"/>
                  <w:szCs w:val="20"/>
                  <w:lang w:val="en-US"/>
                </w:rPr>
                <m:t>Area SF</m:t>
              </m:r>
            </m:e>
            <m:sub/>
          </m:sSub>
          <m:r>
            <w:rPr>
              <w:rFonts w:ascii="Cambria Math" w:hAnsi="Cambria Math"/>
              <w:sz w:val="20"/>
              <w:szCs w:val="20"/>
              <w:lang w:val="en-US"/>
            </w:rPr>
            <m:t>=</m:t>
          </m:r>
          <m:f>
            <m:fPr>
              <m:ctrlPr>
                <w:rPr>
                  <w:rFonts w:ascii="Cambria Math" w:hAnsi="Cambria Math"/>
                  <w:i/>
                  <w:sz w:val="20"/>
                  <w:szCs w:val="20"/>
                  <w:lang w:val="en-US"/>
                </w:rPr>
              </m:ctrlPr>
            </m:fPr>
            <m:num>
              <m:nary>
                <m:naryPr>
                  <m:chr m:val="∑"/>
                  <m:limLoc m:val="undOvr"/>
                  <m:subHide m:val="1"/>
                  <m:supHide m:val="1"/>
                  <m:ctrlPr>
                    <w:rPr>
                      <w:rFonts w:ascii="Cambria Math" w:hAnsi="Cambria Math"/>
                      <w:i/>
                      <w:sz w:val="20"/>
                      <w:szCs w:val="20"/>
                      <w:lang w:val="en-US"/>
                    </w:rPr>
                  </m:ctrlPr>
                </m:naryPr>
                <m:sub/>
                <m:sup/>
                <m:e>
                  <m:r>
                    <w:rPr>
                      <w:rFonts w:ascii="Cambria Math" w:hAnsi="Cambria Math"/>
                      <w:sz w:val="20"/>
                      <w:szCs w:val="20"/>
                      <w:lang w:val="en-US"/>
                    </w:rPr>
                    <m:t>Population aged 0-15 years of selected Health Districts in an Area</m:t>
                  </m:r>
                </m:e>
              </m:nary>
            </m:num>
            <m:den>
              <m:r>
                <m:rPr>
                  <m:nor/>
                </m:rPr>
                <w:rPr>
                  <w:rFonts w:ascii="Cambria Math" w:hAnsi="Cambria Math"/>
                  <w:i/>
                  <w:sz w:val="20"/>
                  <w:szCs w:val="20"/>
                  <w:lang w:val="en-US"/>
                </w:rPr>
                <m:t>Total population aged 0-15 years in an Area</m:t>
              </m:r>
            </m:den>
          </m:f>
        </m:oMath>
      </m:oMathPara>
    </w:p>
    <w:p w14:paraId="510305EB" w14:textId="77777777" w:rsidR="00D25378" w:rsidRDefault="00D25378" w:rsidP="006C0F28">
      <w:pPr>
        <w:spacing w:after="0" w:line="480" w:lineRule="auto"/>
        <w:ind w:left="1440"/>
        <w:contextualSpacing/>
        <w:rPr>
          <w:rFonts w:eastAsiaTheme="minorEastAsia"/>
          <w:lang w:val="en-US"/>
        </w:rPr>
      </w:pPr>
      <w:r>
        <w:rPr>
          <w:rFonts w:eastAsiaTheme="minorEastAsia"/>
          <w:lang w:val="en-US"/>
        </w:rPr>
        <w:t xml:space="preserve">There was only one Health District without any assessments for a targeted age: one of the two </w:t>
      </w:r>
      <w:r>
        <w:rPr>
          <w:rFonts w:ascii="Calibri" w:hAnsi="Calibri" w:cs="Calibri"/>
        </w:rPr>
        <w:t xml:space="preserve">Health Districts </w:t>
      </w:r>
      <w:r>
        <w:rPr>
          <w:rFonts w:eastAsiaTheme="minorEastAsia"/>
          <w:lang w:val="en-US"/>
        </w:rPr>
        <w:t xml:space="preserve">in Regional NSW had no assessments at 6 months of age. The Area SF for the other </w:t>
      </w:r>
      <w:r>
        <w:rPr>
          <w:rFonts w:ascii="Calibri" w:hAnsi="Calibri" w:cs="Calibri"/>
        </w:rPr>
        <w:t xml:space="preserve">Health District </w:t>
      </w:r>
      <w:r>
        <w:rPr>
          <w:rFonts w:eastAsiaTheme="minorEastAsia"/>
          <w:lang w:val="en-US"/>
        </w:rPr>
        <w:t xml:space="preserve">in Regional NSW was therefore adjusted by only including in the numerator the population for the </w:t>
      </w:r>
      <w:r>
        <w:rPr>
          <w:rFonts w:ascii="Calibri" w:hAnsi="Calibri" w:cs="Calibri"/>
        </w:rPr>
        <w:t xml:space="preserve">Health District </w:t>
      </w:r>
      <w:r>
        <w:rPr>
          <w:rFonts w:eastAsiaTheme="minorEastAsia"/>
          <w:lang w:val="en-US"/>
        </w:rPr>
        <w:t>with an eligible record; the denominator was unchanged, as the whole population in the NSW Regional Area.</w:t>
      </w:r>
    </w:p>
    <w:p w14:paraId="7C06EAD3" w14:textId="77777777" w:rsidR="00D25378" w:rsidRDefault="00D25378" w:rsidP="006C0F28">
      <w:pPr>
        <w:spacing w:after="0" w:line="480" w:lineRule="auto"/>
        <w:ind w:left="1440"/>
        <w:contextualSpacing/>
        <w:rPr>
          <w:rFonts w:eastAsiaTheme="minorEastAsia"/>
          <w:lang w:val="en-US"/>
        </w:rPr>
      </w:pPr>
    </w:p>
    <w:p w14:paraId="306B946B" w14:textId="77777777" w:rsidR="00D25378" w:rsidRPr="002C16C4" w:rsidRDefault="00A83829" w:rsidP="006C0F28">
      <w:pPr>
        <w:spacing w:after="0" w:line="480" w:lineRule="auto"/>
        <w:ind w:left="1440"/>
        <w:contextualSpacing/>
        <w:rPr>
          <w:rFonts w:eastAsiaTheme="minorEastAsia"/>
          <w:lang w:val="en-US"/>
        </w:rPr>
      </w:pPr>
      <m:oMathPara>
        <m:oMathParaPr>
          <m:jc m:val="left"/>
        </m:oMathParaPr>
        <m:oMath>
          <m:sSub>
            <m:sSubPr>
              <m:ctrlPr>
                <w:rPr>
                  <w:rFonts w:ascii="Cambria Math" w:hAnsi="Cambria Math"/>
                  <w:i/>
                  <w:lang w:val="en-US"/>
                </w:rPr>
              </m:ctrlPr>
            </m:sSubPr>
            <m:e>
              <m:r>
                <m:rPr>
                  <m:sty m:val="p"/>
                </m:rPr>
                <w:rPr>
                  <w:rFonts w:ascii="Cambria Math" w:hAnsi="Cambria Math" w:cs="Calibri"/>
                </w:rPr>
                <m:t>Health Districts</m:t>
              </m:r>
              <m:r>
                <m:rPr>
                  <m:sty m:val="p"/>
                </m:rPr>
                <w:rPr>
                  <w:rFonts w:ascii="Cambria Math" w:hAnsi="Calibri" w:cs="Calibri"/>
                </w:rPr>
                <m:t xml:space="preserve"> </m:t>
              </m:r>
              <m:r>
                <w:rPr>
                  <w:rFonts w:ascii="Cambria Math" w:hAnsi="Cambria Math"/>
                  <w:lang w:val="en-US"/>
                </w:rPr>
                <m:t>SF</m:t>
              </m:r>
            </m:e>
            <m:sub/>
          </m:sSub>
          <m:r>
            <w:rPr>
              <w:rFonts w:ascii="Cambria Math" w:hAnsi="Cambria Math"/>
              <w:lang w:val="en-US"/>
            </w:rPr>
            <m:t>=</m:t>
          </m:r>
          <m:f>
            <m:fPr>
              <m:ctrlPr>
                <w:rPr>
                  <w:rFonts w:ascii="Cambria Math" w:hAnsi="Cambria Math"/>
                  <w:i/>
                  <w:lang w:val="en-US"/>
                </w:rPr>
              </m:ctrlPr>
            </m:fPr>
            <m:num>
              <m:nary>
                <m:naryPr>
                  <m:chr m:val="∑"/>
                  <m:limLoc m:val="undOvr"/>
                  <m:ctrlPr>
                    <w:rPr>
                      <w:rFonts w:ascii="Cambria Math" w:hAnsi="Cambria Math"/>
                      <w:i/>
                      <w:lang w:val="en-US"/>
                    </w:rPr>
                  </m:ctrlPr>
                </m:naryPr>
                <m:sub/>
                <m:sup/>
                <m:e>
                  <m:r>
                    <w:rPr>
                      <w:rFonts w:ascii="Cambria Math" w:hAnsi="Cambria Math"/>
                      <w:lang w:val="en-US"/>
                    </w:rPr>
                    <m:t>Preventive care sub-surveys in a Health District</m:t>
                  </m:r>
                </m:e>
              </m:nary>
            </m:num>
            <m:den>
              <m:r>
                <w:rPr>
                  <w:rFonts w:ascii="Cambria Math" w:hAnsi="Cambria Math"/>
                  <w:lang w:val="en-US"/>
                </w:rPr>
                <m:t>D</m:t>
              </m:r>
            </m:den>
          </m:f>
        </m:oMath>
      </m:oMathPara>
    </w:p>
    <w:p w14:paraId="2A2998C6" w14:textId="77777777" w:rsidR="00D25378" w:rsidRDefault="00D25378" w:rsidP="006C0F28">
      <w:pPr>
        <w:spacing w:after="0" w:line="480" w:lineRule="auto"/>
        <w:ind w:left="1440"/>
        <w:contextualSpacing/>
      </w:pPr>
      <w:r>
        <w:t>The denominator (D) is the number of children aged 2, 4, 6, 12, 18, 24, or 48 months and expected to attend a G</w:t>
      </w:r>
      <w:r w:rsidRPr="00542084">
        <w:t>P</w:t>
      </w:r>
      <w:r>
        <w:t xml:space="preserve"> in the period 1 January 2012 to 31 December 2013. This number</w:t>
      </w:r>
      <w:r w:rsidRPr="00542084">
        <w:t xml:space="preserve"> was calculated as follows:</w:t>
      </w:r>
    </w:p>
    <w:p w14:paraId="18D6BDD9" w14:textId="77777777" w:rsidR="00D25378" w:rsidRPr="00FC105B" w:rsidRDefault="00D25378" w:rsidP="006C0F28">
      <w:pPr>
        <w:spacing w:after="0" w:line="480" w:lineRule="auto"/>
        <w:ind w:left="720"/>
        <w:contextualSpacing/>
        <w:rPr>
          <w:rFonts w:eastAsiaTheme="minorEastAsia"/>
        </w:rPr>
      </w:pPr>
      <w:r>
        <w:tab/>
      </w:r>
      <m:oMath>
        <m:sSub>
          <m:sSubPr>
            <m:ctrlPr>
              <w:rPr>
                <w:rFonts w:ascii="Cambria Math" w:hAnsi="Cambria Math"/>
                <w:i/>
              </w:rPr>
            </m:ctrlPr>
          </m:sSubPr>
          <m:e>
            <m:r>
              <w:rPr>
                <w:rFonts w:ascii="Cambria Math" w:hAnsi="Cambria Math"/>
              </w:rPr>
              <m:t>D</m:t>
            </m:r>
          </m:e>
          <m:sub/>
        </m:sSub>
        <m:r>
          <w:rPr>
            <w:rFonts w:ascii="Cambria Math" w:hAnsi="Cambria Math"/>
          </w:rPr>
          <m:t>= Population × Proportion attending GP at each targeted age</m:t>
        </m:r>
      </m:oMath>
    </w:p>
    <w:p w14:paraId="013DE01D" w14:textId="77777777" w:rsidR="00D25378" w:rsidRDefault="00D25378" w:rsidP="006C0F28">
      <w:pPr>
        <w:spacing w:after="0" w:line="480" w:lineRule="auto"/>
        <w:ind w:left="720"/>
        <w:contextualSpacing/>
        <w:rPr>
          <w:rFonts w:eastAsiaTheme="minorEastAsia"/>
        </w:rPr>
      </w:pPr>
      <w:r>
        <w:rPr>
          <w:rFonts w:eastAsiaTheme="minorEastAsia"/>
        </w:rPr>
        <w:tab/>
        <w:t>Where:</w:t>
      </w:r>
    </w:p>
    <w:p w14:paraId="3DCB6771" w14:textId="77777777" w:rsidR="00D25378" w:rsidRDefault="00D25378" w:rsidP="006C0F28">
      <w:pPr>
        <w:spacing w:after="0" w:line="480" w:lineRule="auto"/>
        <w:ind w:left="1418" w:hanging="1418"/>
        <w:contextualSpacing/>
        <w:rPr>
          <w:rFonts w:eastAsiaTheme="minorEastAsia"/>
        </w:rPr>
      </w:pPr>
      <w:r>
        <w:rPr>
          <w:rFonts w:eastAsiaTheme="minorEastAsia"/>
        </w:rPr>
        <w:tab/>
      </w:r>
      <w:r>
        <w:rPr>
          <w:rFonts w:eastAsiaTheme="minorEastAsia"/>
        </w:rPr>
        <w:tab/>
      </w:r>
      <w:r w:rsidRPr="00240908">
        <w:rPr>
          <w:rFonts w:eastAsiaTheme="minorEastAsia"/>
          <w:b/>
          <w:i/>
        </w:rPr>
        <w:t>Population</w:t>
      </w:r>
      <w:r>
        <w:rPr>
          <w:rFonts w:eastAsiaTheme="minorEastAsia"/>
        </w:rPr>
        <w:t xml:space="preserve"> is the relevant denominator population in each Health District,</w:t>
      </w:r>
      <w:r w:rsidRPr="00D952D0">
        <w:rPr>
          <w:rFonts w:eastAsiaTheme="minorEastAsia"/>
          <w:noProof/>
          <w:vertAlign w:val="superscript"/>
        </w:rPr>
        <w:t>[7]</w:t>
      </w:r>
      <w:r w:rsidRPr="006752E4">
        <w:rPr>
          <w:rFonts w:eastAsiaTheme="minorEastAsia"/>
        </w:rPr>
        <w:t xml:space="preserve"> </w:t>
      </w:r>
      <w:bookmarkStart w:id="7" w:name="_Hlk489369979"/>
      <w:r>
        <w:rPr>
          <w:rFonts w:eastAsiaTheme="minorEastAsia"/>
        </w:rPr>
        <w:t xml:space="preserve">aged </w:t>
      </w:r>
      <w:r>
        <w:t xml:space="preserve">2, 4, 6, 12, 18, 24, or 48 months </w:t>
      </w:r>
      <w:bookmarkEnd w:id="7"/>
      <w:r>
        <w:rPr>
          <w:rFonts w:eastAsiaTheme="minorEastAsia"/>
        </w:rPr>
        <w:t>at any time during 1 January 2012 to 31 December 2013 – in each case this represents 24 months of births.</w:t>
      </w:r>
    </w:p>
    <w:p w14:paraId="3F4C28A7" w14:textId="77777777" w:rsidR="00D25378" w:rsidRPr="00A95471" w:rsidRDefault="00D25378" w:rsidP="006C0F28">
      <w:pPr>
        <w:spacing w:after="0" w:line="480" w:lineRule="auto"/>
        <w:ind w:left="2836" w:hanging="1418"/>
        <w:contextualSpacing/>
        <w:rPr>
          <w:rFonts w:eastAsiaTheme="minorEastAsia"/>
        </w:rPr>
      </w:pPr>
    </w:p>
    <w:p w14:paraId="67C0625C" w14:textId="77777777" w:rsidR="00D25378" w:rsidRDefault="00D25378" w:rsidP="006C0F28">
      <w:pPr>
        <w:spacing w:after="0" w:line="480" w:lineRule="auto"/>
        <w:ind w:left="1418" w:hanging="1418"/>
        <w:contextualSpacing/>
        <w:rPr>
          <w:rFonts w:eastAsiaTheme="minorEastAsia"/>
        </w:rPr>
      </w:pPr>
      <w:r>
        <w:rPr>
          <w:rFonts w:eastAsiaTheme="minorEastAsia"/>
        </w:rPr>
        <w:tab/>
      </w:r>
      <w:r w:rsidRPr="00240908">
        <w:rPr>
          <w:rFonts w:eastAsiaTheme="minorEastAsia"/>
          <w:b/>
          <w:i/>
        </w:rPr>
        <w:t>Proportion attending GP</w:t>
      </w:r>
      <w:r>
        <w:rPr>
          <w:rFonts w:eastAsiaTheme="minorEastAsia"/>
        </w:rPr>
        <w:t xml:space="preserve"> was estimated from a secondary analysis of the Longitudinal Study of Australian Children, which linked MBS records to estimated probability of GP attendance.</w:t>
      </w:r>
      <w:r w:rsidRPr="00D952D0">
        <w:rPr>
          <w:rFonts w:eastAsiaTheme="minorEastAsia"/>
          <w:noProof/>
          <w:vertAlign w:val="superscript"/>
        </w:rPr>
        <w:t>[8]</w:t>
      </w:r>
      <w:r>
        <w:rPr>
          <w:rFonts w:eastAsiaTheme="minorEastAsia"/>
        </w:rPr>
        <w:t xml:space="preserve"> We estimated, from the published data, that children aged 2-18 months had a 68.3% probability of visiting a GP each year; in the absence of information on the proportion visiting GPs over two years, we assumed </w:t>
      </w:r>
      <w:r>
        <w:rPr>
          <w:rFonts w:eastAsiaTheme="minorEastAsia"/>
        </w:rPr>
        <w:lastRenderedPageBreak/>
        <w:t>independence and estimated a 90.0% probability over two years. At 24-months of age the probability of GP visit in one year was 65.8% (88.3% over two years, assuming independence), and at 48-months of age 70.0% (91.0% over two years).</w:t>
      </w:r>
    </w:p>
    <w:p w14:paraId="5A8A5F80" w14:textId="77777777" w:rsidR="00D25378" w:rsidRDefault="00D25378" w:rsidP="006C0F28">
      <w:pPr>
        <w:spacing w:after="0" w:line="480" w:lineRule="auto"/>
        <w:ind w:left="720"/>
        <w:contextualSpacing/>
        <w:rPr>
          <w:rFonts w:ascii="Calibri" w:hAnsi="Calibri" w:cs="Calibri"/>
          <w:color w:val="FF0000"/>
        </w:rPr>
      </w:pPr>
      <w:r>
        <w:rPr>
          <w:rFonts w:eastAsiaTheme="minorEastAsia"/>
        </w:rPr>
        <w:t xml:space="preserve">The Sampling Weight was calculated as the inverse of the </w:t>
      </w:r>
      <w:r w:rsidRPr="00083185">
        <w:rPr>
          <w:rFonts w:eastAsiaTheme="minorEastAsia"/>
        </w:rPr>
        <w:t>Sampling Fraction</w:t>
      </w:r>
      <w:r>
        <w:rPr>
          <w:rFonts w:eastAsiaTheme="minorEastAsia"/>
        </w:rPr>
        <w:t xml:space="preserve">. Multiplying sampling weights by the number of records assessed for preventive care at each age point gives the total number of children of that age expected to visit a GP in 2012 and 2013 in that Health District (or in the case of Regional NSW, that Area). In calculating the overall estimate of appropriateness, these weights therefore compensate for the differential sampling windows, and the fact that the underlying (17 condition) CTK sample has a different age-structure to that of all children visiting GPs who were eligible for the preventive care indicators assessed in this study. </w:t>
      </w:r>
    </w:p>
    <w:bookmarkEnd w:id="6"/>
    <w:p w14:paraId="097EA9EA" w14:textId="0AE5CD7A" w:rsidR="00D25378" w:rsidRPr="008B13DD" w:rsidRDefault="00D25378" w:rsidP="006C0F28">
      <w:pPr>
        <w:pStyle w:val="Heading2"/>
        <w:spacing w:before="0" w:line="480" w:lineRule="auto"/>
        <w:contextualSpacing/>
      </w:pPr>
      <w:r>
        <w:t>1.</w:t>
      </w:r>
      <w:r w:rsidR="006B3461">
        <w:t>5</w:t>
      </w:r>
      <w:r>
        <w:tab/>
      </w:r>
      <w:r w:rsidRPr="008B13DD">
        <w:t xml:space="preserve">Analysis </w:t>
      </w:r>
    </w:p>
    <w:p w14:paraId="5B492583" w14:textId="0432D720" w:rsidR="008D078F" w:rsidRDefault="00D25378" w:rsidP="006C0F28">
      <w:pPr>
        <w:spacing w:after="0" w:line="480" w:lineRule="auto"/>
        <w:contextualSpacing/>
      </w:pPr>
      <w:r w:rsidRPr="008B13DD">
        <w:rPr>
          <w:rFonts w:ascii="Calibri" w:hAnsi="Calibri" w:cs="Calibri"/>
        </w:rPr>
        <w:t>State</w:t>
      </w:r>
      <w:r>
        <w:rPr>
          <w:rFonts w:ascii="Calibri" w:hAnsi="Calibri" w:cs="Calibri"/>
        </w:rPr>
        <w:t>s</w:t>
      </w:r>
      <w:r w:rsidRPr="008B13DD">
        <w:rPr>
          <w:rFonts w:ascii="Calibri" w:hAnsi="Calibri" w:cs="Calibri"/>
        </w:rPr>
        <w:t xml:space="preserve"> </w:t>
      </w:r>
      <w:r>
        <w:rPr>
          <w:rFonts w:ascii="Calibri" w:hAnsi="Calibri" w:cs="Calibri"/>
        </w:rPr>
        <w:t>was</w:t>
      </w:r>
      <w:r w:rsidRPr="008B13DD">
        <w:rPr>
          <w:rFonts w:ascii="Calibri" w:hAnsi="Calibri" w:cs="Calibri"/>
        </w:rPr>
        <w:t xml:space="preserve"> specified as strata, and</w:t>
      </w:r>
      <w:r>
        <w:rPr>
          <w:rFonts w:ascii="Calibri" w:hAnsi="Calibri" w:cs="Calibri"/>
        </w:rPr>
        <w:t xml:space="preserve"> t</w:t>
      </w:r>
      <w:r w:rsidRPr="008B13DD">
        <w:rPr>
          <w:rFonts w:ascii="Calibri" w:hAnsi="Calibri" w:cs="Calibri"/>
        </w:rPr>
        <w:t>he primary sampling unit (</w:t>
      </w:r>
      <w:r>
        <w:rPr>
          <w:rFonts w:ascii="Calibri" w:hAnsi="Calibri" w:cs="Calibri"/>
        </w:rPr>
        <w:t>Health District</w:t>
      </w:r>
      <w:r w:rsidRPr="008B13DD">
        <w:rPr>
          <w:rFonts w:ascii="Calibri" w:hAnsi="Calibri" w:cs="Calibri"/>
        </w:rPr>
        <w:t>) was specified as the clustering unit.</w:t>
      </w:r>
      <w:r w:rsidRPr="008150B2">
        <w:t xml:space="preserve"> </w:t>
      </w:r>
      <w:r w:rsidR="008D078F">
        <w:t xml:space="preserve">Clustering by practice (in addition to clustering by GPs within a practice, and by clustering within a patient) </w:t>
      </w:r>
      <w:r w:rsidR="008D078F" w:rsidRPr="008D078F">
        <w:t>occurs at a level below clustering by health district and is controlled for in the statistical analysis by adjusting for clustering at the primary sampling unit (i.e. the first level of clustering sampled, the health district).</w:t>
      </w:r>
      <w:r w:rsidR="008D078F">
        <w:t xml:space="preserve"> Adjusting for clustering is necessary to ensure that confidence intervals are not narrower than they should be. This approach is built into SAS and is referred to as the ‘ultimate cluster assumption’, providing an approximation to adjusting for clustering at multiple levels</w:t>
      </w:r>
      <w:r w:rsidR="00301834">
        <w:t>.</w:t>
      </w:r>
      <w:r w:rsidR="00301834">
        <w:rPr>
          <w:vertAlign w:val="superscript"/>
        </w:rPr>
        <w:t>[9]</w:t>
      </w:r>
      <w:r w:rsidR="008D078F">
        <w:t xml:space="preserve"> Therefore, all sources of variability from subsequent stages of sampling are captured in the composite variance estimate under this assumption</w:t>
      </w:r>
      <w:r w:rsidR="00301834">
        <w:t>.</w:t>
      </w:r>
      <w:r w:rsidR="00301834">
        <w:rPr>
          <w:vertAlign w:val="superscript"/>
        </w:rPr>
        <w:t>[10]</w:t>
      </w:r>
      <w:r w:rsidR="008D078F">
        <w:t xml:space="preserve"> </w:t>
      </w:r>
    </w:p>
    <w:p w14:paraId="2030F293" w14:textId="36CE1175" w:rsidR="00D25378" w:rsidRDefault="00D25378" w:rsidP="006C0F28">
      <w:pPr>
        <w:spacing w:after="0" w:line="480" w:lineRule="auto"/>
        <w:contextualSpacing/>
        <w:rPr>
          <w:rFonts w:ascii="Calibri" w:hAnsi="Calibri" w:cs="Calibri"/>
        </w:rPr>
      </w:pPr>
      <w:r w:rsidRPr="008150B2">
        <w:rPr>
          <w:rFonts w:ascii="Calibri" w:hAnsi="Calibri" w:cs="Calibri"/>
        </w:rPr>
        <w:t xml:space="preserve">Domain analysis was used for analysing both indicators and </w:t>
      </w:r>
      <w:r>
        <w:rPr>
          <w:rFonts w:ascii="Calibri" w:hAnsi="Calibri" w:cs="Calibri"/>
        </w:rPr>
        <w:t>both types of bundles</w:t>
      </w:r>
      <w:proofErr w:type="gramStart"/>
      <w:r w:rsidRPr="008150B2">
        <w:rPr>
          <w:rFonts w:ascii="Calibri" w:hAnsi="Calibri" w:cs="Calibri"/>
        </w:rPr>
        <w:t>.</w:t>
      </w:r>
      <w:r w:rsidRPr="00D952D0">
        <w:rPr>
          <w:rFonts w:ascii="Calibri" w:hAnsi="Calibri" w:cs="Calibri"/>
          <w:noProof/>
          <w:vertAlign w:val="superscript"/>
        </w:rPr>
        <w:t>[</w:t>
      </w:r>
      <w:proofErr w:type="gramEnd"/>
      <w:r w:rsidRPr="00D952D0">
        <w:rPr>
          <w:rFonts w:ascii="Calibri" w:hAnsi="Calibri" w:cs="Calibri"/>
          <w:noProof/>
          <w:vertAlign w:val="superscript"/>
        </w:rPr>
        <w:t>10</w:t>
      </w:r>
      <w:r w:rsidR="00301834">
        <w:rPr>
          <w:rFonts w:ascii="Calibri" w:hAnsi="Calibri" w:cs="Calibri"/>
          <w:noProof/>
          <w:vertAlign w:val="superscript"/>
        </w:rPr>
        <w:t>, 11</w:t>
      </w:r>
      <w:r w:rsidRPr="00D952D0">
        <w:rPr>
          <w:rFonts w:ascii="Calibri" w:hAnsi="Calibri" w:cs="Calibri"/>
          <w:noProof/>
          <w:vertAlign w:val="superscript"/>
        </w:rPr>
        <w:t>]</w:t>
      </w:r>
      <w:r w:rsidRPr="00D952D0">
        <w:rPr>
          <w:rFonts w:ascii="Calibri" w:hAnsi="Calibri" w:cs="Calibri"/>
          <w:vertAlign w:val="superscript"/>
        </w:rPr>
        <w:t xml:space="preserve"> </w:t>
      </w:r>
      <w:r>
        <w:rPr>
          <w:rFonts w:ascii="Calibri" w:hAnsi="Calibri" w:cs="Calibri"/>
        </w:rPr>
        <w:t>The overall estimate of appropriateness for preventive care was the weighted average of the indicator assessments.</w:t>
      </w:r>
      <w:r w:rsidR="00541BD6">
        <w:rPr>
          <w:rFonts w:ascii="Calibri" w:hAnsi="Calibri" w:cs="Calibri"/>
        </w:rPr>
        <w:t xml:space="preserve"> </w:t>
      </w:r>
    </w:p>
    <w:p w14:paraId="10D6BF08" w14:textId="2D086836" w:rsidR="00D25378" w:rsidRPr="008B13DD" w:rsidRDefault="00D25378" w:rsidP="00425996">
      <w:pPr>
        <w:pStyle w:val="Heading2"/>
        <w:spacing w:before="0" w:line="480" w:lineRule="auto"/>
        <w:contextualSpacing/>
      </w:pPr>
      <w:r>
        <w:lastRenderedPageBreak/>
        <w:t>1.</w:t>
      </w:r>
      <w:r w:rsidR="006B3461">
        <w:t>6</w:t>
      </w:r>
      <w:r>
        <w:tab/>
        <w:t>Results</w:t>
      </w:r>
      <w:r w:rsidRPr="008B13DD">
        <w:t xml:space="preserve"> </w:t>
      </w:r>
    </w:p>
    <w:p w14:paraId="196B5047" w14:textId="77777777" w:rsidR="00D25378" w:rsidRDefault="00D25378" w:rsidP="00425996">
      <w:pPr>
        <w:spacing w:after="0" w:line="480" w:lineRule="auto"/>
        <w:contextualSpacing/>
        <w:rPr>
          <w:rFonts w:ascii="Calibri" w:hAnsi="Calibri" w:cs="Calibri"/>
        </w:rPr>
      </w:pPr>
      <w:r>
        <w:rPr>
          <w:rFonts w:ascii="Calibri" w:hAnsi="Calibri" w:cs="Calibri"/>
        </w:rPr>
        <w:t>The table below summarises the sample sizes for each indicator question. This information is included in Table 2 of the manuscript, but is presented here in a summarised format focusing on the sample sizes by age of target assessment/intervention.</w:t>
      </w:r>
    </w:p>
    <w:p w14:paraId="44F37A60" w14:textId="77777777" w:rsidR="00D25378" w:rsidRDefault="00D25378">
      <w:pPr>
        <w:rPr>
          <w:rFonts w:ascii="Calibri" w:hAnsi="Calibri" w:cs="Calibri"/>
        </w:rPr>
      </w:pPr>
      <w:r>
        <w:rPr>
          <w:rFonts w:ascii="Calibri" w:hAnsi="Calibri" w:cs="Calibri"/>
        </w:rPr>
        <w:br w:type="page"/>
      </w:r>
    </w:p>
    <w:p w14:paraId="4BAA92C2" w14:textId="77777777" w:rsidR="00D25378" w:rsidRPr="001D0F67" w:rsidRDefault="00D25378" w:rsidP="00231D73">
      <w:pPr>
        <w:rPr>
          <w:rFonts w:ascii="Calibri" w:hAnsi="Calibri" w:cs="Calibri"/>
          <w:b/>
        </w:rPr>
      </w:pPr>
      <w:proofErr w:type="spellStart"/>
      <w:r>
        <w:rPr>
          <w:rFonts w:ascii="Calibri" w:hAnsi="Calibri" w:cs="Calibri"/>
          <w:b/>
        </w:rPr>
        <w:lastRenderedPageBreak/>
        <w:t>e</w:t>
      </w:r>
      <w:r w:rsidRPr="001D0F67">
        <w:rPr>
          <w:rFonts w:ascii="Calibri" w:hAnsi="Calibri" w:cs="Calibri"/>
          <w:b/>
        </w:rPr>
        <w:t>Table</w:t>
      </w:r>
      <w:proofErr w:type="spellEnd"/>
      <w:r w:rsidRPr="001D0F67">
        <w:rPr>
          <w:rFonts w:ascii="Calibri" w:hAnsi="Calibri" w:cs="Calibri"/>
          <w:b/>
        </w:rPr>
        <w:t xml:space="preserve"> </w:t>
      </w:r>
      <w:r>
        <w:rPr>
          <w:rFonts w:ascii="Calibri" w:hAnsi="Calibri" w:cs="Calibri"/>
          <w:b/>
        </w:rPr>
        <w:t>1.</w:t>
      </w:r>
      <w:r w:rsidRPr="001D0F67">
        <w:rPr>
          <w:rFonts w:ascii="Calibri" w:hAnsi="Calibri" w:cs="Calibri"/>
          <w:b/>
        </w:rPr>
        <w:t xml:space="preserve">2: </w:t>
      </w:r>
      <w:bookmarkStart w:id="8" w:name="_Hlk22215655"/>
      <w:r w:rsidRPr="0087489B">
        <w:rPr>
          <w:rFonts w:ascii="Calibri" w:hAnsi="Calibri" w:cs="Calibri"/>
          <w:b/>
        </w:rPr>
        <w:t>Sample</w:t>
      </w:r>
      <w:r>
        <w:rPr>
          <w:rFonts w:ascii="Calibri" w:hAnsi="Calibri" w:cs="Calibri"/>
          <w:b/>
        </w:rPr>
        <w:t xml:space="preserve"> size for each indicator by target age for assessment/intervention.</w:t>
      </w:r>
      <w:bookmarkEnd w:id="8"/>
    </w:p>
    <w:tbl>
      <w:tblPr>
        <w:tblStyle w:val="TableGrid"/>
        <w:tblW w:w="0" w:type="auto"/>
        <w:jc w:val="center"/>
        <w:tblLook w:val="04A0" w:firstRow="1" w:lastRow="0" w:firstColumn="1" w:lastColumn="0" w:noHBand="0" w:noVBand="1"/>
      </w:tblPr>
      <w:tblGrid>
        <w:gridCol w:w="1127"/>
        <w:gridCol w:w="1127"/>
        <w:gridCol w:w="1127"/>
        <w:gridCol w:w="1127"/>
        <w:gridCol w:w="1127"/>
        <w:gridCol w:w="1127"/>
        <w:gridCol w:w="1127"/>
        <w:gridCol w:w="1127"/>
      </w:tblGrid>
      <w:tr w:rsidR="00D25378" w14:paraId="76EEE81F" w14:textId="77777777" w:rsidTr="00C80F3E">
        <w:trPr>
          <w:jc w:val="center"/>
        </w:trPr>
        <w:tc>
          <w:tcPr>
            <w:tcW w:w="1127" w:type="dxa"/>
            <w:vMerge w:val="restart"/>
            <w:shd w:val="clear" w:color="auto" w:fill="BDD6EE" w:themeFill="accent5" w:themeFillTint="66"/>
          </w:tcPr>
          <w:p w14:paraId="69CD0D2B" w14:textId="77777777" w:rsidR="00D25378" w:rsidRDefault="00D25378" w:rsidP="00A47BA4">
            <w:pPr>
              <w:jc w:val="center"/>
            </w:pPr>
            <w:r>
              <w:t>Indicator Number</w:t>
            </w:r>
          </w:p>
        </w:tc>
        <w:tc>
          <w:tcPr>
            <w:tcW w:w="7889" w:type="dxa"/>
            <w:gridSpan w:val="7"/>
            <w:shd w:val="clear" w:color="auto" w:fill="BDD6EE" w:themeFill="accent5" w:themeFillTint="66"/>
          </w:tcPr>
          <w:p w14:paraId="7A7F0BA6" w14:textId="77777777" w:rsidR="00D25378" w:rsidRDefault="00D25378" w:rsidP="00A47BA4">
            <w:pPr>
              <w:jc w:val="center"/>
            </w:pPr>
            <w:r>
              <w:t>Age at which the assessment/intervention was targeted (months)</w:t>
            </w:r>
          </w:p>
        </w:tc>
      </w:tr>
      <w:tr w:rsidR="00D25378" w14:paraId="61B6B195" w14:textId="77777777" w:rsidTr="00C80F3E">
        <w:trPr>
          <w:jc w:val="center"/>
        </w:trPr>
        <w:tc>
          <w:tcPr>
            <w:tcW w:w="1127" w:type="dxa"/>
            <w:vMerge/>
            <w:shd w:val="clear" w:color="auto" w:fill="BDD6EE" w:themeFill="accent5" w:themeFillTint="66"/>
          </w:tcPr>
          <w:p w14:paraId="464BE12D" w14:textId="77777777" w:rsidR="00D25378" w:rsidRDefault="00D25378" w:rsidP="009C4C70">
            <w:pPr>
              <w:jc w:val="center"/>
            </w:pPr>
          </w:p>
        </w:tc>
        <w:tc>
          <w:tcPr>
            <w:tcW w:w="1127" w:type="dxa"/>
            <w:shd w:val="clear" w:color="auto" w:fill="BDD6EE" w:themeFill="accent5" w:themeFillTint="66"/>
          </w:tcPr>
          <w:p w14:paraId="680A552F" w14:textId="77777777" w:rsidR="00D25378" w:rsidRDefault="00D25378" w:rsidP="00A47BA4">
            <w:pPr>
              <w:jc w:val="center"/>
            </w:pPr>
            <w:r>
              <w:t>2</w:t>
            </w:r>
          </w:p>
        </w:tc>
        <w:tc>
          <w:tcPr>
            <w:tcW w:w="1127" w:type="dxa"/>
            <w:shd w:val="clear" w:color="auto" w:fill="BDD6EE" w:themeFill="accent5" w:themeFillTint="66"/>
          </w:tcPr>
          <w:p w14:paraId="6F72E41B" w14:textId="77777777" w:rsidR="00D25378" w:rsidRDefault="00D25378" w:rsidP="00A47BA4">
            <w:pPr>
              <w:jc w:val="center"/>
            </w:pPr>
            <w:r>
              <w:t>4</w:t>
            </w:r>
          </w:p>
        </w:tc>
        <w:tc>
          <w:tcPr>
            <w:tcW w:w="1127" w:type="dxa"/>
            <w:shd w:val="clear" w:color="auto" w:fill="BDD6EE" w:themeFill="accent5" w:themeFillTint="66"/>
          </w:tcPr>
          <w:p w14:paraId="25A5DF90" w14:textId="77777777" w:rsidR="00D25378" w:rsidRDefault="00D25378" w:rsidP="00A47BA4">
            <w:pPr>
              <w:jc w:val="center"/>
            </w:pPr>
            <w:r>
              <w:t>6</w:t>
            </w:r>
          </w:p>
        </w:tc>
        <w:tc>
          <w:tcPr>
            <w:tcW w:w="1127" w:type="dxa"/>
            <w:shd w:val="clear" w:color="auto" w:fill="BDD6EE" w:themeFill="accent5" w:themeFillTint="66"/>
          </w:tcPr>
          <w:p w14:paraId="677E659C" w14:textId="77777777" w:rsidR="00D25378" w:rsidRDefault="00D25378" w:rsidP="00A47BA4">
            <w:pPr>
              <w:jc w:val="center"/>
            </w:pPr>
            <w:r>
              <w:t>12</w:t>
            </w:r>
          </w:p>
        </w:tc>
        <w:tc>
          <w:tcPr>
            <w:tcW w:w="1127" w:type="dxa"/>
            <w:shd w:val="clear" w:color="auto" w:fill="BDD6EE" w:themeFill="accent5" w:themeFillTint="66"/>
          </w:tcPr>
          <w:p w14:paraId="770D0AC1" w14:textId="77777777" w:rsidR="00D25378" w:rsidRDefault="00D25378" w:rsidP="00A47BA4">
            <w:pPr>
              <w:jc w:val="center"/>
            </w:pPr>
            <w:r>
              <w:t>18</w:t>
            </w:r>
          </w:p>
        </w:tc>
        <w:tc>
          <w:tcPr>
            <w:tcW w:w="1127" w:type="dxa"/>
            <w:shd w:val="clear" w:color="auto" w:fill="BDD6EE" w:themeFill="accent5" w:themeFillTint="66"/>
          </w:tcPr>
          <w:p w14:paraId="4A627C55" w14:textId="77777777" w:rsidR="00D25378" w:rsidRDefault="00D25378" w:rsidP="00A47BA4">
            <w:pPr>
              <w:jc w:val="center"/>
            </w:pPr>
            <w:r>
              <w:t>24</w:t>
            </w:r>
          </w:p>
        </w:tc>
        <w:tc>
          <w:tcPr>
            <w:tcW w:w="1127" w:type="dxa"/>
            <w:shd w:val="clear" w:color="auto" w:fill="BDD6EE" w:themeFill="accent5" w:themeFillTint="66"/>
          </w:tcPr>
          <w:p w14:paraId="3F48AA36" w14:textId="77777777" w:rsidR="00D25378" w:rsidRDefault="00D25378" w:rsidP="00A47BA4">
            <w:pPr>
              <w:jc w:val="center"/>
            </w:pPr>
            <w:r>
              <w:t>48</w:t>
            </w:r>
          </w:p>
        </w:tc>
      </w:tr>
      <w:tr w:rsidR="00D25378" w14:paraId="393174EC" w14:textId="77777777" w:rsidTr="00A47BA4">
        <w:trPr>
          <w:jc w:val="center"/>
        </w:trPr>
        <w:tc>
          <w:tcPr>
            <w:tcW w:w="1127" w:type="dxa"/>
          </w:tcPr>
          <w:p w14:paraId="38C78469" w14:textId="77777777" w:rsidR="00D25378" w:rsidRDefault="00D25378" w:rsidP="00A47BA4">
            <w:pPr>
              <w:jc w:val="center"/>
            </w:pPr>
            <w:r>
              <w:t>1</w:t>
            </w:r>
          </w:p>
        </w:tc>
        <w:tc>
          <w:tcPr>
            <w:tcW w:w="1127" w:type="dxa"/>
          </w:tcPr>
          <w:p w14:paraId="592F7D78" w14:textId="77777777" w:rsidR="00D25378" w:rsidRDefault="00D25378" w:rsidP="00EB5815">
            <w:pPr>
              <w:jc w:val="center"/>
            </w:pPr>
            <w:r>
              <w:t>98</w:t>
            </w:r>
          </w:p>
        </w:tc>
        <w:tc>
          <w:tcPr>
            <w:tcW w:w="1127" w:type="dxa"/>
          </w:tcPr>
          <w:p w14:paraId="0DED4FD2" w14:textId="77777777" w:rsidR="00D25378" w:rsidRDefault="00D25378"/>
        </w:tc>
        <w:tc>
          <w:tcPr>
            <w:tcW w:w="1127" w:type="dxa"/>
          </w:tcPr>
          <w:p w14:paraId="641BDBFE" w14:textId="77777777" w:rsidR="00D25378" w:rsidRDefault="00D25378"/>
        </w:tc>
        <w:tc>
          <w:tcPr>
            <w:tcW w:w="1127" w:type="dxa"/>
          </w:tcPr>
          <w:p w14:paraId="1BD37BAA" w14:textId="77777777" w:rsidR="00D25378" w:rsidRDefault="00D25378"/>
        </w:tc>
        <w:tc>
          <w:tcPr>
            <w:tcW w:w="1127" w:type="dxa"/>
          </w:tcPr>
          <w:p w14:paraId="1B3BDAD0" w14:textId="77777777" w:rsidR="00D25378" w:rsidRDefault="00D25378"/>
        </w:tc>
        <w:tc>
          <w:tcPr>
            <w:tcW w:w="1127" w:type="dxa"/>
          </w:tcPr>
          <w:p w14:paraId="62461DED" w14:textId="77777777" w:rsidR="00D25378" w:rsidRDefault="00D25378"/>
        </w:tc>
        <w:tc>
          <w:tcPr>
            <w:tcW w:w="1127" w:type="dxa"/>
          </w:tcPr>
          <w:p w14:paraId="36F6E810" w14:textId="77777777" w:rsidR="00D25378" w:rsidRDefault="00D25378"/>
        </w:tc>
      </w:tr>
      <w:tr w:rsidR="00D25378" w14:paraId="3FA00A5E" w14:textId="77777777" w:rsidTr="00C80F3E">
        <w:trPr>
          <w:jc w:val="center"/>
        </w:trPr>
        <w:tc>
          <w:tcPr>
            <w:tcW w:w="1127" w:type="dxa"/>
            <w:shd w:val="clear" w:color="auto" w:fill="F2F2F2" w:themeFill="background1" w:themeFillShade="F2"/>
          </w:tcPr>
          <w:p w14:paraId="395F43AC" w14:textId="77777777" w:rsidR="00D25378" w:rsidRDefault="00D25378" w:rsidP="00A47BA4">
            <w:pPr>
              <w:jc w:val="center"/>
            </w:pPr>
            <w:r>
              <w:t>2</w:t>
            </w:r>
          </w:p>
        </w:tc>
        <w:tc>
          <w:tcPr>
            <w:tcW w:w="1127" w:type="dxa"/>
            <w:shd w:val="clear" w:color="auto" w:fill="F2F2F2" w:themeFill="background1" w:themeFillShade="F2"/>
          </w:tcPr>
          <w:p w14:paraId="16B3F155" w14:textId="77777777" w:rsidR="00D25378" w:rsidRDefault="00D25378"/>
        </w:tc>
        <w:tc>
          <w:tcPr>
            <w:tcW w:w="1127" w:type="dxa"/>
            <w:shd w:val="clear" w:color="auto" w:fill="F2F2F2" w:themeFill="background1" w:themeFillShade="F2"/>
          </w:tcPr>
          <w:p w14:paraId="103E072C" w14:textId="77777777" w:rsidR="00D25378" w:rsidRDefault="00D25378" w:rsidP="00EB5815">
            <w:pPr>
              <w:jc w:val="center"/>
            </w:pPr>
            <w:r>
              <w:t>91</w:t>
            </w:r>
          </w:p>
        </w:tc>
        <w:tc>
          <w:tcPr>
            <w:tcW w:w="1127" w:type="dxa"/>
            <w:shd w:val="clear" w:color="auto" w:fill="F2F2F2" w:themeFill="background1" w:themeFillShade="F2"/>
          </w:tcPr>
          <w:p w14:paraId="36A5ECCA" w14:textId="77777777" w:rsidR="00D25378" w:rsidRDefault="00D25378"/>
        </w:tc>
        <w:tc>
          <w:tcPr>
            <w:tcW w:w="1127" w:type="dxa"/>
            <w:shd w:val="clear" w:color="auto" w:fill="F2F2F2" w:themeFill="background1" w:themeFillShade="F2"/>
          </w:tcPr>
          <w:p w14:paraId="1679D801" w14:textId="77777777" w:rsidR="00D25378" w:rsidRDefault="00D25378"/>
        </w:tc>
        <w:tc>
          <w:tcPr>
            <w:tcW w:w="1127" w:type="dxa"/>
            <w:shd w:val="clear" w:color="auto" w:fill="F2F2F2" w:themeFill="background1" w:themeFillShade="F2"/>
          </w:tcPr>
          <w:p w14:paraId="5B6050F0" w14:textId="77777777" w:rsidR="00D25378" w:rsidRDefault="00D25378"/>
        </w:tc>
        <w:tc>
          <w:tcPr>
            <w:tcW w:w="1127" w:type="dxa"/>
            <w:shd w:val="clear" w:color="auto" w:fill="F2F2F2" w:themeFill="background1" w:themeFillShade="F2"/>
          </w:tcPr>
          <w:p w14:paraId="190DF855" w14:textId="77777777" w:rsidR="00D25378" w:rsidRDefault="00D25378"/>
        </w:tc>
        <w:tc>
          <w:tcPr>
            <w:tcW w:w="1127" w:type="dxa"/>
            <w:shd w:val="clear" w:color="auto" w:fill="F2F2F2" w:themeFill="background1" w:themeFillShade="F2"/>
          </w:tcPr>
          <w:p w14:paraId="47FC92FF" w14:textId="77777777" w:rsidR="00D25378" w:rsidRDefault="00D25378"/>
        </w:tc>
      </w:tr>
      <w:tr w:rsidR="00D25378" w14:paraId="5D942714" w14:textId="77777777" w:rsidTr="00A47BA4">
        <w:trPr>
          <w:jc w:val="center"/>
        </w:trPr>
        <w:tc>
          <w:tcPr>
            <w:tcW w:w="1127" w:type="dxa"/>
          </w:tcPr>
          <w:p w14:paraId="79BA87CB" w14:textId="77777777" w:rsidR="00D25378" w:rsidRDefault="00D25378" w:rsidP="00A47BA4">
            <w:pPr>
              <w:jc w:val="center"/>
            </w:pPr>
            <w:r>
              <w:t>3</w:t>
            </w:r>
          </w:p>
        </w:tc>
        <w:tc>
          <w:tcPr>
            <w:tcW w:w="1127" w:type="dxa"/>
          </w:tcPr>
          <w:p w14:paraId="03F87A2D" w14:textId="77777777" w:rsidR="00D25378" w:rsidRDefault="00D25378"/>
        </w:tc>
        <w:tc>
          <w:tcPr>
            <w:tcW w:w="1127" w:type="dxa"/>
          </w:tcPr>
          <w:p w14:paraId="6E73B489" w14:textId="77777777" w:rsidR="00D25378" w:rsidRDefault="00D25378"/>
        </w:tc>
        <w:tc>
          <w:tcPr>
            <w:tcW w:w="1127" w:type="dxa"/>
          </w:tcPr>
          <w:p w14:paraId="67E1E1B4" w14:textId="77777777" w:rsidR="00D25378" w:rsidRDefault="00D25378" w:rsidP="00EB5815">
            <w:pPr>
              <w:jc w:val="center"/>
            </w:pPr>
            <w:r>
              <w:t>80</w:t>
            </w:r>
          </w:p>
        </w:tc>
        <w:tc>
          <w:tcPr>
            <w:tcW w:w="1127" w:type="dxa"/>
          </w:tcPr>
          <w:p w14:paraId="5F9CB2FF" w14:textId="77777777" w:rsidR="00D25378" w:rsidRDefault="00D25378"/>
        </w:tc>
        <w:tc>
          <w:tcPr>
            <w:tcW w:w="1127" w:type="dxa"/>
          </w:tcPr>
          <w:p w14:paraId="198BBD1A" w14:textId="77777777" w:rsidR="00D25378" w:rsidRDefault="00D25378"/>
        </w:tc>
        <w:tc>
          <w:tcPr>
            <w:tcW w:w="1127" w:type="dxa"/>
          </w:tcPr>
          <w:p w14:paraId="20E24778" w14:textId="77777777" w:rsidR="00D25378" w:rsidRDefault="00D25378"/>
        </w:tc>
        <w:tc>
          <w:tcPr>
            <w:tcW w:w="1127" w:type="dxa"/>
          </w:tcPr>
          <w:p w14:paraId="23DC82D7" w14:textId="77777777" w:rsidR="00D25378" w:rsidRDefault="00D25378"/>
        </w:tc>
      </w:tr>
      <w:tr w:rsidR="00D25378" w14:paraId="1D181FF1" w14:textId="77777777" w:rsidTr="00C80F3E">
        <w:trPr>
          <w:jc w:val="center"/>
        </w:trPr>
        <w:tc>
          <w:tcPr>
            <w:tcW w:w="1127" w:type="dxa"/>
            <w:shd w:val="clear" w:color="auto" w:fill="F2F2F2" w:themeFill="background1" w:themeFillShade="F2"/>
          </w:tcPr>
          <w:p w14:paraId="17AC1438" w14:textId="77777777" w:rsidR="00D25378" w:rsidRDefault="00D25378" w:rsidP="00A47BA4">
            <w:pPr>
              <w:jc w:val="center"/>
            </w:pPr>
            <w:r>
              <w:t>4</w:t>
            </w:r>
          </w:p>
        </w:tc>
        <w:tc>
          <w:tcPr>
            <w:tcW w:w="1127" w:type="dxa"/>
            <w:shd w:val="clear" w:color="auto" w:fill="F2F2F2" w:themeFill="background1" w:themeFillShade="F2"/>
          </w:tcPr>
          <w:p w14:paraId="3F9055AD" w14:textId="77777777" w:rsidR="00D25378" w:rsidRDefault="00D25378" w:rsidP="00EB5815">
            <w:pPr>
              <w:jc w:val="center"/>
            </w:pPr>
            <w:r>
              <w:t>99</w:t>
            </w:r>
          </w:p>
        </w:tc>
        <w:tc>
          <w:tcPr>
            <w:tcW w:w="1127" w:type="dxa"/>
            <w:shd w:val="clear" w:color="auto" w:fill="F2F2F2" w:themeFill="background1" w:themeFillShade="F2"/>
          </w:tcPr>
          <w:p w14:paraId="1F33A391" w14:textId="77777777" w:rsidR="00D25378" w:rsidRDefault="00D25378"/>
        </w:tc>
        <w:tc>
          <w:tcPr>
            <w:tcW w:w="1127" w:type="dxa"/>
            <w:shd w:val="clear" w:color="auto" w:fill="F2F2F2" w:themeFill="background1" w:themeFillShade="F2"/>
          </w:tcPr>
          <w:p w14:paraId="1B16C3BA" w14:textId="77777777" w:rsidR="00D25378" w:rsidRDefault="00D25378"/>
        </w:tc>
        <w:tc>
          <w:tcPr>
            <w:tcW w:w="1127" w:type="dxa"/>
            <w:shd w:val="clear" w:color="auto" w:fill="F2F2F2" w:themeFill="background1" w:themeFillShade="F2"/>
          </w:tcPr>
          <w:p w14:paraId="535F6613" w14:textId="77777777" w:rsidR="00D25378" w:rsidRDefault="00D25378"/>
        </w:tc>
        <w:tc>
          <w:tcPr>
            <w:tcW w:w="1127" w:type="dxa"/>
            <w:shd w:val="clear" w:color="auto" w:fill="F2F2F2" w:themeFill="background1" w:themeFillShade="F2"/>
          </w:tcPr>
          <w:p w14:paraId="0DDBC6E4" w14:textId="77777777" w:rsidR="00D25378" w:rsidRDefault="00D25378"/>
        </w:tc>
        <w:tc>
          <w:tcPr>
            <w:tcW w:w="1127" w:type="dxa"/>
            <w:shd w:val="clear" w:color="auto" w:fill="F2F2F2" w:themeFill="background1" w:themeFillShade="F2"/>
          </w:tcPr>
          <w:p w14:paraId="4369C017" w14:textId="77777777" w:rsidR="00D25378" w:rsidRDefault="00D25378"/>
        </w:tc>
        <w:tc>
          <w:tcPr>
            <w:tcW w:w="1127" w:type="dxa"/>
            <w:shd w:val="clear" w:color="auto" w:fill="F2F2F2" w:themeFill="background1" w:themeFillShade="F2"/>
          </w:tcPr>
          <w:p w14:paraId="4AFB1316" w14:textId="77777777" w:rsidR="00D25378" w:rsidRDefault="00D25378"/>
        </w:tc>
      </w:tr>
      <w:tr w:rsidR="00D25378" w14:paraId="27A73E5A" w14:textId="77777777" w:rsidTr="00A47BA4">
        <w:trPr>
          <w:jc w:val="center"/>
        </w:trPr>
        <w:tc>
          <w:tcPr>
            <w:tcW w:w="1127" w:type="dxa"/>
          </w:tcPr>
          <w:p w14:paraId="418E1813" w14:textId="77777777" w:rsidR="00D25378" w:rsidRDefault="00D25378" w:rsidP="00A47BA4">
            <w:pPr>
              <w:jc w:val="center"/>
            </w:pPr>
            <w:r>
              <w:t>5</w:t>
            </w:r>
          </w:p>
        </w:tc>
        <w:tc>
          <w:tcPr>
            <w:tcW w:w="1127" w:type="dxa"/>
          </w:tcPr>
          <w:p w14:paraId="033E5B3C" w14:textId="77777777" w:rsidR="00D25378" w:rsidRDefault="00D25378"/>
        </w:tc>
        <w:tc>
          <w:tcPr>
            <w:tcW w:w="1127" w:type="dxa"/>
          </w:tcPr>
          <w:p w14:paraId="0A3EC778" w14:textId="77777777" w:rsidR="00D25378" w:rsidRDefault="00D25378" w:rsidP="00EB5815">
            <w:pPr>
              <w:jc w:val="center"/>
            </w:pPr>
            <w:r>
              <w:t>91</w:t>
            </w:r>
          </w:p>
        </w:tc>
        <w:tc>
          <w:tcPr>
            <w:tcW w:w="1127" w:type="dxa"/>
          </w:tcPr>
          <w:p w14:paraId="257702B1" w14:textId="77777777" w:rsidR="00D25378" w:rsidRDefault="00D25378"/>
        </w:tc>
        <w:tc>
          <w:tcPr>
            <w:tcW w:w="1127" w:type="dxa"/>
          </w:tcPr>
          <w:p w14:paraId="61AEFE55" w14:textId="77777777" w:rsidR="00D25378" w:rsidRDefault="00D25378"/>
        </w:tc>
        <w:tc>
          <w:tcPr>
            <w:tcW w:w="1127" w:type="dxa"/>
          </w:tcPr>
          <w:p w14:paraId="115FDCC2" w14:textId="77777777" w:rsidR="00D25378" w:rsidRDefault="00D25378"/>
        </w:tc>
        <w:tc>
          <w:tcPr>
            <w:tcW w:w="1127" w:type="dxa"/>
          </w:tcPr>
          <w:p w14:paraId="25A4C06A" w14:textId="77777777" w:rsidR="00D25378" w:rsidRDefault="00D25378"/>
        </w:tc>
        <w:tc>
          <w:tcPr>
            <w:tcW w:w="1127" w:type="dxa"/>
          </w:tcPr>
          <w:p w14:paraId="3C76765A" w14:textId="77777777" w:rsidR="00D25378" w:rsidRDefault="00D25378"/>
        </w:tc>
      </w:tr>
      <w:tr w:rsidR="00D25378" w14:paraId="5510F5D9" w14:textId="77777777" w:rsidTr="00C80F3E">
        <w:trPr>
          <w:jc w:val="center"/>
        </w:trPr>
        <w:tc>
          <w:tcPr>
            <w:tcW w:w="1127" w:type="dxa"/>
            <w:shd w:val="clear" w:color="auto" w:fill="F2F2F2" w:themeFill="background1" w:themeFillShade="F2"/>
          </w:tcPr>
          <w:p w14:paraId="560FCC80" w14:textId="77777777" w:rsidR="00D25378" w:rsidRDefault="00D25378" w:rsidP="00A47BA4">
            <w:pPr>
              <w:jc w:val="center"/>
            </w:pPr>
            <w:r>
              <w:t>6</w:t>
            </w:r>
          </w:p>
        </w:tc>
        <w:tc>
          <w:tcPr>
            <w:tcW w:w="1127" w:type="dxa"/>
            <w:shd w:val="clear" w:color="auto" w:fill="F2F2F2" w:themeFill="background1" w:themeFillShade="F2"/>
          </w:tcPr>
          <w:p w14:paraId="3725211E" w14:textId="77777777" w:rsidR="00D25378" w:rsidRDefault="00D25378"/>
        </w:tc>
        <w:tc>
          <w:tcPr>
            <w:tcW w:w="1127" w:type="dxa"/>
            <w:shd w:val="clear" w:color="auto" w:fill="F2F2F2" w:themeFill="background1" w:themeFillShade="F2"/>
          </w:tcPr>
          <w:p w14:paraId="267454D7" w14:textId="77777777" w:rsidR="00D25378" w:rsidRDefault="00D25378"/>
        </w:tc>
        <w:tc>
          <w:tcPr>
            <w:tcW w:w="1127" w:type="dxa"/>
            <w:shd w:val="clear" w:color="auto" w:fill="F2F2F2" w:themeFill="background1" w:themeFillShade="F2"/>
          </w:tcPr>
          <w:p w14:paraId="57E786E2" w14:textId="77777777" w:rsidR="00D25378" w:rsidRDefault="00D25378" w:rsidP="00EB5815">
            <w:pPr>
              <w:jc w:val="center"/>
            </w:pPr>
            <w:r>
              <w:t>80</w:t>
            </w:r>
          </w:p>
        </w:tc>
        <w:tc>
          <w:tcPr>
            <w:tcW w:w="1127" w:type="dxa"/>
            <w:shd w:val="clear" w:color="auto" w:fill="F2F2F2" w:themeFill="background1" w:themeFillShade="F2"/>
          </w:tcPr>
          <w:p w14:paraId="682E7094" w14:textId="77777777" w:rsidR="00D25378" w:rsidRDefault="00D25378"/>
        </w:tc>
        <w:tc>
          <w:tcPr>
            <w:tcW w:w="1127" w:type="dxa"/>
            <w:shd w:val="clear" w:color="auto" w:fill="F2F2F2" w:themeFill="background1" w:themeFillShade="F2"/>
          </w:tcPr>
          <w:p w14:paraId="58A1CDDB" w14:textId="77777777" w:rsidR="00D25378" w:rsidRDefault="00D25378"/>
        </w:tc>
        <w:tc>
          <w:tcPr>
            <w:tcW w:w="1127" w:type="dxa"/>
            <w:shd w:val="clear" w:color="auto" w:fill="F2F2F2" w:themeFill="background1" w:themeFillShade="F2"/>
          </w:tcPr>
          <w:p w14:paraId="52634092" w14:textId="77777777" w:rsidR="00D25378" w:rsidRDefault="00D25378"/>
        </w:tc>
        <w:tc>
          <w:tcPr>
            <w:tcW w:w="1127" w:type="dxa"/>
            <w:shd w:val="clear" w:color="auto" w:fill="F2F2F2" w:themeFill="background1" w:themeFillShade="F2"/>
          </w:tcPr>
          <w:p w14:paraId="44B0FE1A" w14:textId="77777777" w:rsidR="00D25378" w:rsidRDefault="00D25378"/>
        </w:tc>
      </w:tr>
      <w:tr w:rsidR="00D25378" w14:paraId="70368EE7" w14:textId="77777777" w:rsidTr="00A47BA4">
        <w:trPr>
          <w:jc w:val="center"/>
        </w:trPr>
        <w:tc>
          <w:tcPr>
            <w:tcW w:w="1127" w:type="dxa"/>
          </w:tcPr>
          <w:p w14:paraId="06B46DD6" w14:textId="77777777" w:rsidR="00D25378" w:rsidRDefault="00D25378" w:rsidP="00A47BA4">
            <w:pPr>
              <w:jc w:val="center"/>
            </w:pPr>
            <w:r>
              <w:t>7</w:t>
            </w:r>
          </w:p>
        </w:tc>
        <w:tc>
          <w:tcPr>
            <w:tcW w:w="1127" w:type="dxa"/>
          </w:tcPr>
          <w:p w14:paraId="52E662B6" w14:textId="77777777" w:rsidR="00D25378" w:rsidRDefault="00D25378" w:rsidP="00EB5815">
            <w:pPr>
              <w:jc w:val="center"/>
            </w:pPr>
            <w:r>
              <w:t>99</w:t>
            </w:r>
          </w:p>
        </w:tc>
        <w:tc>
          <w:tcPr>
            <w:tcW w:w="1127" w:type="dxa"/>
          </w:tcPr>
          <w:p w14:paraId="6B65D441" w14:textId="77777777" w:rsidR="00D25378" w:rsidRDefault="00D25378"/>
        </w:tc>
        <w:tc>
          <w:tcPr>
            <w:tcW w:w="1127" w:type="dxa"/>
          </w:tcPr>
          <w:p w14:paraId="3C8CB048" w14:textId="77777777" w:rsidR="00D25378" w:rsidRDefault="00D25378"/>
        </w:tc>
        <w:tc>
          <w:tcPr>
            <w:tcW w:w="1127" w:type="dxa"/>
          </w:tcPr>
          <w:p w14:paraId="7C539EEE" w14:textId="77777777" w:rsidR="00D25378" w:rsidRDefault="00D25378"/>
        </w:tc>
        <w:tc>
          <w:tcPr>
            <w:tcW w:w="1127" w:type="dxa"/>
          </w:tcPr>
          <w:p w14:paraId="2F051C6E" w14:textId="77777777" w:rsidR="00D25378" w:rsidRDefault="00D25378"/>
        </w:tc>
        <w:tc>
          <w:tcPr>
            <w:tcW w:w="1127" w:type="dxa"/>
          </w:tcPr>
          <w:p w14:paraId="7220671F" w14:textId="77777777" w:rsidR="00D25378" w:rsidRDefault="00D25378"/>
        </w:tc>
        <w:tc>
          <w:tcPr>
            <w:tcW w:w="1127" w:type="dxa"/>
          </w:tcPr>
          <w:p w14:paraId="6021152F" w14:textId="77777777" w:rsidR="00D25378" w:rsidRDefault="00D25378"/>
        </w:tc>
      </w:tr>
      <w:tr w:rsidR="00D25378" w14:paraId="030A9AFD" w14:textId="77777777" w:rsidTr="00C80F3E">
        <w:trPr>
          <w:jc w:val="center"/>
        </w:trPr>
        <w:tc>
          <w:tcPr>
            <w:tcW w:w="1127" w:type="dxa"/>
            <w:shd w:val="clear" w:color="auto" w:fill="F2F2F2" w:themeFill="background1" w:themeFillShade="F2"/>
          </w:tcPr>
          <w:p w14:paraId="78152428" w14:textId="77777777" w:rsidR="00D25378" w:rsidRDefault="00D25378" w:rsidP="00A47BA4">
            <w:pPr>
              <w:jc w:val="center"/>
            </w:pPr>
            <w:r>
              <w:t>8</w:t>
            </w:r>
          </w:p>
        </w:tc>
        <w:tc>
          <w:tcPr>
            <w:tcW w:w="1127" w:type="dxa"/>
            <w:shd w:val="clear" w:color="auto" w:fill="F2F2F2" w:themeFill="background1" w:themeFillShade="F2"/>
          </w:tcPr>
          <w:p w14:paraId="5E1916A1" w14:textId="77777777" w:rsidR="00D25378" w:rsidRDefault="00D25378"/>
        </w:tc>
        <w:tc>
          <w:tcPr>
            <w:tcW w:w="1127" w:type="dxa"/>
            <w:shd w:val="clear" w:color="auto" w:fill="F2F2F2" w:themeFill="background1" w:themeFillShade="F2"/>
          </w:tcPr>
          <w:p w14:paraId="03860153" w14:textId="77777777" w:rsidR="00D25378" w:rsidRDefault="00D25378" w:rsidP="00EB5815">
            <w:pPr>
              <w:jc w:val="center"/>
            </w:pPr>
            <w:r>
              <w:t>91</w:t>
            </w:r>
          </w:p>
        </w:tc>
        <w:tc>
          <w:tcPr>
            <w:tcW w:w="1127" w:type="dxa"/>
            <w:shd w:val="clear" w:color="auto" w:fill="F2F2F2" w:themeFill="background1" w:themeFillShade="F2"/>
          </w:tcPr>
          <w:p w14:paraId="46ED70AB" w14:textId="77777777" w:rsidR="00D25378" w:rsidRDefault="00D25378"/>
        </w:tc>
        <w:tc>
          <w:tcPr>
            <w:tcW w:w="1127" w:type="dxa"/>
            <w:shd w:val="clear" w:color="auto" w:fill="F2F2F2" w:themeFill="background1" w:themeFillShade="F2"/>
          </w:tcPr>
          <w:p w14:paraId="1E082DB5" w14:textId="77777777" w:rsidR="00D25378" w:rsidRDefault="00D25378"/>
        </w:tc>
        <w:tc>
          <w:tcPr>
            <w:tcW w:w="1127" w:type="dxa"/>
            <w:shd w:val="clear" w:color="auto" w:fill="F2F2F2" w:themeFill="background1" w:themeFillShade="F2"/>
          </w:tcPr>
          <w:p w14:paraId="3ACE4D93" w14:textId="77777777" w:rsidR="00D25378" w:rsidRDefault="00D25378"/>
        </w:tc>
        <w:tc>
          <w:tcPr>
            <w:tcW w:w="1127" w:type="dxa"/>
            <w:shd w:val="clear" w:color="auto" w:fill="F2F2F2" w:themeFill="background1" w:themeFillShade="F2"/>
          </w:tcPr>
          <w:p w14:paraId="1782CB8F" w14:textId="77777777" w:rsidR="00D25378" w:rsidRDefault="00D25378"/>
        </w:tc>
        <w:tc>
          <w:tcPr>
            <w:tcW w:w="1127" w:type="dxa"/>
            <w:shd w:val="clear" w:color="auto" w:fill="F2F2F2" w:themeFill="background1" w:themeFillShade="F2"/>
          </w:tcPr>
          <w:p w14:paraId="0FC7E78C" w14:textId="77777777" w:rsidR="00D25378" w:rsidRDefault="00D25378"/>
        </w:tc>
      </w:tr>
      <w:tr w:rsidR="00D25378" w14:paraId="3DDB1954" w14:textId="77777777" w:rsidTr="00A47BA4">
        <w:trPr>
          <w:jc w:val="center"/>
        </w:trPr>
        <w:tc>
          <w:tcPr>
            <w:tcW w:w="1127" w:type="dxa"/>
          </w:tcPr>
          <w:p w14:paraId="48E88712" w14:textId="77777777" w:rsidR="00D25378" w:rsidRDefault="00D25378" w:rsidP="00A47BA4">
            <w:pPr>
              <w:jc w:val="center"/>
            </w:pPr>
            <w:r>
              <w:t>9</w:t>
            </w:r>
          </w:p>
        </w:tc>
        <w:tc>
          <w:tcPr>
            <w:tcW w:w="1127" w:type="dxa"/>
          </w:tcPr>
          <w:p w14:paraId="1B9288FF" w14:textId="77777777" w:rsidR="00D25378" w:rsidRDefault="00D25378"/>
        </w:tc>
        <w:tc>
          <w:tcPr>
            <w:tcW w:w="1127" w:type="dxa"/>
          </w:tcPr>
          <w:p w14:paraId="5F9E65BE" w14:textId="77777777" w:rsidR="00D25378" w:rsidRDefault="00D25378"/>
        </w:tc>
        <w:tc>
          <w:tcPr>
            <w:tcW w:w="1127" w:type="dxa"/>
          </w:tcPr>
          <w:p w14:paraId="5AB21253" w14:textId="77777777" w:rsidR="00D25378" w:rsidRDefault="00D25378" w:rsidP="00EB5815">
            <w:pPr>
              <w:jc w:val="center"/>
            </w:pPr>
            <w:r>
              <w:t>79</w:t>
            </w:r>
          </w:p>
        </w:tc>
        <w:tc>
          <w:tcPr>
            <w:tcW w:w="1127" w:type="dxa"/>
          </w:tcPr>
          <w:p w14:paraId="7C75CDFE" w14:textId="77777777" w:rsidR="00D25378" w:rsidRDefault="00D25378"/>
        </w:tc>
        <w:tc>
          <w:tcPr>
            <w:tcW w:w="1127" w:type="dxa"/>
          </w:tcPr>
          <w:p w14:paraId="4E6C934A" w14:textId="77777777" w:rsidR="00D25378" w:rsidRDefault="00D25378"/>
        </w:tc>
        <w:tc>
          <w:tcPr>
            <w:tcW w:w="1127" w:type="dxa"/>
          </w:tcPr>
          <w:p w14:paraId="365B6E34" w14:textId="77777777" w:rsidR="00D25378" w:rsidRDefault="00D25378"/>
        </w:tc>
        <w:tc>
          <w:tcPr>
            <w:tcW w:w="1127" w:type="dxa"/>
          </w:tcPr>
          <w:p w14:paraId="6C9F7F14" w14:textId="77777777" w:rsidR="00D25378" w:rsidRDefault="00D25378"/>
        </w:tc>
      </w:tr>
      <w:tr w:rsidR="00D25378" w14:paraId="7EF07707" w14:textId="77777777" w:rsidTr="00C80F3E">
        <w:trPr>
          <w:jc w:val="center"/>
        </w:trPr>
        <w:tc>
          <w:tcPr>
            <w:tcW w:w="1127" w:type="dxa"/>
            <w:shd w:val="clear" w:color="auto" w:fill="F2F2F2" w:themeFill="background1" w:themeFillShade="F2"/>
          </w:tcPr>
          <w:p w14:paraId="1967771F" w14:textId="77777777" w:rsidR="00D25378" w:rsidRDefault="00D25378" w:rsidP="00A47BA4">
            <w:pPr>
              <w:jc w:val="center"/>
            </w:pPr>
            <w:r>
              <w:t>10</w:t>
            </w:r>
          </w:p>
        </w:tc>
        <w:tc>
          <w:tcPr>
            <w:tcW w:w="1127" w:type="dxa"/>
            <w:shd w:val="clear" w:color="auto" w:fill="F2F2F2" w:themeFill="background1" w:themeFillShade="F2"/>
          </w:tcPr>
          <w:p w14:paraId="31519E4E" w14:textId="77777777" w:rsidR="00D25378" w:rsidRDefault="00D25378" w:rsidP="00EB5815">
            <w:pPr>
              <w:jc w:val="center"/>
            </w:pPr>
            <w:r>
              <w:t>99</w:t>
            </w:r>
          </w:p>
        </w:tc>
        <w:tc>
          <w:tcPr>
            <w:tcW w:w="1127" w:type="dxa"/>
            <w:shd w:val="clear" w:color="auto" w:fill="F2F2F2" w:themeFill="background1" w:themeFillShade="F2"/>
          </w:tcPr>
          <w:p w14:paraId="2332D919" w14:textId="77777777" w:rsidR="00D25378" w:rsidRDefault="00D25378"/>
        </w:tc>
        <w:tc>
          <w:tcPr>
            <w:tcW w:w="1127" w:type="dxa"/>
            <w:shd w:val="clear" w:color="auto" w:fill="F2F2F2" w:themeFill="background1" w:themeFillShade="F2"/>
          </w:tcPr>
          <w:p w14:paraId="70BF67D9" w14:textId="77777777" w:rsidR="00D25378" w:rsidRDefault="00D25378"/>
        </w:tc>
        <w:tc>
          <w:tcPr>
            <w:tcW w:w="1127" w:type="dxa"/>
            <w:shd w:val="clear" w:color="auto" w:fill="F2F2F2" w:themeFill="background1" w:themeFillShade="F2"/>
          </w:tcPr>
          <w:p w14:paraId="79FFF2E1" w14:textId="77777777" w:rsidR="00D25378" w:rsidRDefault="00D25378"/>
        </w:tc>
        <w:tc>
          <w:tcPr>
            <w:tcW w:w="1127" w:type="dxa"/>
            <w:shd w:val="clear" w:color="auto" w:fill="F2F2F2" w:themeFill="background1" w:themeFillShade="F2"/>
          </w:tcPr>
          <w:p w14:paraId="6B15961A" w14:textId="77777777" w:rsidR="00D25378" w:rsidRDefault="00D25378"/>
        </w:tc>
        <w:tc>
          <w:tcPr>
            <w:tcW w:w="1127" w:type="dxa"/>
            <w:shd w:val="clear" w:color="auto" w:fill="F2F2F2" w:themeFill="background1" w:themeFillShade="F2"/>
          </w:tcPr>
          <w:p w14:paraId="362C40BB" w14:textId="77777777" w:rsidR="00D25378" w:rsidRDefault="00D25378"/>
        </w:tc>
        <w:tc>
          <w:tcPr>
            <w:tcW w:w="1127" w:type="dxa"/>
            <w:shd w:val="clear" w:color="auto" w:fill="F2F2F2" w:themeFill="background1" w:themeFillShade="F2"/>
          </w:tcPr>
          <w:p w14:paraId="5ABC2551" w14:textId="77777777" w:rsidR="00D25378" w:rsidRDefault="00D25378"/>
        </w:tc>
      </w:tr>
      <w:tr w:rsidR="00D25378" w14:paraId="238D6409" w14:textId="77777777" w:rsidTr="00A47BA4">
        <w:trPr>
          <w:jc w:val="center"/>
        </w:trPr>
        <w:tc>
          <w:tcPr>
            <w:tcW w:w="1127" w:type="dxa"/>
          </w:tcPr>
          <w:p w14:paraId="6A13493E" w14:textId="77777777" w:rsidR="00D25378" w:rsidRDefault="00D25378" w:rsidP="00A47BA4">
            <w:pPr>
              <w:jc w:val="center"/>
            </w:pPr>
            <w:r>
              <w:t>11</w:t>
            </w:r>
          </w:p>
        </w:tc>
        <w:tc>
          <w:tcPr>
            <w:tcW w:w="1127" w:type="dxa"/>
          </w:tcPr>
          <w:p w14:paraId="00EDB98D" w14:textId="77777777" w:rsidR="00D25378" w:rsidRDefault="00D25378"/>
        </w:tc>
        <w:tc>
          <w:tcPr>
            <w:tcW w:w="1127" w:type="dxa"/>
          </w:tcPr>
          <w:p w14:paraId="3AF40A86" w14:textId="77777777" w:rsidR="00D25378" w:rsidRDefault="00D25378" w:rsidP="00EB5815">
            <w:pPr>
              <w:jc w:val="center"/>
            </w:pPr>
            <w:r>
              <w:t>91</w:t>
            </w:r>
          </w:p>
        </w:tc>
        <w:tc>
          <w:tcPr>
            <w:tcW w:w="1127" w:type="dxa"/>
          </w:tcPr>
          <w:p w14:paraId="3F448847" w14:textId="77777777" w:rsidR="00D25378" w:rsidRDefault="00D25378"/>
        </w:tc>
        <w:tc>
          <w:tcPr>
            <w:tcW w:w="1127" w:type="dxa"/>
          </w:tcPr>
          <w:p w14:paraId="432CE9AE" w14:textId="77777777" w:rsidR="00D25378" w:rsidRDefault="00D25378"/>
        </w:tc>
        <w:tc>
          <w:tcPr>
            <w:tcW w:w="1127" w:type="dxa"/>
          </w:tcPr>
          <w:p w14:paraId="2D0D828B" w14:textId="77777777" w:rsidR="00D25378" w:rsidRDefault="00D25378"/>
        </w:tc>
        <w:tc>
          <w:tcPr>
            <w:tcW w:w="1127" w:type="dxa"/>
          </w:tcPr>
          <w:p w14:paraId="7A55C929" w14:textId="77777777" w:rsidR="00D25378" w:rsidRDefault="00D25378"/>
        </w:tc>
        <w:tc>
          <w:tcPr>
            <w:tcW w:w="1127" w:type="dxa"/>
          </w:tcPr>
          <w:p w14:paraId="481332B7" w14:textId="77777777" w:rsidR="00D25378" w:rsidRDefault="00D25378"/>
        </w:tc>
      </w:tr>
      <w:tr w:rsidR="00D25378" w14:paraId="6864C7D2" w14:textId="77777777" w:rsidTr="00C80F3E">
        <w:trPr>
          <w:jc w:val="center"/>
        </w:trPr>
        <w:tc>
          <w:tcPr>
            <w:tcW w:w="1127" w:type="dxa"/>
            <w:shd w:val="clear" w:color="auto" w:fill="F2F2F2" w:themeFill="background1" w:themeFillShade="F2"/>
          </w:tcPr>
          <w:p w14:paraId="024360AD" w14:textId="77777777" w:rsidR="00D25378" w:rsidRDefault="00D25378" w:rsidP="00A47BA4">
            <w:pPr>
              <w:jc w:val="center"/>
            </w:pPr>
            <w:r>
              <w:t>12</w:t>
            </w:r>
          </w:p>
        </w:tc>
        <w:tc>
          <w:tcPr>
            <w:tcW w:w="1127" w:type="dxa"/>
            <w:shd w:val="clear" w:color="auto" w:fill="F2F2F2" w:themeFill="background1" w:themeFillShade="F2"/>
          </w:tcPr>
          <w:p w14:paraId="6DE0712F" w14:textId="77777777" w:rsidR="00D25378" w:rsidRDefault="00D25378"/>
        </w:tc>
        <w:tc>
          <w:tcPr>
            <w:tcW w:w="1127" w:type="dxa"/>
            <w:shd w:val="clear" w:color="auto" w:fill="F2F2F2" w:themeFill="background1" w:themeFillShade="F2"/>
          </w:tcPr>
          <w:p w14:paraId="56631BF3" w14:textId="77777777" w:rsidR="00D25378" w:rsidRDefault="00D25378"/>
        </w:tc>
        <w:tc>
          <w:tcPr>
            <w:tcW w:w="1127" w:type="dxa"/>
            <w:shd w:val="clear" w:color="auto" w:fill="F2F2F2" w:themeFill="background1" w:themeFillShade="F2"/>
          </w:tcPr>
          <w:p w14:paraId="33341E35" w14:textId="77777777" w:rsidR="00D25378" w:rsidRDefault="00D25378" w:rsidP="00EB5815">
            <w:pPr>
              <w:jc w:val="center"/>
            </w:pPr>
            <w:r>
              <w:t>80</w:t>
            </w:r>
          </w:p>
        </w:tc>
        <w:tc>
          <w:tcPr>
            <w:tcW w:w="1127" w:type="dxa"/>
            <w:shd w:val="clear" w:color="auto" w:fill="F2F2F2" w:themeFill="background1" w:themeFillShade="F2"/>
          </w:tcPr>
          <w:p w14:paraId="7177A46D" w14:textId="77777777" w:rsidR="00D25378" w:rsidRDefault="00D25378"/>
        </w:tc>
        <w:tc>
          <w:tcPr>
            <w:tcW w:w="1127" w:type="dxa"/>
            <w:shd w:val="clear" w:color="auto" w:fill="F2F2F2" w:themeFill="background1" w:themeFillShade="F2"/>
          </w:tcPr>
          <w:p w14:paraId="15EBED40" w14:textId="77777777" w:rsidR="00D25378" w:rsidRDefault="00D25378"/>
        </w:tc>
        <w:tc>
          <w:tcPr>
            <w:tcW w:w="1127" w:type="dxa"/>
            <w:shd w:val="clear" w:color="auto" w:fill="F2F2F2" w:themeFill="background1" w:themeFillShade="F2"/>
          </w:tcPr>
          <w:p w14:paraId="16F96946" w14:textId="77777777" w:rsidR="00D25378" w:rsidRDefault="00D25378"/>
        </w:tc>
        <w:tc>
          <w:tcPr>
            <w:tcW w:w="1127" w:type="dxa"/>
            <w:shd w:val="clear" w:color="auto" w:fill="F2F2F2" w:themeFill="background1" w:themeFillShade="F2"/>
          </w:tcPr>
          <w:p w14:paraId="79485EAB" w14:textId="77777777" w:rsidR="00D25378" w:rsidRDefault="00D25378"/>
        </w:tc>
      </w:tr>
      <w:tr w:rsidR="00D25378" w14:paraId="1797D2D2" w14:textId="77777777" w:rsidTr="00A47BA4">
        <w:trPr>
          <w:jc w:val="center"/>
        </w:trPr>
        <w:tc>
          <w:tcPr>
            <w:tcW w:w="1127" w:type="dxa"/>
          </w:tcPr>
          <w:p w14:paraId="7D52AD4F" w14:textId="77777777" w:rsidR="00D25378" w:rsidRDefault="00D25378" w:rsidP="00A47BA4">
            <w:pPr>
              <w:jc w:val="center"/>
            </w:pPr>
            <w:r>
              <w:t>13</w:t>
            </w:r>
          </w:p>
        </w:tc>
        <w:tc>
          <w:tcPr>
            <w:tcW w:w="1127" w:type="dxa"/>
          </w:tcPr>
          <w:p w14:paraId="67CFB0B9" w14:textId="77777777" w:rsidR="00D25378" w:rsidRDefault="00D25378" w:rsidP="00EB5815">
            <w:pPr>
              <w:jc w:val="center"/>
            </w:pPr>
            <w:r>
              <w:t>99</w:t>
            </w:r>
          </w:p>
        </w:tc>
        <w:tc>
          <w:tcPr>
            <w:tcW w:w="1127" w:type="dxa"/>
          </w:tcPr>
          <w:p w14:paraId="25BBA152" w14:textId="77777777" w:rsidR="00D25378" w:rsidRDefault="00D25378"/>
        </w:tc>
        <w:tc>
          <w:tcPr>
            <w:tcW w:w="1127" w:type="dxa"/>
          </w:tcPr>
          <w:p w14:paraId="2A2880C9" w14:textId="77777777" w:rsidR="00D25378" w:rsidRDefault="00D25378"/>
        </w:tc>
        <w:tc>
          <w:tcPr>
            <w:tcW w:w="1127" w:type="dxa"/>
          </w:tcPr>
          <w:p w14:paraId="6EE1691F" w14:textId="77777777" w:rsidR="00D25378" w:rsidRDefault="00D25378"/>
        </w:tc>
        <w:tc>
          <w:tcPr>
            <w:tcW w:w="1127" w:type="dxa"/>
          </w:tcPr>
          <w:p w14:paraId="588ABCC0" w14:textId="77777777" w:rsidR="00D25378" w:rsidRDefault="00D25378"/>
        </w:tc>
        <w:tc>
          <w:tcPr>
            <w:tcW w:w="1127" w:type="dxa"/>
          </w:tcPr>
          <w:p w14:paraId="5D780091" w14:textId="77777777" w:rsidR="00D25378" w:rsidRDefault="00D25378"/>
        </w:tc>
        <w:tc>
          <w:tcPr>
            <w:tcW w:w="1127" w:type="dxa"/>
          </w:tcPr>
          <w:p w14:paraId="5FBAAD51" w14:textId="77777777" w:rsidR="00D25378" w:rsidRDefault="00D25378"/>
        </w:tc>
      </w:tr>
      <w:tr w:rsidR="00D25378" w14:paraId="74E79602" w14:textId="77777777" w:rsidTr="00C80F3E">
        <w:trPr>
          <w:jc w:val="center"/>
        </w:trPr>
        <w:tc>
          <w:tcPr>
            <w:tcW w:w="1127" w:type="dxa"/>
            <w:shd w:val="clear" w:color="auto" w:fill="F2F2F2" w:themeFill="background1" w:themeFillShade="F2"/>
          </w:tcPr>
          <w:p w14:paraId="367F8653" w14:textId="77777777" w:rsidR="00D25378" w:rsidRDefault="00D25378" w:rsidP="00A47BA4">
            <w:pPr>
              <w:jc w:val="center"/>
            </w:pPr>
            <w:r>
              <w:t>14</w:t>
            </w:r>
          </w:p>
        </w:tc>
        <w:tc>
          <w:tcPr>
            <w:tcW w:w="1127" w:type="dxa"/>
            <w:shd w:val="clear" w:color="auto" w:fill="F2F2F2" w:themeFill="background1" w:themeFillShade="F2"/>
          </w:tcPr>
          <w:p w14:paraId="5550F54B" w14:textId="77777777" w:rsidR="00D25378" w:rsidRDefault="00D25378"/>
        </w:tc>
        <w:tc>
          <w:tcPr>
            <w:tcW w:w="1127" w:type="dxa"/>
            <w:shd w:val="clear" w:color="auto" w:fill="F2F2F2" w:themeFill="background1" w:themeFillShade="F2"/>
          </w:tcPr>
          <w:p w14:paraId="1DDF219A" w14:textId="77777777" w:rsidR="00D25378" w:rsidRDefault="00D25378" w:rsidP="00EB5815">
            <w:pPr>
              <w:jc w:val="center"/>
            </w:pPr>
            <w:r>
              <w:t>91</w:t>
            </w:r>
          </w:p>
        </w:tc>
        <w:tc>
          <w:tcPr>
            <w:tcW w:w="1127" w:type="dxa"/>
            <w:shd w:val="clear" w:color="auto" w:fill="F2F2F2" w:themeFill="background1" w:themeFillShade="F2"/>
          </w:tcPr>
          <w:p w14:paraId="1418E53E" w14:textId="77777777" w:rsidR="00D25378" w:rsidRDefault="00D25378"/>
        </w:tc>
        <w:tc>
          <w:tcPr>
            <w:tcW w:w="1127" w:type="dxa"/>
            <w:shd w:val="clear" w:color="auto" w:fill="F2F2F2" w:themeFill="background1" w:themeFillShade="F2"/>
          </w:tcPr>
          <w:p w14:paraId="1A1F3C44" w14:textId="77777777" w:rsidR="00D25378" w:rsidRDefault="00D25378"/>
        </w:tc>
        <w:tc>
          <w:tcPr>
            <w:tcW w:w="1127" w:type="dxa"/>
            <w:shd w:val="clear" w:color="auto" w:fill="F2F2F2" w:themeFill="background1" w:themeFillShade="F2"/>
          </w:tcPr>
          <w:p w14:paraId="3B57ADC8" w14:textId="77777777" w:rsidR="00D25378" w:rsidRDefault="00D25378"/>
        </w:tc>
        <w:tc>
          <w:tcPr>
            <w:tcW w:w="1127" w:type="dxa"/>
            <w:shd w:val="clear" w:color="auto" w:fill="F2F2F2" w:themeFill="background1" w:themeFillShade="F2"/>
          </w:tcPr>
          <w:p w14:paraId="2DB2AA86" w14:textId="77777777" w:rsidR="00D25378" w:rsidRDefault="00D25378"/>
        </w:tc>
        <w:tc>
          <w:tcPr>
            <w:tcW w:w="1127" w:type="dxa"/>
            <w:shd w:val="clear" w:color="auto" w:fill="F2F2F2" w:themeFill="background1" w:themeFillShade="F2"/>
          </w:tcPr>
          <w:p w14:paraId="3A449A7E" w14:textId="77777777" w:rsidR="00D25378" w:rsidRDefault="00D25378"/>
        </w:tc>
      </w:tr>
      <w:tr w:rsidR="00D25378" w14:paraId="198225A9" w14:textId="77777777" w:rsidTr="00A47BA4">
        <w:trPr>
          <w:jc w:val="center"/>
        </w:trPr>
        <w:tc>
          <w:tcPr>
            <w:tcW w:w="1127" w:type="dxa"/>
          </w:tcPr>
          <w:p w14:paraId="7372BA71" w14:textId="77777777" w:rsidR="00D25378" w:rsidRDefault="00D25378" w:rsidP="00A47BA4">
            <w:pPr>
              <w:jc w:val="center"/>
            </w:pPr>
            <w:r>
              <w:t>15</w:t>
            </w:r>
          </w:p>
        </w:tc>
        <w:tc>
          <w:tcPr>
            <w:tcW w:w="1127" w:type="dxa"/>
          </w:tcPr>
          <w:p w14:paraId="13677AAA" w14:textId="77777777" w:rsidR="00D25378" w:rsidRDefault="00D25378"/>
        </w:tc>
        <w:tc>
          <w:tcPr>
            <w:tcW w:w="1127" w:type="dxa"/>
          </w:tcPr>
          <w:p w14:paraId="03D977BF" w14:textId="77777777" w:rsidR="00D25378" w:rsidRDefault="00D25378"/>
        </w:tc>
        <w:tc>
          <w:tcPr>
            <w:tcW w:w="1127" w:type="dxa"/>
          </w:tcPr>
          <w:p w14:paraId="48D37F67" w14:textId="77777777" w:rsidR="00D25378" w:rsidRDefault="00D25378" w:rsidP="00EB5815">
            <w:pPr>
              <w:jc w:val="center"/>
            </w:pPr>
            <w:r>
              <w:t>80</w:t>
            </w:r>
          </w:p>
        </w:tc>
        <w:tc>
          <w:tcPr>
            <w:tcW w:w="1127" w:type="dxa"/>
          </w:tcPr>
          <w:p w14:paraId="74CB61EA" w14:textId="77777777" w:rsidR="00D25378" w:rsidRDefault="00D25378"/>
        </w:tc>
        <w:tc>
          <w:tcPr>
            <w:tcW w:w="1127" w:type="dxa"/>
          </w:tcPr>
          <w:p w14:paraId="3978437F" w14:textId="77777777" w:rsidR="00D25378" w:rsidRDefault="00D25378"/>
        </w:tc>
        <w:tc>
          <w:tcPr>
            <w:tcW w:w="1127" w:type="dxa"/>
          </w:tcPr>
          <w:p w14:paraId="55C231C8" w14:textId="77777777" w:rsidR="00D25378" w:rsidRDefault="00D25378"/>
        </w:tc>
        <w:tc>
          <w:tcPr>
            <w:tcW w:w="1127" w:type="dxa"/>
          </w:tcPr>
          <w:p w14:paraId="15FCACE9" w14:textId="77777777" w:rsidR="00D25378" w:rsidRDefault="00D25378"/>
        </w:tc>
      </w:tr>
      <w:tr w:rsidR="00D25378" w14:paraId="18965666" w14:textId="77777777" w:rsidTr="00C80F3E">
        <w:trPr>
          <w:jc w:val="center"/>
        </w:trPr>
        <w:tc>
          <w:tcPr>
            <w:tcW w:w="1127" w:type="dxa"/>
            <w:shd w:val="clear" w:color="auto" w:fill="F2F2F2" w:themeFill="background1" w:themeFillShade="F2"/>
          </w:tcPr>
          <w:p w14:paraId="30EB9505" w14:textId="77777777" w:rsidR="00D25378" w:rsidRDefault="00D25378" w:rsidP="00EB5815">
            <w:pPr>
              <w:jc w:val="center"/>
            </w:pPr>
            <w:r>
              <w:t>16</w:t>
            </w:r>
          </w:p>
        </w:tc>
        <w:tc>
          <w:tcPr>
            <w:tcW w:w="1127" w:type="dxa"/>
            <w:shd w:val="clear" w:color="auto" w:fill="F2F2F2" w:themeFill="background1" w:themeFillShade="F2"/>
          </w:tcPr>
          <w:p w14:paraId="58C0A560" w14:textId="77777777" w:rsidR="00D25378" w:rsidRDefault="00D25378" w:rsidP="00EB5815">
            <w:pPr>
              <w:jc w:val="center"/>
            </w:pPr>
            <w:r>
              <w:t>99</w:t>
            </w:r>
          </w:p>
        </w:tc>
        <w:tc>
          <w:tcPr>
            <w:tcW w:w="1127" w:type="dxa"/>
            <w:shd w:val="clear" w:color="auto" w:fill="F2F2F2" w:themeFill="background1" w:themeFillShade="F2"/>
          </w:tcPr>
          <w:p w14:paraId="7195356E" w14:textId="77777777" w:rsidR="00D25378" w:rsidRDefault="00D25378" w:rsidP="00EB5815"/>
        </w:tc>
        <w:tc>
          <w:tcPr>
            <w:tcW w:w="1127" w:type="dxa"/>
            <w:shd w:val="clear" w:color="auto" w:fill="F2F2F2" w:themeFill="background1" w:themeFillShade="F2"/>
          </w:tcPr>
          <w:p w14:paraId="042FA9D6" w14:textId="77777777" w:rsidR="00D25378" w:rsidRDefault="00D25378" w:rsidP="00EB5815"/>
        </w:tc>
        <w:tc>
          <w:tcPr>
            <w:tcW w:w="1127" w:type="dxa"/>
            <w:shd w:val="clear" w:color="auto" w:fill="F2F2F2" w:themeFill="background1" w:themeFillShade="F2"/>
          </w:tcPr>
          <w:p w14:paraId="3393275F" w14:textId="77777777" w:rsidR="00D25378" w:rsidRDefault="00D25378" w:rsidP="00EB5815"/>
        </w:tc>
        <w:tc>
          <w:tcPr>
            <w:tcW w:w="1127" w:type="dxa"/>
            <w:shd w:val="clear" w:color="auto" w:fill="F2F2F2" w:themeFill="background1" w:themeFillShade="F2"/>
          </w:tcPr>
          <w:p w14:paraId="2F5A3CEE" w14:textId="77777777" w:rsidR="00D25378" w:rsidRDefault="00D25378" w:rsidP="00EB5815"/>
        </w:tc>
        <w:tc>
          <w:tcPr>
            <w:tcW w:w="1127" w:type="dxa"/>
            <w:shd w:val="clear" w:color="auto" w:fill="F2F2F2" w:themeFill="background1" w:themeFillShade="F2"/>
          </w:tcPr>
          <w:p w14:paraId="33E05300" w14:textId="77777777" w:rsidR="00D25378" w:rsidRDefault="00D25378" w:rsidP="00EB5815"/>
        </w:tc>
        <w:tc>
          <w:tcPr>
            <w:tcW w:w="1127" w:type="dxa"/>
            <w:shd w:val="clear" w:color="auto" w:fill="F2F2F2" w:themeFill="background1" w:themeFillShade="F2"/>
          </w:tcPr>
          <w:p w14:paraId="3FDCE6FD" w14:textId="77777777" w:rsidR="00D25378" w:rsidRDefault="00D25378" w:rsidP="00EB5815"/>
        </w:tc>
      </w:tr>
      <w:tr w:rsidR="00D25378" w14:paraId="392D7C37" w14:textId="77777777" w:rsidTr="00A47BA4">
        <w:trPr>
          <w:jc w:val="center"/>
        </w:trPr>
        <w:tc>
          <w:tcPr>
            <w:tcW w:w="1127" w:type="dxa"/>
          </w:tcPr>
          <w:p w14:paraId="5A7D3C67" w14:textId="77777777" w:rsidR="00D25378" w:rsidRDefault="00D25378" w:rsidP="00EB5815">
            <w:pPr>
              <w:jc w:val="center"/>
            </w:pPr>
            <w:r>
              <w:t>17</w:t>
            </w:r>
          </w:p>
        </w:tc>
        <w:tc>
          <w:tcPr>
            <w:tcW w:w="1127" w:type="dxa"/>
          </w:tcPr>
          <w:p w14:paraId="118321D9" w14:textId="77777777" w:rsidR="00D25378" w:rsidRDefault="00D25378" w:rsidP="00EB5815"/>
        </w:tc>
        <w:tc>
          <w:tcPr>
            <w:tcW w:w="1127" w:type="dxa"/>
          </w:tcPr>
          <w:p w14:paraId="6EB640EB" w14:textId="77777777" w:rsidR="00D25378" w:rsidRDefault="00D25378" w:rsidP="00EB5815">
            <w:pPr>
              <w:jc w:val="center"/>
            </w:pPr>
            <w:r>
              <w:t>91</w:t>
            </w:r>
          </w:p>
        </w:tc>
        <w:tc>
          <w:tcPr>
            <w:tcW w:w="1127" w:type="dxa"/>
          </w:tcPr>
          <w:p w14:paraId="60E57553" w14:textId="77777777" w:rsidR="00D25378" w:rsidRDefault="00D25378" w:rsidP="00EB5815"/>
        </w:tc>
        <w:tc>
          <w:tcPr>
            <w:tcW w:w="1127" w:type="dxa"/>
          </w:tcPr>
          <w:p w14:paraId="5DD2D807" w14:textId="77777777" w:rsidR="00D25378" w:rsidRDefault="00D25378" w:rsidP="00EB5815"/>
        </w:tc>
        <w:tc>
          <w:tcPr>
            <w:tcW w:w="1127" w:type="dxa"/>
          </w:tcPr>
          <w:p w14:paraId="7CB66D70" w14:textId="77777777" w:rsidR="00D25378" w:rsidRDefault="00D25378" w:rsidP="00EB5815"/>
        </w:tc>
        <w:tc>
          <w:tcPr>
            <w:tcW w:w="1127" w:type="dxa"/>
          </w:tcPr>
          <w:p w14:paraId="7D916D47" w14:textId="77777777" w:rsidR="00D25378" w:rsidRDefault="00D25378" w:rsidP="00EB5815"/>
        </w:tc>
        <w:tc>
          <w:tcPr>
            <w:tcW w:w="1127" w:type="dxa"/>
          </w:tcPr>
          <w:p w14:paraId="4F1A25EB" w14:textId="77777777" w:rsidR="00D25378" w:rsidRDefault="00D25378" w:rsidP="00EB5815"/>
        </w:tc>
      </w:tr>
      <w:tr w:rsidR="00D25378" w14:paraId="37677328" w14:textId="77777777" w:rsidTr="00C80F3E">
        <w:trPr>
          <w:jc w:val="center"/>
        </w:trPr>
        <w:tc>
          <w:tcPr>
            <w:tcW w:w="1127" w:type="dxa"/>
            <w:shd w:val="clear" w:color="auto" w:fill="F2F2F2" w:themeFill="background1" w:themeFillShade="F2"/>
          </w:tcPr>
          <w:p w14:paraId="21032DA3" w14:textId="77777777" w:rsidR="00D25378" w:rsidRDefault="00D25378" w:rsidP="00EB5815">
            <w:pPr>
              <w:jc w:val="center"/>
            </w:pPr>
            <w:r>
              <w:t>18</w:t>
            </w:r>
          </w:p>
        </w:tc>
        <w:tc>
          <w:tcPr>
            <w:tcW w:w="1127" w:type="dxa"/>
            <w:shd w:val="clear" w:color="auto" w:fill="F2F2F2" w:themeFill="background1" w:themeFillShade="F2"/>
          </w:tcPr>
          <w:p w14:paraId="11FA9006" w14:textId="77777777" w:rsidR="00D25378" w:rsidRDefault="00D25378" w:rsidP="00EB5815"/>
        </w:tc>
        <w:tc>
          <w:tcPr>
            <w:tcW w:w="1127" w:type="dxa"/>
            <w:shd w:val="clear" w:color="auto" w:fill="F2F2F2" w:themeFill="background1" w:themeFillShade="F2"/>
          </w:tcPr>
          <w:p w14:paraId="5473E66F" w14:textId="77777777" w:rsidR="00D25378" w:rsidRDefault="00D25378" w:rsidP="00EB5815"/>
        </w:tc>
        <w:tc>
          <w:tcPr>
            <w:tcW w:w="1127" w:type="dxa"/>
            <w:shd w:val="clear" w:color="auto" w:fill="F2F2F2" w:themeFill="background1" w:themeFillShade="F2"/>
          </w:tcPr>
          <w:p w14:paraId="7D5C0943" w14:textId="77777777" w:rsidR="00D25378" w:rsidRDefault="00D25378" w:rsidP="00EB5815">
            <w:pPr>
              <w:jc w:val="center"/>
            </w:pPr>
            <w:r>
              <w:t>80</w:t>
            </w:r>
          </w:p>
        </w:tc>
        <w:tc>
          <w:tcPr>
            <w:tcW w:w="1127" w:type="dxa"/>
            <w:shd w:val="clear" w:color="auto" w:fill="F2F2F2" w:themeFill="background1" w:themeFillShade="F2"/>
          </w:tcPr>
          <w:p w14:paraId="4EDC407B" w14:textId="77777777" w:rsidR="00D25378" w:rsidRDefault="00D25378" w:rsidP="00EB5815"/>
        </w:tc>
        <w:tc>
          <w:tcPr>
            <w:tcW w:w="1127" w:type="dxa"/>
            <w:shd w:val="clear" w:color="auto" w:fill="F2F2F2" w:themeFill="background1" w:themeFillShade="F2"/>
          </w:tcPr>
          <w:p w14:paraId="72A2934F" w14:textId="77777777" w:rsidR="00D25378" w:rsidRDefault="00D25378" w:rsidP="00EB5815"/>
        </w:tc>
        <w:tc>
          <w:tcPr>
            <w:tcW w:w="1127" w:type="dxa"/>
            <w:shd w:val="clear" w:color="auto" w:fill="F2F2F2" w:themeFill="background1" w:themeFillShade="F2"/>
          </w:tcPr>
          <w:p w14:paraId="61FA3BBA" w14:textId="77777777" w:rsidR="00D25378" w:rsidRDefault="00D25378" w:rsidP="00EB5815"/>
        </w:tc>
        <w:tc>
          <w:tcPr>
            <w:tcW w:w="1127" w:type="dxa"/>
            <w:shd w:val="clear" w:color="auto" w:fill="F2F2F2" w:themeFill="background1" w:themeFillShade="F2"/>
          </w:tcPr>
          <w:p w14:paraId="57D23C7D" w14:textId="77777777" w:rsidR="00D25378" w:rsidRDefault="00D25378" w:rsidP="00EB5815"/>
        </w:tc>
      </w:tr>
      <w:tr w:rsidR="00D25378" w14:paraId="47A3E0C5" w14:textId="77777777" w:rsidTr="00A47BA4">
        <w:trPr>
          <w:jc w:val="center"/>
        </w:trPr>
        <w:tc>
          <w:tcPr>
            <w:tcW w:w="1127" w:type="dxa"/>
          </w:tcPr>
          <w:p w14:paraId="16B9A704" w14:textId="77777777" w:rsidR="00D25378" w:rsidRDefault="00D25378" w:rsidP="00EB5815">
            <w:pPr>
              <w:jc w:val="center"/>
            </w:pPr>
            <w:r>
              <w:t>19</w:t>
            </w:r>
          </w:p>
        </w:tc>
        <w:tc>
          <w:tcPr>
            <w:tcW w:w="1127" w:type="dxa"/>
          </w:tcPr>
          <w:p w14:paraId="6B4903FD" w14:textId="77777777" w:rsidR="00D25378" w:rsidRDefault="00D25378" w:rsidP="00EB5815">
            <w:pPr>
              <w:jc w:val="center"/>
            </w:pPr>
            <w:r>
              <w:t>99</w:t>
            </w:r>
          </w:p>
        </w:tc>
        <w:tc>
          <w:tcPr>
            <w:tcW w:w="1127" w:type="dxa"/>
          </w:tcPr>
          <w:p w14:paraId="6B2B024F" w14:textId="77777777" w:rsidR="00D25378" w:rsidRDefault="00D25378" w:rsidP="00EB5815"/>
        </w:tc>
        <w:tc>
          <w:tcPr>
            <w:tcW w:w="1127" w:type="dxa"/>
          </w:tcPr>
          <w:p w14:paraId="6C048536" w14:textId="77777777" w:rsidR="00D25378" w:rsidRDefault="00D25378" w:rsidP="00EB5815"/>
        </w:tc>
        <w:tc>
          <w:tcPr>
            <w:tcW w:w="1127" w:type="dxa"/>
          </w:tcPr>
          <w:p w14:paraId="047753D8" w14:textId="77777777" w:rsidR="00D25378" w:rsidRDefault="00D25378" w:rsidP="00EB5815"/>
        </w:tc>
        <w:tc>
          <w:tcPr>
            <w:tcW w:w="1127" w:type="dxa"/>
          </w:tcPr>
          <w:p w14:paraId="70D8363F" w14:textId="77777777" w:rsidR="00D25378" w:rsidRDefault="00D25378" w:rsidP="00EB5815"/>
        </w:tc>
        <w:tc>
          <w:tcPr>
            <w:tcW w:w="1127" w:type="dxa"/>
          </w:tcPr>
          <w:p w14:paraId="31A5F23E" w14:textId="77777777" w:rsidR="00D25378" w:rsidRDefault="00D25378" w:rsidP="00EB5815"/>
        </w:tc>
        <w:tc>
          <w:tcPr>
            <w:tcW w:w="1127" w:type="dxa"/>
          </w:tcPr>
          <w:p w14:paraId="464B08F8" w14:textId="77777777" w:rsidR="00D25378" w:rsidRDefault="00D25378" w:rsidP="00EB5815"/>
        </w:tc>
      </w:tr>
      <w:tr w:rsidR="00D25378" w14:paraId="6BD56D89" w14:textId="77777777" w:rsidTr="00C80F3E">
        <w:trPr>
          <w:jc w:val="center"/>
        </w:trPr>
        <w:tc>
          <w:tcPr>
            <w:tcW w:w="1127" w:type="dxa"/>
            <w:shd w:val="clear" w:color="auto" w:fill="F2F2F2" w:themeFill="background1" w:themeFillShade="F2"/>
          </w:tcPr>
          <w:p w14:paraId="74F2B4C3" w14:textId="77777777" w:rsidR="00D25378" w:rsidRDefault="00D25378" w:rsidP="00EB5815">
            <w:pPr>
              <w:jc w:val="center"/>
            </w:pPr>
            <w:r>
              <w:t>20</w:t>
            </w:r>
          </w:p>
        </w:tc>
        <w:tc>
          <w:tcPr>
            <w:tcW w:w="1127" w:type="dxa"/>
            <w:shd w:val="clear" w:color="auto" w:fill="F2F2F2" w:themeFill="background1" w:themeFillShade="F2"/>
          </w:tcPr>
          <w:p w14:paraId="1E0D9CD2" w14:textId="77777777" w:rsidR="00D25378" w:rsidRDefault="00D25378" w:rsidP="00EB5815"/>
        </w:tc>
        <w:tc>
          <w:tcPr>
            <w:tcW w:w="1127" w:type="dxa"/>
            <w:shd w:val="clear" w:color="auto" w:fill="F2F2F2" w:themeFill="background1" w:themeFillShade="F2"/>
          </w:tcPr>
          <w:p w14:paraId="0B45E10F" w14:textId="77777777" w:rsidR="00D25378" w:rsidRDefault="00D25378" w:rsidP="00EB5815">
            <w:pPr>
              <w:jc w:val="center"/>
            </w:pPr>
            <w:r>
              <w:t>91</w:t>
            </w:r>
          </w:p>
        </w:tc>
        <w:tc>
          <w:tcPr>
            <w:tcW w:w="1127" w:type="dxa"/>
            <w:shd w:val="clear" w:color="auto" w:fill="F2F2F2" w:themeFill="background1" w:themeFillShade="F2"/>
          </w:tcPr>
          <w:p w14:paraId="12D7BBD7" w14:textId="77777777" w:rsidR="00D25378" w:rsidRDefault="00D25378" w:rsidP="00EB5815"/>
        </w:tc>
        <w:tc>
          <w:tcPr>
            <w:tcW w:w="1127" w:type="dxa"/>
            <w:shd w:val="clear" w:color="auto" w:fill="F2F2F2" w:themeFill="background1" w:themeFillShade="F2"/>
          </w:tcPr>
          <w:p w14:paraId="794DF434" w14:textId="77777777" w:rsidR="00D25378" w:rsidRDefault="00D25378" w:rsidP="00EB5815"/>
        </w:tc>
        <w:tc>
          <w:tcPr>
            <w:tcW w:w="1127" w:type="dxa"/>
            <w:shd w:val="clear" w:color="auto" w:fill="F2F2F2" w:themeFill="background1" w:themeFillShade="F2"/>
          </w:tcPr>
          <w:p w14:paraId="3E9E6B92" w14:textId="77777777" w:rsidR="00D25378" w:rsidRDefault="00D25378" w:rsidP="00EB5815"/>
        </w:tc>
        <w:tc>
          <w:tcPr>
            <w:tcW w:w="1127" w:type="dxa"/>
            <w:shd w:val="clear" w:color="auto" w:fill="F2F2F2" w:themeFill="background1" w:themeFillShade="F2"/>
          </w:tcPr>
          <w:p w14:paraId="5E91A378" w14:textId="77777777" w:rsidR="00D25378" w:rsidRDefault="00D25378" w:rsidP="00EB5815"/>
        </w:tc>
        <w:tc>
          <w:tcPr>
            <w:tcW w:w="1127" w:type="dxa"/>
            <w:shd w:val="clear" w:color="auto" w:fill="F2F2F2" w:themeFill="background1" w:themeFillShade="F2"/>
          </w:tcPr>
          <w:p w14:paraId="14390DDC" w14:textId="77777777" w:rsidR="00D25378" w:rsidRDefault="00D25378" w:rsidP="00EB5815"/>
        </w:tc>
      </w:tr>
      <w:tr w:rsidR="00D25378" w14:paraId="2AE869D7" w14:textId="77777777" w:rsidTr="00A47BA4">
        <w:trPr>
          <w:jc w:val="center"/>
        </w:trPr>
        <w:tc>
          <w:tcPr>
            <w:tcW w:w="1127" w:type="dxa"/>
          </w:tcPr>
          <w:p w14:paraId="75D81EF2" w14:textId="77777777" w:rsidR="00D25378" w:rsidRDefault="00D25378" w:rsidP="00EB5815">
            <w:pPr>
              <w:jc w:val="center"/>
            </w:pPr>
            <w:r>
              <w:t>21</w:t>
            </w:r>
          </w:p>
        </w:tc>
        <w:tc>
          <w:tcPr>
            <w:tcW w:w="1127" w:type="dxa"/>
          </w:tcPr>
          <w:p w14:paraId="7F28259E" w14:textId="77777777" w:rsidR="00D25378" w:rsidRDefault="00D25378" w:rsidP="00EB5815"/>
        </w:tc>
        <w:tc>
          <w:tcPr>
            <w:tcW w:w="1127" w:type="dxa"/>
          </w:tcPr>
          <w:p w14:paraId="42381A68" w14:textId="77777777" w:rsidR="00D25378" w:rsidRDefault="00D25378" w:rsidP="00EB5815"/>
        </w:tc>
        <w:tc>
          <w:tcPr>
            <w:tcW w:w="1127" w:type="dxa"/>
          </w:tcPr>
          <w:p w14:paraId="7D59D2EE" w14:textId="77777777" w:rsidR="00D25378" w:rsidRDefault="00D25378" w:rsidP="00EB5815">
            <w:pPr>
              <w:jc w:val="center"/>
            </w:pPr>
            <w:r>
              <w:t>80</w:t>
            </w:r>
          </w:p>
        </w:tc>
        <w:tc>
          <w:tcPr>
            <w:tcW w:w="1127" w:type="dxa"/>
          </w:tcPr>
          <w:p w14:paraId="79FDFBC7" w14:textId="77777777" w:rsidR="00D25378" w:rsidRDefault="00D25378" w:rsidP="00EB5815"/>
        </w:tc>
        <w:tc>
          <w:tcPr>
            <w:tcW w:w="1127" w:type="dxa"/>
          </w:tcPr>
          <w:p w14:paraId="1FB1034C" w14:textId="77777777" w:rsidR="00D25378" w:rsidRDefault="00D25378" w:rsidP="00EB5815"/>
        </w:tc>
        <w:tc>
          <w:tcPr>
            <w:tcW w:w="1127" w:type="dxa"/>
          </w:tcPr>
          <w:p w14:paraId="64D833C7" w14:textId="77777777" w:rsidR="00D25378" w:rsidRDefault="00D25378" w:rsidP="00EB5815"/>
        </w:tc>
        <w:tc>
          <w:tcPr>
            <w:tcW w:w="1127" w:type="dxa"/>
          </w:tcPr>
          <w:p w14:paraId="554749D6" w14:textId="77777777" w:rsidR="00D25378" w:rsidRDefault="00D25378" w:rsidP="00EB5815"/>
        </w:tc>
      </w:tr>
      <w:tr w:rsidR="00D25378" w14:paraId="7C56E2A4" w14:textId="77777777" w:rsidTr="00C80F3E">
        <w:trPr>
          <w:jc w:val="center"/>
        </w:trPr>
        <w:tc>
          <w:tcPr>
            <w:tcW w:w="1127" w:type="dxa"/>
            <w:shd w:val="clear" w:color="auto" w:fill="F2F2F2" w:themeFill="background1" w:themeFillShade="F2"/>
          </w:tcPr>
          <w:p w14:paraId="31312171" w14:textId="77777777" w:rsidR="00D25378" w:rsidRDefault="00D25378" w:rsidP="00EB5815">
            <w:pPr>
              <w:jc w:val="center"/>
            </w:pPr>
            <w:r>
              <w:t>22</w:t>
            </w:r>
          </w:p>
        </w:tc>
        <w:tc>
          <w:tcPr>
            <w:tcW w:w="1127" w:type="dxa"/>
            <w:shd w:val="clear" w:color="auto" w:fill="F2F2F2" w:themeFill="background1" w:themeFillShade="F2"/>
          </w:tcPr>
          <w:p w14:paraId="44DCB8B4" w14:textId="77777777" w:rsidR="00D25378" w:rsidRDefault="00D25378" w:rsidP="00EB5815">
            <w:pPr>
              <w:jc w:val="center"/>
            </w:pPr>
            <w:r>
              <w:t>99</w:t>
            </w:r>
          </w:p>
        </w:tc>
        <w:tc>
          <w:tcPr>
            <w:tcW w:w="1127" w:type="dxa"/>
            <w:shd w:val="clear" w:color="auto" w:fill="F2F2F2" w:themeFill="background1" w:themeFillShade="F2"/>
          </w:tcPr>
          <w:p w14:paraId="62A6A442" w14:textId="77777777" w:rsidR="00D25378" w:rsidRDefault="00D25378" w:rsidP="00EB5815"/>
        </w:tc>
        <w:tc>
          <w:tcPr>
            <w:tcW w:w="1127" w:type="dxa"/>
            <w:shd w:val="clear" w:color="auto" w:fill="F2F2F2" w:themeFill="background1" w:themeFillShade="F2"/>
          </w:tcPr>
          <w:p w14:paraId="2DF87422" w14:textId="77777777" w:rsidR="00D25378" w:rsidRDefault="00D25378" w:rsidP="00EB5815"/>
        </w:tc>
        <w:tc>
          <w:tcPr>
            <w:tcW w:w="1127" w:type="dxa"/>
            <w:shd w:val="clear" w:color="auto" w:fill="F2F2F2" w:themeFill="background1" w:themeFillShade="F2"/>
          </w:tcPr>
          <w:p w14:paraId="2F8C155E" w14:textId="77777777" w:rsidR="00D25378" w:rsidRDefault="00D25378" w:rsidP="00EB5815"/>
        </w:tc>
        <w:tc>
          <w:tcPr>
            <w:tcW w:w="1127" w:type="dxa"/>
            <w:shd w:val="clear" w:color="auto" w:fill="F2F2F2" w:themeFill="background1" w:themeFillShade="F2"/>
          </w:tcPr>
          <w:p w14:paraId="2C1C88E6" w14:textId="77777777" w:rsidR="00D25378" w:rsidRDefault="00D25378" w:rsidP="00EB5815"/>
        </w:tc>
        <w:tc>
          <w:tcPr>
            <w:tcW w:w="1127" w:type="dxa"/>
            <w:shd w:val="clear" w:color="auto" w:fill="F2F2F2" w:themeFill="background1" w:themeFillShade="F2"/>
          </w:tcPr>
          <w:p w14:paraId="5DBC998C" w14:textId="77777777" w:rsidR="00D25378" w:rsidRDefault="00D25378" w:rsidP="00EB5815"/>
        </w:tc>
        <w:tc>
          <w:tcPr>
            <w:tcW w:w="1127" w:type="dxa"/>
            <w:shd w:val="clear" w:color="auto" w:fill="F2F2F2" w:themeFill="background1" w:themeFillShade="F2"/>
          </w:tcPr>
          <w:p w14:paraId="275B8054" w14:textId="77777777" w:rsidR="00D25378" w:rsidRDefault="00D25378" w:rsidP="00EB5815"/>
        </w:tc>
      </w:tr>
      <w:tr w:rsidR="00D25378" w14:paraId="182DC0D9" w14:textId="77777777" w:rsidTr="00A47BA4">
        <w:trPr>
          <w:jc w:val="center"/>
        </w:trPr>
        <w:tc>
          <w:tcPr>
            <w:tcW w:w="1127" w:type="dxa"/>
          </w:tcPr>
          <w:p w14:paraId="2C419C66" w14:textId="77777777" w:rsidR="00D25378" w:rsidRDefault="00D25378" w:rsidP="00EB5815">
            <w:pPr>
              <w:jc w:val="center"/>
            </w:pPr>
            <w:r>
              <w:t>23</w:t>
            </w:r>
          </w:p>
        </w:tc>
        <w:tc>
          <w:tcPr>
            <w:tcW w:w="1127" w:type="dxa"/>
          </w:tcPr>
          <w:p w14:paraId="6C19C167" w14:textId="77777777" w:rsidR="00D25378" w:rsidRDefault="00D25378" w:rsidP="00EB5815"/>
        </w:tc>
        <w:tc>
          <w:tcPr>
            <w:tcW w:w="1127" w:type="dxa"/>
          </w:tcPr>
          <w:p w14:paraId="331D9025" w14:textId="77777777" w:rsidR="00D25378" w:rsidRDefault="00D25378" w:rsidP="00EB5815">
            <w:pPr>
              <w:jc w:val="center"/>
            </w:pPr>
            <w:r>
              <w:t>91</w:t>
            </w:r>
          </w:p>
        </w:tc>
        <w:tc>
          <w:tcPr>
            <w:tcW w:w="1127" w:type="dxa"/>
          </w:tcPr>
          <w:p w14:paraId="102F9B82" w14:textId="77777777" w:rsidR="00D25378" w:rsidRDefault="00D25378" w:rsidP="00EB5815"/>
        </w:tc>
        <w:tc>
          <w:tcPr>
            <w:tcW w:w="1127" w:type="dxa"/>
          </w:tcPr>
          <w:p w14:paraId="0D6D8952" w14:textId="77777777" w:rsidR="00D25378" w:rsidRDefault="00D25378" w:rsidP="00EB5815"/>
        </w:tc>
        <w:tc>
          <w:tcPr>
            <w:tcW w:w="1127" w:type="dxa"/>
          </w:tcPr>
          <w:p w14:paraId="3E39C004" w14:textId="77777777" w:rsidR="00D25378" w:rsidRDefault="00D25378" w:rsidP="00EB5815"/>
        </w:tc>
        <w:tc>
          <w:tcPr>
            <w:tcW w:w="1127" w:type="dxa"/>
          </w:tcPr>
          <w:p w14:paraId="48884041" w14:textId="77777777" w:rsidR="00D25378" w:rsidRDefault="00D25378" w:rsidP="00EB5815"/>
        </w:tc>
        <w:tc>
          <w:tcPr>
            <w:tcW w:w="1127" w:type="dxa"/>
          </w:tcPr>
          <w:p w14:paraId="2E15DF8C" w14:textId="77777777" w:rsidR="00D25378" w:rsidRDefault="00D25378" w:rsidP="00EB5815"/>
        </w:tc>
      </w:tr>
      <w:tr w:rsidR="00D25378" w14:paraId="20164E84" w14:textId="77777777" w:rsidTr="00C80F3E">
        <w:trPr>
          <w:jc w:val="center"/>
        </w:trPr>
        <w:tc>
          <w:tcPr>
            <w:tcW w:w="1127" w:type="dxa"/>
            <w:shd w:val="clear" w:color="auto" w:fill="F2F2F2" w:themeFill="background1" w:themeFillShade="F2"/>
          </w:tcPr>
          <w:p w14:paraId="2E4C0725" w14:textId="77777777" w:rsidR="00D25378" w:rsidRDefault="00D25378" w:rsidP="00EB5815">
            <w:pPr>
              <w:jc w:val="center"/>
            </w:pPr>
            <w:r>
              <w:t>24</w:t>
            </w:r>
          </w:p>
        </w:tc>
        <w:tc>
          <w:tcPr>
            <w:tcW w:w="1127" w:type="dxa"/>
            <w:shd w:val="clear" w:color="auto" w:fill="F2F2F2" w:themeFill="background1" w:themeFillShade="F2"/>
          </w:tcPr>
          <w:p w14:paraId="35BAE6C4" w14:textId="77777777" w:rsidR="00D25378" w:rsidRDefault="00D25378" w:rsidP="00EB5815"/>
        </w:tc>
        <w:tc>
          <w:tcPr>
            <w:tcW w:w="1127" w:type="dxa"/>
            <w:shd w:val="clear" w:color="auto" w:fill="F2F2F2" w:themeFill="background1" w:themeFillShade="F2"/>
          </w:tcPr>
          <w:p w14:paraId="5E33BC40" w14:textId="77777777" w:rsidR="00D25378" w:rsidRDefault="00D25378" w:rsidP="00EB5815"/>
        </w:tc>
        <w:tc>
          <w:tcPr>
            <w:tcW w:w="1127" w:type="dxa"/>
            <w:shd w:val="clear" w:color="auto" w:fill="F2F2F2" w:themeFill="background1" w:themeFillShade="F2"/>
          </w:tcPr>
          <w:p w14:paraId="01C9D54C" w14:textId="77777777" w:rsidR="00D25378" w:rsidRDefault="00D25378" w:rsidP="00EB5815">
            <w:pPr>
              <w:jc w:val="center"/>
            </w:pPr>
            <w:r>
              <w:t>79</w:t>
            </w:r>
          </w:p>
        </w:tc>
        <w:tc>
          <w:tcPr>
            <w:tcW w:w="1127" w:type="dxa"/>
            <w:shd w:val="clear" w:color="auto" w:fill="F2F2F2" w:themeFill="background1" w:themeFillShade="F2"/>
          </w:tcPr>
          <w:p w14:paraId="37086342" w14:textId="77777777" w:rsidR="00D25378" w:rsidRDefault="00D25378" w:rsidP="00EB5815"/>
        </w:tc>
        <w:tc>
          <w:tcPr>
            <w:tcW w:w="1127" w:type="dxa"/>
            <w:shd w:val="clear" w:color="auto" w:fill="F2F2F2" w:themeFill="background1" w:themeFillShade="F2"/>
          </w:tcPr>
          <w:p w14:paraId="57D4999E" w14:textId="77777777" w:rsidR="00D25378" w:rsidRDefault="00D25378" w:rsidP="00EB5815"/>
        </w:tc>
        <w:tc>
          <w:tcPr>
            <w:tcW w:w="1127" w:type="dxa"/>
            <w:shd w:val="clear" w:color="auto" w:fill="F2F2F2" w:themeFill="background1" w:themeFillShade="F2"/>
          </w:tcPr>
          <w:p w14:paraId="12162D8D" w14:textId="77777777" w:rsidR="00D25378" w:rsidRDefault="00D25378" w:rsidP="00EB5815"/>
        </w:tc>
        <w:tc>
          <w:tcPr>
            <w:tcW w:w="1127" w:type="dxa"/>
            <w:shd w:val="clear" w:color="auto" w:fill="F2F2F2" w:themeFill="background1" w:themeFillShade="F2"/>
          </w:tcPr>
          <w:p w14:paraId="77DE23F4" w14:textId="77777777" w:rsidR="00D25378" w:rsidRDefault="00D25378" w:rsidP="00EB5815"/>
        </w:tc>
      </w:tr>
      <w:tr w:rsidR="00D25378" w14:paraId="1B59BF75" w14:textId="77777777" w:rsidTr="00A47BA4">
        <w:trPr>
          <w:jc w:val="center"/>
        </w:trPr>
        <w:tc>
          <w:tcPr>
            <w:tcW w:w="1127" w:type="dxa"/>
          </w:tcPr>
          <w:p w14:paraId="12CECFA2" w14:textId="77777777" w:rsidR="00D25378" w:rsidRDefault="00D25378" w:rsidP="00EB5815">
            <w:pPr>
              <w:jc w:val="center"/>
            </w:pPr>
            <w:r>
              <w:t>25</w:t>
            </w:r>
          </w:p>
        </w:tc>
        <w:tc>
          <w:tcPr>
            <w:tcW w:w="1127" w:type="dxa"/>
          </w:tcPr>
          <w:p w14:paraId="23003DBD" w14:textId="77777777" w:rsidR="00D25378" w:rsidRDefault="00D25378" w:rsidP="00EB5815">
            <w:pPr>
              <w:jc w:val="center"/>
            </w:pPr>
            <w:r>
              <w:t>99</w:t>
            </w:r>
          </w:p>
        </w:tc>
        <w:tc>
          <w:tcPr>
            <w:tcW w:w="1127" w:type="dxa"/>
          </w:tcPr>
          <w:p w14:paraId="5B4D44DD" w14:textId="77777777" w:rsidR="00D25378" w:rsidRDefault="00D25378" w:rsidP="00EB5815"/>
        </w:tc>
        <w:tc>
          <w:tcPr>
            <w:tcW w:w="1127" w:type="dxa"/>
          </w:tcPr>
          <w:p w14:paraId="3E57BDE2" w14:textId="77777777" w:rsidR="00D25378" w:rsidRDefault="00D25378" w:rsidP="00EB5815"/>
        </w:tc>
        <w:tc>
          <w:tcPr>
            <w:tcW w:w="1127" w:type="dxa"/>
          </w:tcPr>
          <w:p w14:paraId="471C5AA6" w14:textId="77777777" w:rsidR="00D25378" w:rsidRDefault="00D25378" w:rsidP="00EB5815"/>
        </w:tc>
        <w:tc>
          <w:tcPr>
            <w:tcW w:w="1127" w:type="dxa"/>
          </w:tcPr>
          <w:p w14:paraId="25CE5A17" w14:textId="77777777" w:rsidR="00D25378" w:rsidRDefault="00D25378" w:rsidP="00EB5815"/>
        </w:tc>
        <w:tc>
          <w:tcPr>
            <w:tcW w:w="1127" w:type="dxa"/>
          </w:tcPr>
          <w:p w14:paraId="7862D847" w14:textId="77777777" w:rsidR="00D25378" w:rsidRDefault="00D25378" w:rsidP="00EB5815"/>
        </w:tc>
        <w:tc>
          <w:tcPr>
            <w:tcW w:w="1127" w:type="dxa"/>
          </w:tcPr>
          <w:p w14:paraId="03101747" w14:textId="77777777" w:rsidR="00D25378" w:rsidRDefault="00D25378" w:rsidP="00EB5815"/>
        </w:tc>
      </w:tr>
      <w:tr w:rsidR="00D25378" w14:paraId="2F634B6F" w14:textId="77777777" w:rsidTr="00C80F3E">
        <w:trPr>
          <w:jc w:val="center"/>
        </w:trPr>
        <w:tc>
          <w:tcPr>
            <w:tcW w:w="1127" w:type="dxa"/>
            <w:shd w:val="clear" w:color="auto" w:fill="F2F2F2" w:themeFill="background1" w:themeFillShade="F2"/>
          </w:tcPr>
          <w:p w14:paraId="5D12BBFA" w14:textId="77777777" w:rsidR="00D25378" w:rsidRDefault="00D25378" w:rsidP="00EB5815">
            <w:pPr>
              <w:jc w:val="center"/>
            </w:pPr>
            <w:r>
              <w:t>26</w:t>
            </w:r>
          </w:p>
        </w:tc>
        <w:tc>
          <w:tcPr>
            <w:tcW w:w="1127" w:type="dxa"/>
            <w:shd w:val="clear" w:color="auto" w:fill="F2F2F2" w:themeFill="background1" w:themeFillShade="F2"/>
          </w:tcPr>
          <w:p w14:paraId="32C259CF" w14:textId="77777777" w:rsidR="00D25378" w:rsidRDefault="00D25378" w:rsidP="00EB5815"/>
        </w:tc>
        <w:tc>
          <w:tcPr>
            <w:tcW w:w="1127" w:type="dxa"/>
            <w:shd w:val="clear" w:color="auto" w:fill="F2F2F2" w:themeFill="background1" w:themeFillShade="F2"/>
          </w:tcPr>
          <w:p w14:paraId="64FC3AEE" w14:textId="77777777" w:rsidR="00D25378" w:rsidRDefault="00D25378" w:rsidP="00EB5815">
            <w:pPr>
              <w:jc w:val="center"/>
            </w:pPr>
            <w:r>
              <w:t>91</w:t>
            </w:r>
          </w:p>
        </w:tc>
        <w:tc>
          <w:tcPr>
            <w:tcW w:w="1127" w:type="dxa"/>
            <w:shd w:val="clear" w:color="auto" w:fill="F2F2F2" w:themeFill="background1" w:themeFillShade="F2"/>
          </w:tcPr>
          <w:p w14:paraId="3B6DA968" w14:textId="77777777" w:rsidR="00D25378" w:rsidRDefault="00D25378" w:rsidP="00EB5815"/>
        </w:tc>
        <w:tc>
          <w:tcPr>
            <w:tcW w:w="1127" w:type="dxa"/>
            <w:shd w:val="clear" w:color="auto" w:fill="F2F2F2" w:themeFill="background1" w:themeFillShade="F2"/>
          </w:tcPr>
          <w:p w14:paraId="7908D8AA" w14:textId="77777777" w:rsidR="00D25378" w:rsidRDefault="00D25378" w:rsidP="00EB5815"/>
        </w:tc>
        <w:tc>
          <w:tcPr>
            <w:tcW w:w="1127" w:type="dxa"/>
            <w:shd w:val="clear" w:color="auto" w:fill="F2F2F2" w:themeFill="background1" w:themeFillShade="F2"/>
          </w:tcPr>
          <w:p w14:paraId="636CE273" w14:textId="77777777" w:rsidR="00D25378" w:rsidRDefault="00D25378" w:rsidP="00EB5815"/>
        </w:tc>
        <w:tc>
          <w:tcPr>
            <w:tcW w:w="1127" w:type="dxa"/>
            <w:shd w:val="clear" w:color="auto" w:fill="F2F2F2" w:themeFill="background1" w:themeFillShade="F2"/>
          </w:tcPr>
          <w:p w14:paraId="633836CF" w14:textId="77777777" w:rsidR="00D25378" w:rsidRDefault="00D25378" w:rsidP="00EB5815"/>
        </w:tc>
        <w:tc>
          <w:tcPr>
            <w:tcW w:w="1127" w:type="dxa"/>
            <w:shd w:val="clear" w:color="auto" w:fill="F2F2F2" w:themeFill="background1" w:themeFillShade="F2"/>
          </w:tcPr>
          <w:p w14:paraId="7E9B85A7" w14:textId="77777777" w:rsidR="00D25378" w:rsidRDefault="00D25378" w:rsidP="00EB5815"/>
        </w:tc>
      </w:tr>
      <w:tr w:rsidR="00D25378" w14:paraId="7A77F370" w14:textId="77777777" w:rsidTr="00A47BA4">
        <w:trPr>
          <w:jc w:val="center"/>
        </w:trPr>
        <w:tc>
          <w:tcPr>
            <w:tcW w:w="1127" w:type="dxa"/>
          </w:tcPr>
          <w:p w14:paraId="0F51AD3B" w14:textId="77777777" w:rsidR="00D25378" w:rsidRDefault="00D25378" w:rsidP="00EB5815">
            <w:pPr>
              <w:jc w:val="center"/>
            </w:pPr>
            <w:r>
              <w:t>27</w:t>
            </w:r>
          </w:p>
        </w:tc>
        <w:tc>
          <w:tcPr>
            <w:tcW w:w="1127" w:type="dxa"/>
          </w:tcPr>
          <w:p w14:paraId="4B6F63FC" w14:textId="77777777" w:rsidR="00D25378" w:rsidRDefault="00D25378" w:rsidP="00EB5815"/>
        </w:tc>
        <w:tc>
          <w:tcPr>
            <w:tcW w:w="1127" w:type="dxa"/>
          </w:tcPr>
          <w:p w14:paraId="0B5B9331" w14:textId="77777777" w:rsidR="00D25378" w:rsidRDefault="00D25378" w:rsidP="00EB5815"/>
        </w:tc>
        <w:tc>
          <w:tcPr>
            <w:tcW w:w="1127" w:type="dxa"/>
          </w:tcPr>
          <w:p w14:paraId="532A6DB4" w14:textId="77777777" w:rsidR="00D25378" w:rsidRDefault="00D25378" w:rsidP="00EB5815">
            <w:pPr>
              <w:jc w:val="center"/>
            </w:pPr>
            <w:r>
              <w:t>80</w:t>
            </w:r>
          </w:p>
        </w:tc>
        <w:tc>
          <w:tcPr>
            <w:tcW w:w="1127" w:type="dxa"/>
          </w:tcPr>
          <w:p w14:paraId="1DBF875B" w14:textId="77777777" w:rsidR="00D25378" w:rsidRDefault="00D25378" w:rsidP="00EB5815"/>
        </w:tc>
        <w:tc>
          <w:tcPr>
            <w:tcW w:w="1127" w:type="dxa"/>
          </w:tcPr>
          <w:p w14:paraId="57B8764A" w14:textId="77777777" w:rsidR="00D25378" w:rsidRDefault="00D25378" w:rsidP="00EB5815"/>
        </w:tc>
        <w:tc>
          <w:tcPr>
            <w:tcW w:w="1127" w:type="dxa"/>
          </w:tcPr>
          <w:p w14:paraId="5A9ED29E" w14:textId="77777777" w:rsidR="00D25378" w:rsidRDefault="00D25378" w:rsidP="00EB5815"/>
        </w:tc>
        <w:tc>
          <w:tcPr>
            <w:tcW w:w="1127" w:type="dxa"/>
          </w:tcPr>
          <w:p w14:paraId="1A02DA28" w14:textId="77777777" w:rsidR="00D25378" w:rsidRDefault="00D25378" w:rsidP="00EB5815"/>
        </w:tc>
      </w:tr>
      <w:tr w:rsidR="00D25378" w14:paraId="447E6396" w14:textId="77777777" w:rsidTr="00C80F3E">
        <w:trPr>
          <w:jc w:val="center"/>
        </w:trPr>
        <w:tc>
          <w:tcPr>
            <w:tcW w:w="1127" w:type="dxa"/>
            <w:shd w:val="clear" w:color="auto" w:fill="F2F2F2" w:themeFill="background1" w:themeFillShade="F2"/>
          </w:tcPr>
          <w:p w14:paraId="66C317C1" w14:textId="77777777" w:rsidR="00D25378" w:rsidRDefault="00D25378" w:rsidP="00EB5815">
            <w:pPr>
              <w:jc w:val="center"/>
            </w:pPr>
            <w:r>
              <w:t>28</w:t>
            </w:r>
          </w:p>
        </w:tc>
        <w:tc>
          <w:tcPr>
            <w:tcW w:w="1127" w:type="dxa"/>
            <w:shd w:val="clear" w:color="auto" w:fill="F2F2F2" w:themeFill="background1" w:themeFillShade="F2"/>
          </w:tcPr>
          <w:p w14:paraId="657341EB" w14:textId="77777777" w:rsidR="00D25378" w:rsidRDefault="00D25378" w:rsidP="00EB5815"/>
        </w:tc>
        <w:tc>
          <w:tcPr>
            <w:tcW w:w="1127" w:type="dxa"/>
            <w:shd w:val="clear" w:color="auto" w:fill="F2F2F2" w:themeFill="background1" w:themeFillShade="F2"/>
          </w:tcPr>
          <w:p w14:paraId="11B4C96A" w14:textId="77777777" w:rsidR="00D25378" w:rsidRDefault="00D25378" w:rsidP="00EB5815"/>
        </w:tc>
        <w:tc>
          <w:tcPr>
            <w:tcW w:w="1127" w:type="dxa"/>
            <w:shd w:val="clear" w:color="auto" w:fill="F2F2F2" w:themeFill="background1" w:themeFillShade="F2"/>
          </w:tcPr>
          <w:p w14:paraId="5F9F9058" w14:textId="77777777" w:rsidR="00D25378" w:rsidRDefault="00D25378" w:rsidP="00EB5815"/>
        </w:tc>
        <w:tc>
          <w:tcPr>
            <w:tcW w:w="1127" w:type="dxa"/>
            <w:shd w:val="clear" w:color="auto" w:fill="F2F2F2" w:themeFill="background1" w:themeFillShade="F2"/>
          </w:tcPr>
          <w:p w14:paraId="07715996" w14:textId="77777777" w:rsidR="00D25378" w:rsidRDefault="00D25378" w:rsidP="00EB5815">
            <w:pPr>
              <w:jc w:val="center"/>
            </w:pPr>
            <w:r>
              <w:t>279</w:t>
            </w:r>
          </w:p>
        </w:tc>
        <w:tc>
          <w:tcPr>
            <w:tcW w:w="1127" w:type="dxa"/>
            <w:shd w:val="clear" w:color="auto" w:fill="F2F2F2" w:themeFill="background1" w:themeFillShade="F2"/>
          </w:tcPr>
          <w:p w14:paraId="22868C43" w14:textId="77777777" w:rsidR="00D25378" w:rsidRDefault="00D25378" w:rsidP="00EB5815"/>
        </w:tc>
        <w:tc>
          <w:tcPr>
            <w:tcW w:w="1127" w:type="dxa"/>
            <w:shd w:val="clear" w:color="auto" w:fill="F2F2F2" w:themeFill="background1" w:themeFillShade="F2"/>
          </w:tcPr>
          <w:p w14:paraId="1EBFA5BB" w14:textId="77777777" w:rsidR="00D25378" w:rsidRDefault="00D25378" w:rsidP="00EB5815"/>
        </w:tc>
        <w:tc>
          <w:tcPr>
            <w:tcW w:w="1127" w:type="dxa"/>
            <w:shd w:val="clear" w:color="auto" w:fill="F2F2F2" w:themeFill="background1" w:themeFillShade="F2"/>
          </w:tcPr>
          <w:p w14:paraId="3945C409" w14:textId="77777777" w:rsidR="00D25378" w:rsidRDefault="00D25378" w:rsidP="00EB5815"/>
        </w:tc>
      </w:tr>
      <w:tr w:rsidR="00D25378" w14:paraId="1910AA2D" w14:textId="77777777" w:rsidTr="00A47BA4">
        <w:trPr>
          <w:jc w:val="center"/>
        </w:trPr>
        <w:tc>
          <w:tcPr>
            <w:tcW w:w="1127" w:type="dxa"/>
          </w:tcPr>
          <w:p w14:paraId="3FBF54EC" w14:textId="77777777" w:rsidR="00D25378" w:rsidRDefault="00D25378" w:rsidP="00EB5815">
            <w:pPr>
              <w:jc w:val="center"/>
            </w:pPr>
            <w:r>
              <w:t>29</w:t>
            </w:r>
          </w:p>
        </w:tc>
        <w:tc>
          <w:tcPr>
            <w:tcW w:w="1127" w:type="dxa"/>
          </w:tcPr>
          <w:p w14:paraId="2A29BD00" w14:textId="77777777" w:rsidR="00D25378" w:rsidRDefault="00D25378" w:rsidP="00EB5815"/>
        </w:tc>
        <w:tc>
          <w:tcPr>
            <w:tcW w:w="1127" w:type="dxa"/>
          </w:tcPr>
          <w:p w14:paraId="1E44659F" w14:textId="77777777" w:rsidR="00D25378" w:rsidRDefault="00D25378" w:rsidP="00EB5815"/>
        </w:tc>
        <w:tc>
          <w:tcPr>
            <w:tcW w:w="1127" w:type="dxa"/>
          </w:tcPr>
          <w:p w14:paraId="40FB3637" w14:textId="77777777" w:rsidR="00D25378" w:rsidRDefault="00D25378" w:rsidP="00EB5815"/>
        </w:tc>
        <w:tc>
          <w:tcPr>
            <w:tcW w:w="1127" w:type="dxa"/>
          </w:tcPr>
          <w:p w14:paraId="005BB154" w14:textId="77777777" w:rsidR="00D25378" w:rsidRDefault="00D25378" w:rsidP="00EB5815"/>
        </w:tc>
        <w:tc>
          <w:tcPr>
            <w:tcW w:w="1127" w:type="dxa"/>
          </w:tcPr>
          <w:p w14:paraId="58AE92B8" w14:textId="77777777" w:rsidR="00D25378" w:rsidRDefault="00D25378" w:rsidP="00EB5815">
            <w:pPr>
              <w:jc w:val="center"/>
            </w:pPr>
            <w:r>
              <w:t>140</w:t>
            </w:r>
          </w:p>
        </w:tc>
        <w:tc>
          <w:tcPr>
            <w:tcW w:w="1127" w:type="dxa"/>
          </w:tcPr>
          <w:p w14:paraId="3C3F8752" w14:textId="77777777" w:rsidR="00D25378" w:rsidRDefault="00D25378" w:rsidP="00EB5815"/>
        </w:tc>
        <w:tc>
          <w:tcPr>
            <w:tcW w:w="1127" w:type="dxa"/>
          </w:tcPr>
          <w:p w14:paraId="6C371AEB" w14:textId="77777777" w:rsidR="00D25378" w:rsidRDefault="00D25378" w:rsidP="00EB5815"/>
        </w:tc>
      </w:tr>
      <w:tr w:rsidR="00D25378" w14:paraId="39BCB30E" w14:textId="77777777" w:rsidTr="00C80F3E">
        <w:trPr>
          <w:jc w:val="center"/>
        </w:trPr>
        <w:tc>
          <w:tcPr>
            <w:tcW w:w="1127" w:type="dxa"/>
            <w:shd w:val="clear" w:color="auto" w:fill="F2F2F2" w:themeFill="background1" w:themeFillShade="F2"/>
          </w:tcPr>
          <w:p w14:paraId="2F5D3D1E" w14:textId="77777777" w:rsidR="00D25378" w:rsidRDefault="00D25378" w:rsidP="00EB5815">
            <w:pPr>
              <w:jc w:val="center"/>
            </w:pPr>
            <w:r>
              <w:t>30</w:t>
            </w:r>
          </w:p>
        </w:tc>
        <w:tc>
          <w:tcPr>
            <w:tcW w:w="1127" w:type="dxa"/>
            <w:shd w:val="clear" w:color="auto" w:fill="F2F2F2" w:themeFill="background1" w:themeFillShade="F2"/>
          </w:tcPr>
          <w:p w14:paraId="26FE674A" w14:textId="77777777" w:rsidR="00D25378" w:rsidRDefault="00D25378" w:rsidP="00EB5815"/>
        </w:tc>
        <w:tc>
          <w:tcPr>
            <w:tcW w:w="1127" w:type="dxa"/>
            <w:shd w:val="clear" w:color="auto" w:fill="F2F2F2" w:themeFill="background1" w:themeFillShade="F2"/>
          </w:tcPr>
          <w:p w14:paraId="08CD4EFD" w14:textId="77777777" w:rsidR="00D25378" w:rsidRDefault="00D25378" w:rsidP="00EB5815"/>
        </w:tc>
        <w:tc>
          <w:tcPr>
            <w:tcW w:w="1127" w:type="dxa"/>
            <w:shd w:val="clear" w:color="auto" w:fill="F2F2F2" w:themeFill="background1" w:themeFillShade="F2"/>
          </w:tcPr>
          <w:p w14:paraId="475BEFDD" w14:textId="77777777" w:rsidR="00D25378" w:rsidRDefault="00D25378" w:rsidP="00EB5815"/>
        </w:tc>
        <w:tc>
          <w:tcPr>
            <w:tcW w:w="1127" w:type="dxa"/>
            <w:shd w:val="clear" w:color="auto" w:fill="F2F2F2" w:themeFill="background1" w:themeFillShade="F2"/>
          </w:tcPr>
          <w:p w14:paraId="2D0DD4B7" w14:textId="77777777" w:rsidR="00D25378" w:rsidRDefault="00D25378" w:rsidP="00EB5815">
            <w:pPr>
              <w:jc w:val="center"/>
            </w:pPr>
            <w:r>
              <w:t>279</w:t>
            </w:r>
          </w:p>
        </w:tc>
        <w:tc>
          <w:tcPr>
            <w:tcW w:w="1127" w:type="dxa"/>
            <w:shd w:val="clear" w:color="auto" w:fill="F2F2F2" w:themeFill="background1" w:themeFillShade="F2"/>
          </w:tcPr>
          <w:p w14:paraId="06A64BBF" w14:textId="77777777" w:rsidR="00D25378" w:rsidRDefault="00D25378" w:rsidP="00EB5815"/>
        </w:tc>
        <w:tc>
          <w:tcPr>
            <w:tcW w:w="1127" w:type="dxa"/>
            <w:shd w:val="clear" w:color="auto" w:fill="F2F2F2" w:themeFill="background1" w:themeFillShade="F2"/>
          </w:tcPr>
          <w:p w14:paraId="34B49B01" w14:textId="77777777" w:rsidR="00D25378" w:rsidRDefault="00D25378" w:rsidP="00EB5815"/>
        </w:tc>
        <w:tc>
          <w:tcPr>
            <w:tcW w:w="1127" w:type="dxa"/>
            <w:shd w:val="clear" w:color="auto" w:fill="F2F2F2" w:themeFill="background1" w:themeFillShade="F2"/>
          </w:tcPr>
          <w:p w14:paraId="0FAB4D2F" w14:textId="77777777" w:rsidR="00D25378" w:rsidRDefault="00D25378" w:rsidP="00EB5815"/>
        </w:tc>
      </w:tr>
      <w:tr w:rsidR="00D25378" w14:paraId="64D129E3" w14:textId="77777777" w:rsidTr="00A47BA4">
        <w:trPr>
          <w:jc w:val="center"/>
        </w:trPr>
        <w:tc>
          <w:tcPr>
            <w:tcW w:w="1127" w:type="dxa"/>
          </w:tcPr>
          <w:p w14:paraId="172DF5A8" w14:textId="77777777" w:rsidR="00D25378" w:rsidRDefault="00D25378" w:rsidP="00EB5815">
            <w:pPr>
              <w:jc w:val="center"/>
            </w:pPr>
            <w:r>
              <w:t>31</w:t>
            </w:r>
          </w:p>
        </w:tc>
        <w:tc>
          <w:tcPr>
            <w:tcW w:w="1127" w:type="dxa"/>
          </w:tcPr>
          <w:p w14:paraId="5935F224" w14:textId="77777777" w:rsidR="00D25378" w:rsidRDefault="00D25378" w:rsidP="00EB5815"/>
        </w:tc>
        <w:tc>
          <w:tcPr>
            <w:tcW w:w="1127" w:type="dxa"/>
          </w:tcPr>
          <w:p w14:paraId="05972D31" w14:textId="77777777" w:rsidR="00D25378" w:rsidRDefault="00D25378" w:rsidP="00EB5815"/>
        </w:tc>
        <w:tc>
          <w:tcPr>
            <w:tcW w:w="1127" w:type="dxa"/>
          </w:tcPr>
          <w:p w14:paraId="13AD69AD" w14:textId="77777777" w:rsidR="00D25378" w:rsidRDefault="00D25378" w:rsidP="00EB5815"/>
        </w:tc>
        <w:tc>
          <w:tcPr>
            <w:tcW w:w="1127" w:type="dxa"/>
          </w:tcPr>
          <w:p w14:paraId="7EBBC026" w14:textId="77777777" w:rsidR="00D25378" w:rsidRDefault="00D25378" w:rsidP="00EB5815"/>
        </w:tc>
        <w:tc>
          <w:tcPr>
            <w:tcW w:w="1127" w:type="dxa"/>
          </w:tcPr>
          <w:p w14:paraId="03C77BC0" w14:textId="77777777" w:rsidR="00D25378" w:rsidRDefault="00D25378" w:rsidP="00EB5815">
            <w:pPr>
              <w:jc w:val="center"/>
            </w:pPr>
            <w:r>
              <w:t>140</w:t>
            </w:r>
          </w:p>
        </w:tc>
        <w:tc>
          <w:tcPr>
            <w:tcW w:w="1127" w:type="dxa"/>
          </w:tcPr>
          <w:p w14:paraId="16E337AA" w14:textId="77777777" w:rsidR="00D25378" w:rsidRDefault="00D25378" w:rsidP="00EB5815"/>
        </w:tc>
        <w:tc>
          <w:tcPr>
            <w:tcW w:w="1127" w:type="dxa"/>
          </w:tcPr>
          <w:p w14:paraId="25DB301A" w14:textId="77777777" w:rsidR="00D25378" w:rsidRDefault="00D25378" w:rsidP="00EB5815"/>
        </w:tc>
      </w:tr>
      <w:tr w:rsidR="00D25378" w14:paraId="46674117" w14:textId="77777777" w:rsidTr="00C80F3E">
        <w:trPr>
          <w:jc w:val="center"/>
        </w:trPr>
        <w:tc>
          <w:tcPr>
            <w:tcW w:w="1127" w:type="dxa"/>
            <w:shd w:val="clear" w:color="auto" w:fill="F2F2F2" w:themeFill="background1" w:themeFillShade="F2"/>
          </w:tcPr>
          <w:p w14:paraId="4740DE81" w14:textId="77777777" w:rsidR="00D25378" w:rsidRDefault="00D25378" w:rsidP="00EB5815">
            <w:pPr>
              <w:jc w:val="center"/>
            </w:pPr>
            <w:r>
              <w:t>32</w:t>
            </w:r>
          </w:p>
        </w:tc>
        <w:tc>
          <w:tcPr>
            <w:tcW w:w="1127" w:type="dxa"/>
            <w:shd w:val="clear" w:color="auto" w:fill="F2F2F2" w:themeFill="background1" w:themeFillShade="F2"/>
          </w:tcPr>
          <w:p w14:paraId="1EA4CA11" w14:textId="77777777" w:rsidR="00D25378" w:rsidRDefault="00D25378" w:rsidP="00EB5815"/>
        </w:tc>
        <w:tc>
          <w:tcPr>
            <w:tcW w:w="1127" w:type="dxa"/>
            <w:shd w:val="clear" w:color="auto" w:fill="F2F2F2" w:themeFill="background1" w:themeFillShade="F2"/>
          </w:tcPr>
          <w:p w14:paraId="32E8A16E" w14:textId="77777777" w:rsidR="00D25378" w:rsidRDefault="00D25378" w:rsidP="00EB5815"/>
        </w:tc>
        <w:tc>
          <w:tcPr>
            <w:tcW w:w="1127" w:type="dxa"/>
            <w:shd w:val="clear" w:color="auto" w:fill="F2F2F2" w:themeFill="background1" w:themeFillShade="F2"/>
          </w:tcPr>
          <w:p w14:paraId="2185B5BB" w14:textId="77777777" w:rsidR="00D25378" w:rsidRDefault="00D25378" w:rsidP="00EB5815"/>
        </w:tc>
        <w:tc>
          <w:tcPr>
            <w:tcW w:w="1127" w:type="dxa"/>
            <w:shd w:val="clear" w:color="auto" w:fill="F2F2F2" w:themeFill="background1" w:themeFillShade="F2"/>
          </w:tcPr>
          <w:p w14:paraId="21998653" w14:textId="77777777" w:rsidR="00D25378" w:rsidRDefault="00D25378" w:rsidP="00EB5815">
            <w:pPr>
              <w:jc w:val="center"/>
            </w:pPr>
            <w:r>
              <w:t>279</w:t>
            </w:r>
          </w:p>
        </w:tc>
        <w:tc>
          <w:tcPr>
            <w:tcW w:w="1127" w:type="dxa"/>
            <w:shd w:val="clear" w:color="auto" w:fill="F2F2F2" w:themeFill="background1" w:themeFillShade="F2"/>
          </w:tcPr>
          <w:p w14:paraId="19C2EB42" w14:textId="77777777" w:rsidR="00D25378" w:rsidRDefault="00D25378" w:rsidP="00EB5815"/>
        </w:tc>
        <w:tc>
          <w:tcPr>
            <w:tcW w:w="1127" w:type="dxa"/>
            <w:shd w:val="clear" w:color="auto" w:fill="F2F2F2" w:themeFill="background1" w:themeFillShade="F2"/>
          </w:tcPr>
          <w:p w14:paraId="65C7F2EE" w14:textId="77777777" w:rsidR="00D25378" w:rsidRDefault="00D25378" w:rsidP="00EB5815"/>
        </w:tc>
        <w:tc>
          <w:tcPr>
            <w:tcW w:w="1127" w:type="dxa"/>
            <w:shd w:val="clear" w:color="auto" w:fill="F2F2F2" w:themeFill="background1" w:themeFillShade="F2"/>
          </w:tcPr>
          <w:p w14:paraId="42BF77E4" w14:textId="77777777" w:rsidR="00D25378" w:rsidRDefault="00D25378" w:rsidP="00EB5815"/>
        </w:tc>
      </w:tr>
      <w:tr w:rsidR="00D25378" w14:paraId="5627C65F" w14:textId="77777777" w:rsidTr="00A47BA4">
        <w:trPr>
          <w:jc w:val="center"/>
        </w:trPr>
        <w:tc>
          <w:tcPr>
            <w:tcW w:w="1127" w:type="dxa"/>
          </w:tcPr>
          <w:p w14:paraId="0238F257" w14:textId="77777777" w:rsidR="00D25378" w:rsidRDefault="00D25378" w:rsidP="00EB5815">
            <w:pPr>
              <w:jc w:val="center"/>
            </w:pPr>
            <w:r>
              <w:t>33</w:t>
            </w:r>
          </w:p>
        </w:tc>
        <w:tc>
          <w:tcPr>
            <w:tcW w:w="1127" w:type="dxa"/>
          </w:tcPr>
          <w:p w14:paraId="5DB5A50F" w14:textId="77777777" w:rsidR="00D25378" w:rsidRDefault="00D25378" w:rsidP="00EB5815"/>
        </w:tc>
        <w:tc>
          <w:tcPr>
            <w:tcW w:w="1127" w:type="dxa"/>
          </w:tcPr>
          <w:p w14:paraId="1C8A05CC" w14:textId="77777777" w:rsidR="00D25378" w:rsidRDefault="00D25378" w:rsidP="00EB5815"/>
        </w:tc>
        <w:tc>
          <w:tcPr>
            <w:tcW w:w="1127" w:type="dxa"/>
          </w:tcPr>
          <w:p w14:paraId="760D2950" w14:textId="77777777" w:rsidR="00D25378" w:rsidRDefault="00D25378" w:rsidP="00EB5815"/>
        </w:tc>
        <w:tc>
          <w:tcPr>
            <w:tcW w:w="1127" w:type="dxa"/>
          </w:tcPr>
          <w:p w14:paraId="71F6E9D4" w14:textId="77777777" w:rsidR="00D25378" w:rsidRDefault="00D25378" w:rsidP="00EB5815"/>
        </w:tc>
        <w:tc>
          <w:tcPr>
            <w:tcW w:w="1127" w:type="dxa"/>
          </w:tcPr>
          <w:p w14:paraId="28756F51" w14:textId="77777777" w:rsidR="00D25378" w:rsidRDefault="00D25378" w:rsidP="00EB5815">
            <w:pPr>
              <w:jc w:val="center"/>
            </w:pPr>
            <w:r>
              <w:t>141</w:t>
            </w:r>
          </w:p>
        </w:tc>
        <w:tc>
          <w:tcPr>
            <w:tcW w:w="1127" w:type="dxa"/>
          </w:tcPr>
          <w:p w14:paraId="3C3C2F4C" w14:textId="77777777" w:rsidR="00D25378" w:rsidRDefault="00D25378" w:rsidP="00EB5815"/>
        </w:tc>
        <w:tc>
          <w:tcPr>
            <w:tcW w:w="1127" w:type="dxa"/>
          </w:tcPr>
          <w:p w14:paraId="6BEF4B47" w14:textId="77777777" w:rsidR="00D25378" w:rsidRDefault="00D25378" w:rsidP="00EB5815"/>
        </w:tc>
      </w:tr>
      <w:tr w:rsidR="00D25378" w14:paraId="4BF65B61" w14:textId="77777777" w:rsidTr="00C80F3E">
        <w:trPr>
          <w:jc w:val="center"/>
        </w:trPr>
        <w:tc>
          <w:tcPr>
            <w:tcW w:w="1127" w:type="dxa"/>
            <w:shd w:val="clear" w:color="auto" w:fill="F2F2F2" w:themeFill="background1" w:themeFillShade="F2"/>
          </w:tcPr>
          <w:p w14:paraId="4EF213C9" w14:textId="77777777" w:rsidR="00D25378" w:rsidRDefault="00D25378" w:rsidP="00EB5815">
            <w:pPr>
              <w:jc w:val="center"/>
            </w:pPr>
            <w:r>
              <w:t>34</w:t>
            </w:r>
          </w:p>
        </w:tc>
        <w:tc>
          <w:tcPr>
            <w:tcW w:w="1127" w:type="dxa"/>
            <w:shd w:val="clear" w:color="auto" w:fill="F2F2F2" w:themeFill="background1" w:themeFillShade="F2"/>
          </w:tcPr>
          <w:p w14:paraId="37EDE7BA" w14:textId="77777777" w:rsidR="00D25378" w:rsidRDefault="00D25378" w:rsidP="00EB5815"/>
        </w:tc>
        <w:tc>
          <w:tcPr>
            <w:tcW w:w="1127" w:type="dxa"/>
            <w:shd w:val="clear" w:color="auto" w:fill="F2F2F2" w:themeFill="background1" w:themeFillShade="F2"/>
          </w:tcPr>
          <w:p w14:paraId="3CDF9F04" w14:textId="77777777" w:rsidR="00D25378" w:rsidRDefault="00D25378" w:rsidP="00EB5815"/>
        </w:tc>
        <w:tc>
          <w:tcPr>
            <w:tcW w:w="1127" w:type="dxa"/>
            <w:shd w:val="clear" w:color="auto" w:fill="F2F2F2" w:themeFill="background1" w:themeFillShade="F2"/>
          </w:tcPr>
          <w:p w14:paraId="69E42B20" w14:textId="77777777" w:rsidR="00D25378" w:rsidRDefault="00D25378" w:rsidP="00EB5815"/>
        </w:tc>
        <w:tc>
          <w:tcPr>
            <w:tcW w:w="1127" w:type="dxa"/>
            <w:shd w:val="clear" w:color="auto" w:fill="F2F2F2" w:themeFill="background1" w:themeFillShade="F2"/>
          </w:tcPr>
          <w:p w14:paraId="7157602F" w14:textId="77777777" w:rsidR="00D25378" w:rsidRDefault="00D25378" w:rsidP="00EB5815">
            <w:pPr>
              <w:jc w:val="center"/>
            </w:pPr>
            <w:r>
              <w:t>279</w:t>
            </w:r>
          </w:p>
        </w:tc>
        <w:tc>
          <w:tcPr>
            <w:tcW w:w="1127" w:type="dxa"/>
            <w:shd w:val="clear" w:color="auto" w:fill="F2F2F2" w:themeFill="background1" w:themeFillShade="F2"/>
          </w:tcPr>
          <w:p w14:paraId="4011EB0D" w14:textId="77777777" w:rsidR="00D25378" w:rsidRDefault="00D25378" w:rsidP="00EB5815"/>
        </w:tc>
        <w:tc>
          <w:tcPr>
            <w:tcW w:w="1127" w:type="dxa"/>
            <w:shd w:val="clear" w:color="auto" w:fill="F2F2F2" w:themeFill="background1" w:themeFillShade="F2"/>
          </w:tcPr>
          <w:p w14:paraId="0A7334DB" w14:textId="77777777" w:rsidR="00D25378" w:rsidRDefault="00D25378" w:rsidP="00EB5815"/>
        </w:tc>
        <w:tc>
          <w:tcPr>
            <w:tcW w:w="1127" w:type="dxa"/>
            <w:shd w:val="clear" w:color="auto" w:fill="F2F2F2" w:themeFill="background1" w:themeFillShade="F2"/>
          </w:tcPr>
          <w:p w14:paraId="00BF74F4" w14:textId="77777777" w:rsidR="00D25378" w:rsidRDefault="00D25378" w:rsidP="00EB5815"/>
        </w:tc>
      </w:tr>
      <w:tr w:rsidR="00D25378" w14:paraId="1423187C" w14:textId="77777777" w:rsidTr="00A47BA4">
        <w:trPr>
          <w:jc w:val="center"/>
        </w:trPr>
        <w:tc>
          <w:tcPr>
            <w:tcW w:w="1127" w:type="dxa"/>
          </w:tcPr>
          <w:p w14:paraId="451C6E8F" w14:textId="77777777" w:rsidR="00D25378" w:rsidRDefault="00D25378" w:rsidP="00EB5815">
            <w:pPr>
              <w:jc w:val="center"/>
            </w:pPr>
            <w:r>
              <w:t>35</w:t>
            </w:r>
          </w:p>
        </w:tc>
        <w:tc>
          <w:tcPr>
            <w:tcW w:w="1127" w:type="dxa"/>
          </w:tcPr>
          <w:p w14:paraId="6ECA2C7A" w14:textId="77777777" w:rsidR="00D25378" w:rsidRDefault="00D25378" w:rsidP="00EB5815"/>
        </w:tc>
        <w:tc>
          <w:tcPr>
            <w:tcW w:w="1127" w:type="dxa"/>
          </w:tcPr>
          <w:p w14:paraId="5D193DED" w14:textId="77777777" w:rsidR="00D25378" w:rsidRDefault="00D25378" w:rsidP="00EB5815"/>
        </w:tc>
        <w:tc>
          <w:tcPr>
            <w:tcW w:w="1127" w:type="dxa"/>
          </w:tcPr>
          <w:p w14:paraId="2C69A5CF" w14:textId="77777777" w:rsidR="00D25378" w:rsidRDefault="00D25378" w:rsidP="00EB5815"/>
        </w:tc>
        <w:tc>
          <w:tcPr>
            <w:tcW w:w="1127" w:type="dxa"/>
          </w:tcPr>
          <w:p w14:paraId="6C0AC193" w14:textId="77777777" w:rsidR="00D25378" w:rsidRDefault="00D25378" w:rsidP="00EB5815"/>
        </w:tc>
        <w:tc>
          <w:tcPr>
            <w:tcW w:w="1127" w:type="dxa"/>
          </w:tcPr>
          <w:p w14:paraId="73B11A43" w14:textId="77777777" w:rsidR="00D25378" w:rsidRDefault="00D25378" w:rsidP="00EB5815">
            <w:pPr>
              <w:jc w:val="center"/>
            </w:pPr>
            <w:r>
              <w:t>141</w:t>
            </w:r>
          </w:p>
        </w:tc>
        <w:tc>
          <w:tcPr>
            <w:tcW w:w="1127" w:type="dxa"/>
          </w:tcPr>
          <w:p w14:paraId="6C4971E6" w14:textId="77777777" w:rsidR="00D25378" w:rsidRDefault="00D25378" w:rsidP="00EB5815"/>
        </w:tc>
        <w:tc>
          <w:tcPr>
            <w:tcW w:w="1127" w:type="dxa"/>
          </w:tcPr>
          <w:p w14:paraId="58A3849B" w14:textId="77777777" w:rsidR="00D25378" w:rsidRDefault="00D25378" w:rsidP="00EB5815"/>
        </w:tc>
      </w:tr>
      <w:tr w:rsidR="00D25378" w14:paraId="4563BE9C" w14:textId="77777777" w:rsidTr="00C80F3E">
        <w:trPr>
          <w:jc w:val="center"/>
        </w:trPr>
        <w:tc>
          <w:tcPr>
            <w:tcW w:w="1127" w:type="dxa"/>
            <w:shd w:val="clear" w:color="auto" w:fill="F2F2F2" w:themeFill="background1" w:themeFillShade="F2"/>
          </w:tcPr>
          <w:p w14:paraId="216F0F49" w14:textId="77777777" w:rsidR="00D25378" w:rsidRDefault="00D25378" w:rsidP="00EB5815">
            <w:pPr>
              <w:jc w:val="center"/>
            </w:pPr>
            <w:r>
              <w:t>36</w:t>
            </w:r>
          </w:p>
        </w:tc>
        <w:tc>
          <w:tcPr>
            <w:tcW w:w="1127" w:type="dxa"/>
            <w:shd w:val="clear" w:color="auto" w:fill="F2F2F2" w:themeFill="background1" w:themeFillShade="F2"/>
          </w:tcPr>
          <w:p w14:paraId="3CAA2CE0" w14:textId="77777777" w:rsidR="00D25378" w:rsidRDefault="00D25378" w:rsidP="00EB5815"/>
        </w:tc>
        <w:tc>
          <w:tcPr>
            <w:tcW w:w="1127" w:type="dxa"/>
            <w:shd w:val="clear" w:color="auto" w:fill="F2F2F2" w:themeFill="background1" w:themeFillShade="F2"/>
          </w:tcPr>
          <w:p w14:paraId="6788608B" w14:textId="77777777" w:rsidR="00D25378" w:rsidRDefault="00D25378" w:rsidP="00EB5815"/>
        </w:tc>
        <w:tc>
          <w:tcPr>
            <w:tcW w:w="1127" w:type="dxa"/>
            <w:shd w:val="clear" w:color="auto" w:fill="F2F2F2" w:themeFill="background1" w:themeFillShade="F2"/>
          </w:tcPr>
          <w:p w14:paraId="75ECA629" w14:textId="77777777" w:rsidR="00D25378" w:rsidRDefault="00D25378" w:rsidP="00EB5815"/>
        </w:tc>
        <w:tc>
          <w:tcPr>
            <w:tcW w:w="1127" w:type="dxa"/>
            <w:shd w:val="clear" w:color="auto" w:fill="F2F2F2" w:themeFill="background1" w:themeFillShade="F2"/>
          </w:tcPr>
          <w:p w14:paraId="12AF61CB" w14:textId="77777777" w:rsidR="00D25378" w:rsidRDefault="00D25378" w:rsidP="00EB5815"/>
        </w:tc>
        <w:tc>
          <w:tcPr>
            <w:tcW w:w="1127" w:type="dxa"/>
            <w:shd w:val="clear" w:color="auto" w:fill="F2F2F2" w:themeFill="background1" w:themeFillShade="F2"/>
          </w:tcPr>
          <w:p w14:paraId="6D4755A0" w14:textId="77777777" w:rsidR="00D25378" w:rsidRDefault="00D25378" w:rsidP="00EB5815"/>
        </w:tc>
        <w:tc>
          <w:tcPr>
            <w:tcW w:w="1127" w:type="dxa"/>
            <w:shd w:val="clear" w:color="auto" w:fill="F2F2F2" w:themeFill="background1" w:themeFillShade="F2"/>
          </w:tcPr>
          <w:p w14:paraId="64ACD3C2" w14:textId="77777777" w:rsidR="00D25378" w:rsidRDefault="00D25378" w:rsidP="00EB5815">
            <w:pPr>
              <w:jc w:val="center"/>
            </w:pPr>
            <w:r>
              <w:t>289</w:t>
            </w:r>
          </w:p>
        </w:tc>
        <w:tc>
          <w:tcPr>
            <w:tcW w:w="1127" w:type="dxa"/>
            <w:shd w:val="clear" w:color="auto" w:fill="F2F2F2" w:themeFill="background1" w:themeFillShade="F2"/>
          </w:tcPr>
          <w:p w14:paraId="5544A466" w14:textId="77777777" w:rsidR="00D25378" w:rsidRDefault="00D25378" w:rsidP="00EB5815"/>
        </w:tc>
      </w:tr>
      <w:tr w:rsidR="00D25378" w14:paraId="366FBF55" w14:textId="77777777" w:rsidTr="00A47BA4">
        <w:trPr>
          <w:jc w:val="center"/>
        </w:trPr>
        <w:tc>
          <w:tcPr>
            <w:tcW w:w="1127" w:type="dxa"/>
          </w:tcPr>
          <w:p w14:paraId="1E94538C" w14:textId="77777777" w:rsidR="00D25378" w:rsidRDefault="00D25378" w:rsidP="00EB5815">
            <w:pPr>
              <w:jc w:val="center"/>
            </w:pPr>
            <w:r>
              <w:t>37</w:t>
            </w:r>
          </w:p>
        </w:tc>
        <w:tc>
          <w:tcPr>
            <w:tcW w:w="1127" w:type="dxa"/>
          </w:tcPr>
          <w:p w14:paraId="3B55D26A" w14:textId="77777777" w:rsidR="00D25378" w:rsidRDefault="00D25378" w:rsidP="00EB5815"/>
        </w:tc>
        <w:tc>
          <w:tcPr>
            <w:tcW w:w="1127" w:type="dxa"/>
          </w:tcPr>
          <w:p w14:paraId="6675FAF5" w14:textId="77777777" w:rsidR="00D25378" w:rsidRDefault="00D25378" w:rsidP="00EB5815"/>
        </w:tc>
        <w:tc>
          <w:tcPr>
            <w:tcW w:w="1127" w:type="dxa"/>
          </w:tcPr>
          <w:p w14:paraId="572969A9" w14:textId="77777777" w:rsidR="00D25378" w:rsidRDefault="00D25378" w:rsidP="00EB5815"/>
        </w:tc>
        <w:tc>
          <w:tcPr>
            <w:tcW w:w="1127" w:type="dxa"/>
          </w:tcPr>
          <w:p w14:paraId="6AC75E5F" w14:textId="77777777" w:rsidR="00D25378" w:rsidRDefault="00D25378" w:rsidP="00EB5815"/>
        </w:tc>
        <w:tc>
          <w:tcPr>
            <w:tcW w:w="1127" w:type="dxa"/>
          </w:tcPr>
          <w:p w14:paraId="7D7C4484" w14:textId="77777777" w:rsidR="00D25378" w:rsidRDefault="00D25378" w:rsidP="00EB5815"/>
        </w:tc>
        <w:tc>
          <w:tcPr>
            <w:tcW w:w="1127" w:type="dxa"/>
          </w:tcPr>
          <w:p w14:paraId="235D6C46" w14:textId="77777777" w:rsidR="00D25378" w:rsidRDefault="00D25378" w:rsidP="00EB5815">
            <w:pPr>
              <w:jc w:val="center"/>
            </w:pPr>
            <w:r>
              <w:t>290</w:t>
            </w:r>
          </w:p>
        </w:tc>
        <w:tc>
          <w:tcPr>
            <w:tcW w:w="1127" w:type="dxa"/>
          </w:tcPr>
          <w:p w14:paraId="520F77B2" w14:textId="77777777" w:rsidR="00D25378" w:rsidRDefault="00D25378" w:rsidP="00EB5815"/>
        </w:tc>
      </w:tr>
      <w:tr w:rsidR="00D25378" w14:paraId="005F81CA" w14:textId="77777777" w:rsidTr="00C80F3E">
        <w:trPr>
          <w:jc w:val="center"/>
        </w:trPr>
        <w:tc>
          <w:tcPr>
            <w:tcW w:w="1127" w:type="dxa"/>
            <w:shd w:val="clear" w:color="auto" w:fill="F2F2F2" w:themeFill="background1" w:themeFillShade="F2"/>
          </w:tcPr>
          <w:p w14:paraId="780BE748" w14:textId="77777777" w:rsidR="00D25378" w:rsidRDefault="00D25378" w:rsidP="00EB5815">
            <w:pPr>
              <w:jc w:val="center"/>
            </w:pPr>
            <w:r>
              <w:t>38</w:t>
            </w:r>
          </w:p>
        </w:tc>
        <w:tc>
          <w:tcPr>
            <w:tcW w:w="1127" w:type="dxa"/>
            <w:shd w:val="clear" w:color="auto" w:fill="F2F2F2" w:themeFill="background1" w:themeFillShade="F2"/>
          </w:tcPr>
          <w:p w14:paraId="7BB4B954" w14:textId="77777777" w:rsidR="00D25378" w:rsidRDefault="00D25378" w:rsidP="00EB5815">
            <w:pPr>
              <w:jc w:val="center"/>
            </w:pPr>
          </w:p>
        </w:tc>
        <w:tc>
          <w:tcPr>
            <w:tcW w:w="1127" w:type="dxa"/>
            <w:shd w:val="clear" w:color="auto" w:fill="F2F2F2" w:themeFill="background1" w:themeFillShade="F2"/>
          </w:tcPr>
          <w:p w14:paraId="5F36B53D" w14:textId="77777777" w:rsidR="00D25378" w:rsidRDefault="00D25378" w:rsidP="00EB5815"/>
        </w:tc>
        <w:tc>
          <w:tcPr>
            <w:tcW w:w="1127" w:type="dxa"/>
            <w:shd w:val="clear" w:color="auto" w:fill="F2F2F2" w:themeFill="background1" w:themeFillShade="F2"/>
          </w:tcPr>
          <w:p w14:paraId="50D3CA63" w14:textId="77777777" w:rsidR="00D25378" w:rsidRDefault="00D25378" w:rsidP="00EB5815"/>
        </w:tc>
        <w:tc>
          <w:tcPr>
            <w:tcW w:w="1127" w:type="dxa"/>
            <w:shd w:val="clear" w:color="auto" w:fill="F2F2F2" w:themeFill="background1" w:themeFillShade="F2"/>
          </w:tcPr>
          <w:p w14:paraId="68082103" w14:textId="77777777" w:rsidR="00D25378" w:rsidRDefault="00D25378" w:rsidP="00EB5815"/>
        </w:tc>
        <w:tc>
          <w:tcPr>
            <w:tcW w:w="1127" w:type="dxa"/>
            <w:shd w:val="clear" w:color="auto" w:fill="F2F2F2" w:themeFill="background1" w:themeFillShade="F2"/>
          </w:tcPr>
          <w:p w14:paraId="1AE76342" w14:textId="77777777" w:rsidR="00D25378" w:rsidRDefault="00D25378" w:rsidP="00EB5815"/>
        </w:tc>
        <w:tc>
          <w:tcPr>
            <w:tcW w:w="1127" w:type="dxa"/>
            <w:shd w:val="clear" w:color="auto" w:fill="F2F2F2" w:themeFill="background1" w:themeFillShade="F2"/>
          </w:tcPr>
          <w:p w14:paraId="39D7956C" w14:textId="77777777" w:rsidR="00D25378" w:rsidRDefault="00D25378" w:rsidP="00C80F3E">
            <w:pPr>
              <w:jc w:val="center"/>
            </w:pPr>
            <w:r>
              <w:t>290</w:t>
            </w:r>
          </w:p>
        </w:tc>
        <w:tc>
          <w:tcPr>
            <w:tcW w:w="1127" w:type="dxa"/>
            <w:shd w:val="clear" w:color="auto" w:fill="F2F2F2" w:themeFill="background1" w:themeFillShade="F2"/>
          </w:tcPr>
          <w:p w14:paraId="1E8C1DCA" w14:textId="77777777" w:rsidR="00D25378" w:rsidRDefault="00D25378" w:rsidP="00EB5815"/>
        </w:tc>
      </w:tr>
      <w:tr w:rsidR="00D25378" w14:paraId="3303AE47" w14:textId="77777777" w:rsidTr="00A47BA4">
        <w:trPr>
          <w:jc w:val="center"/>
        </w:trPr>
        <w:tc>
          <w:tcPr>
            <w:tcW w:w="1127" w:type="dxa"/>
          </w:tcPr>
          <w:p w14:paraId="6B02C6B9" w14:textId="77777777" w:rsidR="00D25378" w:rsidRDefault="00D25378" w:rsidP="00C80F3E">
            <w:pPr>
              <w:jc w:val="center"/>
            </w:pPr>
            <w:r>
              <w:t>39</w:t>
            </w:r>
          </w:p>
        </w:tc>
        <w:tc>
          <w:tcPr>
            <w:tcW w:w="1127" w:type="dxa"/>
          </w:tcPr>
          <w:p w14:paraId="648E84B8" w14:textId="77777777" w:rsidR="00D25378" w:rsidRDefault="00D25378" w:rsidP="00C80F3E">
            <w:pPr>
              <w:jc w:val="center"/>
            </w:pPr>
            <w:r>
              <w:t>101</w:t>
            </w:r>
          </w:p>
        </w:tc>
        <w:tc>
          <w:tcPr>
            <w:tcW w:w="1127" w:type="dxa"/>
          </w:tcPr>
          <w:p w14:paraId="4A866315" w14:textId="77777777" w:rsidR="00D25378" w:rsidRDefault="00D25378" w:rsidP="00C80F3E">
            <w:pPr>
              <w:jc w:val="center"/>
            </w:pPr>
          </w:p>
        </w:tc>
        <w:tc>
          <w:tcPr>
            <w:tcW w:w="1127" w:type="dxa"/>
          </w:tcPr>
          <w:p w14:paraId="2093E71C" w14:textId="77777777" w:rsidR="00D25378" w:rsidRDefault="00D25378" w:rsidP="00C80F3E"/>
        </w:tc>
        <w:tc>
          <w:tcPr>
            <w:tcW w:w="1127" w:type="dxa"/>
          </w:tcPr>
          <w:p w14:paraId="6515E5C7" w14:textId="77777777" w:rsidR="00D25378" w:rsidRDefault="00D25378" w:rsidP="00C80F3E"/>
        </w:tc>
        <w:tc>
          <w:tcPr>
            <w:tcW w:w="1127" w:type="dxa"/>
          </w:tcPr>
          <w:p w14:paraId="141CDD82" w14:textId="77777777" w:rsidR="00D25378" w:rsidRDefault="00D25378" w:rsidP="00C80F3E"/>
        </w:tc>
        <w:tc>
          <w:tcPr>
            <w:tcW w:w="1127" w:type="dxa"/>
          </w:tcPr>
          <w:p w14:paraId="326A9261" w14:textId="77777777" w:rsidR="00D25378" w:rsidRDefault="00D25378" w:rsidP="00C80F3E"/>
        </w:tc>
        <w:tc>
          <w:tcPr>
            <w:tcW w:w="1127" w:type="dxa"/>
          </w:tcPr>
          <w:p w14:paraId="3D7E5806" w14:textId="77777777" w:rsidR="00D25378" w:rsidRDefault="00D25378" w:rsidP="00C80F3E"/>
        </w:tc>
      </w:tr>
      <w:tr w:rsidR="00D25378" w14:paraId="262C28AF" w14:textId="77777777" w:rsidTr="00C80F3E">
        <w:trPr>
          <w:jc w:val="center"/>
        </w:trPr>
        <w:tc>
          <w:tcPr>
            <w:tcW w:w="1127" w:type="dxa"/>
            <w:shd w:val="clear" w:color="auto" w:fill="F2F2F2" w:themeFill="background1" w:themeFillShade="F2"/>
          </w:tcPr>
          <w:p w14:paraId="2F41BA4D" w14:textId="77777777" w:rsidR="00D25378" w:rsidRDefault="00D25378" w:rsidP="00C80F3E">
            <w:pPr>
              <w:jc w:val="center"/>
            </w:pPr>
            <w:r>
              <w:t>40</w:t>
            </w:r>
          </w:p>
        </w:tc>
        <w:tc>
          <w:tcPr>
            <w:tcW w:w="1127" w:type="dxa"/>
            <w:shd w:val="clear" w:color="auto" w:fill="F2F2F2" w:themeFill="background1" w:themeFillShade="F2"/>
          </w:tcPr>
          <w:p w14:paraId="0794F404" w14:textId="77777777" w:rsidR="00D25378" w:rsidRDefault="00D25378" w:rsidP="00C80F3E"/>
        </w:tc>
        <w:tc>
          <w:tcPr>
            <w:tcW w:w="1127" w:type="dxa"/>
            <w:shd w:val="clear" w:color="auto" w:fill="F2F2F2" w:themeFill="background1" w:themeFillShade="F2"/>
          </w:tcPr>
          <w:p w14:paraId="78620156" w14:textId="77777777" w:rsidR="00D25378" w:rsidRDefault="00D25378" w:rsidP="00C80F3E">
            <w:pPr>
              <w:jc w:val="center"/>
            </w:pPr>
            <w:r>
              <w:t>92</w:t>
            </w:r>
          </w:p>
        </w:tc>
        <w:tc>
          <w:tcPr>
            <w:tcW w:w="1127" w:type="dxa"/>
            <w:shd w:val="clear" w:color="auto" w:fill="F2F2F2" w:themeFill="background1" w:themeFillShade="F2"/>
          </w:tcPr>
          <w:p w14:paraId="62DA2FCF" w14:textId="77777777" w:rsidR="00D25378" w:rsidRDefault="00D25378" w:rsidP="00C80F3E">
            <w:pPr>
              <w:jc w:val="center"/>
            </w:pPr>
          </w:p>
        </w:tc>
        <w:tc>
          <w:tcPr>
            <w:tcW w:w="1127" w:type="dxa"/>
            <w:shd w:val="clear" w:color="auto" w:fill="F2F2F2" w:themeFill="background1" w:themeFillShade="F2"/>
          </w:tcPr>
          <w:p w14:paraId="676903DE" w14:textId="77777777" w:rsidR="00D25378" w:rsidRDefault="00D25378" w:rsidP="00C80F3E"/>
        </w:tc>
        <w:tc>
          <w:tcPr>
            <w:tcW w:w="1127" w:type="dxa"/>
            <w:shd w:val="clear" w:color="auto" w:fill="F2F2F2" w:themeFill="background1" w:themeFillShade="F2"/>
          </w:tcPr>
          <w:p w14:paraId="42C65C86" w14:textId="77777777" w:rsidR="00D25378" w:rsidRDefault="00D25378" w:rsidP="00C80F3E"/>
        </w:tc>
        <w:tc>
          <w:tcPr>
            <w:tcW w:w="1127" w:type="dxa"/>
            <w:shd w:val="clear" w:color="auto" w:fill="F2F2F2" w:themeFill="background1" w:themeFillShade="F2"/>
          </w:tcPr>
          <w:p w14:paraId="4ED86AB4" w14:textId="77777777" w:rsidR="00D25378" w:rsidRDefault="00D25378" w:rsidP="00C80F3E"/>
        </w:tc>
        <w:tc>
          <w:tcPr>
            <w:tcW w:w="1127" w:type="dxa"/>
            <w:shd w:val="clear" w:color="auto" w:fill="F2F2F2" w:themeFill="background1" w:themeFillShade="F2"/>
          </w:tcPr>
          <w:p w14:paraId="5F82560D" w14:textId="77777777" w:rsidR="00D25378" w:rsidRDefault="00D25378" w:rsidP="00C80F3E"/>
        </w:tc>
      </w:tr>
      <w:tr w:rsidR="00D25378" w14:paraId="25827DFF" w14:textId="77777777" w:rsidTr="00A47BA4">
        <w:trPr>
          <w:jc w:val="center"/>
        </w:trPr>
        <w:tc>
          <w:tcPr>
            <w:tcW w:w="1127" w:type="dxa"/>
          </w:tcPr>
          <w:p w14:paraId="07219400" w14:textId="77777777" w:rsidR="00D25378" w:rsidRDefault="00D25378" w:rsidP="00C80F3E">
            <w:pPr>
              <w:jc w:val="center"/>
            </w:pPr>
            <w:r>
              <w:t>41</w:t>
            </w:r>
          </w:p>
        </w:tc>
        <w:tc>
          <w:tcPr>
            <w:tcW w:w="1127" w:type="dxa"/>
          </w:tcPr>
          <w:p w14:paraId="2E376FFC" w14:textId="77777777" w:rsidR="00D25378" w:rsidRDefault="00D25378" w:rsidP="00C80F3E"/>
        </w:tc>
        <w:tc>
          <w:tcPr>
            <w:tcW w:w="1127" w:type="dxa"/>
          </w:tcPr>
          <w:p w14:paraId="1FCFE1ED" w14:textId="77777777" w:rsidR="00D25378" w:rsidRDefault="00D25378" w:rsidP="00C80F3E"/>
        </w:tc>
        <w:tc>
          <w:tcPr>
            <w:tcW w:w="1127" w:type="dxa"/>
          </w:tcPr>
          <w:p w14:paraId="051B109A" w14:textId="77777777" w:rsidR="00D25378" w:rsidRDefault="00D25378" w:rsidP="00C80F3E">
            <w:pPr>
              <w:jc w:val="center"/>
            </w:pPr>
            <w:r>
              <w:t>83</w:t>
            </w:r>
          </w:p>
        </w:tc>
        <w:tc>
          <w:tcPr>
            <w:tcW w:w="1127" w:type="dxa"/>
          </w:tcPr>
          <w:p w14:paraId="7A588CB4" w14:textId="77777777" w:rsidR="00D25378" w:rsidRDefault="00D25378" w:rsidP="00C80F3E"/>
        </w:tc>
        <w:tc>
          <w:tcPr>
            <w:tcW w:w="1127" w:type="dxa"/>
          </w:tcPr>
          <w:p w14:paraId="321ACE67" w14:textId="77777777" w:rsidR="00D25378" w:rsidRDefault="00D25378" w:rsidP="00C80F3E"/>
        </w:tc>
        <w:tc>
          <w:tcPr>
            <w:tcW w:w="1127" w:type="dxa"/>
          </w:tcPr>
          <w:p w14:paraId="496D0661" w14:textId="77777777" w:rsidR="00D25378" w:rsidRDefault="00D25378" w:rsidP="00C80F3E">
            <w:pPr>
              <w:jc w:val="center"/>
            </w:pPr>
          </w:p>
        </w:tc>
        <w:tc>
          <w:tcPr>
            <w:tcW w:w="1127" w:type="dxa"/>
          </w:tcPr>
          <w:p w14:paraId="769AA395" w14:textId="77777777" w:rsidR="00D25378" w:rsidRDefault="00D25378" w:rsidP="00C80F3E"/>
        </w:tc>
      </w:tr>
      <w:tr w:rsidR="00D25378" w14:paraId="14868E5C" w14:textId="77777777" w:rsidTr="00C80F3E">
        <w:trPr>
          <w:jc w:val="center"/>
        </w:trPr>
        <w:tc>
          <w:tcPr>
            <w:tcW w:w="1127" w:type="dxa"/>
            <w:shd w:val="clear" w:color="auto" w:fill="F2F2F2" w:themeFill="background1" w:themeFillShade="F2"/>
          </w:tcPr>
          <w:p w14:paraId="1A2864A6" w14:textId="77777777" w:rsidR="00D25378" w:rsidRDefault="00D25378" w:rsidP="00C80F3E">
            <w:pPr>
              <w:jc w:val="center"/>
            </w:pPr>
            <w:r>
              <w:t>42</w:t>
            </w:r>
          </w:p>
        </w:tc>
        <w:tc>
          <w:tcPr>
            <w:tcW w:w="1127" w:type="dxa"/>
            <w:shd w:val="clear" w:color="auto" w:fill="F2F2F2" w:themeFill="background1" w:themeFillShade="F2"/>
          </w:tcPr>
          <w:p w14:paraId="1AA9F2F3" w14:textId="77777777" w:rsidR="00D25378" w:rsidRDefault="00D25378" w:rsidP="00C80F3E"/>
        </w:tc>
        <w:tc>
          <w:tcPr>
            <w:tcW w:w="1127" w:type="dxa"/>
            <w:shd w:val="clear" w:color="auto" w:fill="F2F2F2" w:themeFill="background1" w:themeFillShade="F2"/>
          </w:tcPr>
          <w:p w14:paraId="04DA0210" w14:textId="77777777" w:rsidR="00D25378" w:rsidRDefault="00D25378" w:rsidP="00C80F3E"/>
        </w:tc>
        <w:tc>
          <w:tcPr>
            <w:tcW w:w="1127" w:type="dxa"/>
            <w:shd w:val="clear" w:color="auto" w:fill="F2F2F2" w:themeFill="background1" w:themeFillShade="F2"/>
          </w:tcPr>
          <w:p w14:paraId="3A8DD29D" w14:textId="77777777" w:rsidR="00D25378" w:rsidRDefault="00D25378" w:rsidP="00C80F3E"/>
        </w:tc>
        <w:tc>
          <w:tcPr>
            <w:tcW w:w="1127" w:type="dxa"/>
            <w:shd w:val="clear" w:color="auto" w:fill="F2F2F2" w:themeFill="background1" w:themeFillShade="F2"/>
          </w:tcPr>
          <w:p w14:paraId="6DD5B0B7" w14:textId="77777777" w:rsidR="00D25378" w:rsidRDefault="00D25378" w:rsidP="00C80F3E"/>
        </w:tc>
        <w:tc>
          <w:tcPr>
            <w:tcW w:w="1127" w:type="dxa"/>
            <w:shd w:val="clear" w:color="auto" w:fill="F2F2F2" w:themeFill="background1" w:themeFillShade="F2"/>
          </w:tcPr>
          <w:p w14:paraId="39E95AF6" w14:textId="77777777" w:rsidR="00D25378" w:rsidRDefault="00D25378" w:rsidP="00C80F3E"/>
        </w:tc>
        <w:tc>
          <w:tcPr>
            <w:tcW w:w="1127" w:type="dxa"/>
            <w:shd w:val="clear" w:color="auto" w:fill="F2F2F2" w:themeFill="background1" w:themeFillShade="F2"/>
          </w:tcPr>
          <w:p w14:paraId="48535A38" w14:textId="77777777" w:rsidR="00D25378" w:rsidRDefault="00D25378" w:rsidP="00C80F3E">
            <w:pPr>
              <w:jc w:val="center"/>
            </w:pPr>
            <w:r>
              <w:t>313</w:t>
            </w:r>
          </w:p>
        </w:tc>
        <w:tc>
          <w:tcPr>
            <w:tcW w:w="1127" w:type="dxa"/>
            <w:shd w:val="clear" w:color="auto" w:fill="F2F2F2" w:themeFill="background1" w:themeFillShade="F2"/>
          </w:tcPr>
          <w:p w14:paraId="40B901CB" w14:textId="77777777" w:rsidR="00D25378" w:rsidRDefault="00D25378" w:rsidP="00C80F3E">
            <w:pPr>
              <w:jc w:val="center"/>
            </w:pPr>
          </w:p>
        </w:tc>
      </w:tr>
      <w:tr w:rsidR="00D25378" w14:paraId="2C25F6ED" w14:textId="77777777" w:rsidTr="00A47BA4">
        <w:trPr>
          <w:jc w:val="center"/>
        </w:trPr>
        <w:tc>
          <w:tcPr>
            <w:tcW w:w="1127" w:type="dxa"/>
          </w:tcPr>
          <w:p w14:paraId="09100916" w14:textId="77777777" w:rsidR="00D25378" w:rsidRDefault="00D25378" w:rsidP="00C80F3E">
            <w:pPr>
              <w:jc w:val="center"/>
            </w:pPr>
            <w:r>
              <w:t>43</w:t>
            </w:r>
          </w:p>
        </w:tc>
        <w:tc>
          <w:tcPr>
            <w:tcW w:w="1127" w:type="dxa"/>
          </w:tcPr>
          <w:p w14:paraId="4739442B" w14:textId="77777777" w:rsidR="00D25378" w:rsidRDefault="00D25378" w:rsidP="00C80F3E"/>
        </w:tc>
        <w:tc>
          <w:tcPr>
            <w:tcW w:w="1127" w:type="dxa"/>
          </w:tcPr>
          <w:p w14:paraId="7AF901C8" w14:textId="77777777" w:rsidR="00D25378" w:rsidRDefault="00D25378" w:rsidP="00C80F3E"/>
        </w:tc>
        <w:tc>
          <w:tcPr>
            <w:tcW w:w="1127" w:type="dxa"/>
          </w:tcPr>
          <w:p w14:paraId="3DC63F88" w14:textId="77777777" w:rsidR="00D25378" w:rsidRDefault="00D25378" w:rsidP="00C80F3E"/>
        </w:tc>
        <w:tc>
          <w:tcPr>
            <w:tcW w:w="1127" w:type="dxa"/>
          </w:tcPr>
          <w:p w14:paraId="79801134" w14:textId="77777777" w:rsidR="00D25378" w:rsidRDefault="00D25378" w:rsidP="00C80F3E"/>
        </w:tc>
        <w:tc>
          <w:tcPr>
            <w:tcW w:w="1127" w:type="dxa"/>
          </w:tcPr>
          <w:p w14:paraId="4120FF10" w14:textId="77777777" w:rsidR="00D25378" w:rsidRDefault="00D25378" w:rsidP="00C80F3E"/>
        </w:tc>
        <w:tc>
          <w:tcPr>
            <w:tcW w:w="1127" w:type="dxa"/>
          </w:tcPr>
          <w:p w14:paraId="29E5D65D" w14:textId="77777777" w:rsidR="00D25378" w:rsidRDefault="00D25378" w:rsidP="00C80F3E"/>
        </w:tc>
        <w:tc>
          <w:tcPr>
            <w:tcW w:w="1127" w:type="dxa"/>
          </w:tcPr>
          <w:p w14:paraId="715D878C" w14:textId="77777777" w:rsidR="00D25378" w:rsidRDefault="00D25378" w:rsidP="00C80F3E">
            <w:pPr>
              <w:jc w:val="center"/>
            </w:pPr>
            <w:r>
              <w:t>273</w:t>
            </w:r>
          </w:p>
        </w:tc>
      </w:tr>
    </w:tbl>
    <w:p w14:paraId="477EBFAF" w14:textId="77777777" w:rsidR="00D25378" w:rsidRDefault="00D25378">
      <w:pPr>
        <w:rPr>
          <w:rFonts w:asciiTheme="majorHAnsi" w:eastAsiaTheme="majorEastAsia" w:hAnsiTheme="majorHAnsi" w:cstheme="majorBidi"/>
          <w:color w:val="2F5496" w:themeColor="accent1" w:themeShade="BF"/>
          <w:sz w:val="26"/>
          <w:szCs w:val="26"/>
        </w:rPr>
      </w:pPr>
      <w:r>
        <w:br w:type="page"/>
      </w:r>
    </w:p>
    <w:p w14:paraId="648C7164" w14:textId="77777777" w:rsidR="00D25378" w:rsidRDefault="00D25378" w:rsidP="005E61BE">
      <w:pPr>
        <w:pStyle w:val="Heading2"/>
      </w:pPr>
      <w:r>
        <w:lastRenderedPageBreak/>
        <w:t>References:</w:t>
      </w:r>
    </w:p>
    <w:p w14:paraId="7AE6FAD7" w14:textId="77777777" w:rsidR="00D25378" w:rsidRPr="001F639F" w:rsidRDefault="00D25378" w:rsidP="00301834">
      <w:pPr>
        <w:pStyle w:val="EndNoteBibliography"/>
        <w:spacing w:after="0" w:line="360" w:lineRule="auto"/>
        <w:ind w:left="720" w:hanging="720"/>
        <w:rPr>
          <w:rFonts w:asciiTheme="majorHAnsi" w:hAnsiTheme="majorHAnsi"/>
          <w:sz w:val="22"/>
        </w:rPr>
      </w:pPr>
      <w:r w:rsidRPr="001F639F">
        <w:rPr>
          <w:rFonts w:asciiTheme="majorHAnsi" w:hAnsiTheme="majorHAnsi"/>
          <w:sz w:val="22"/>
        </w:rPr>
        <w:t>1.</w:t>
      </w:r>
      <w:r w:rsidRPr="001F639F">
        <w:rPr>
          <w:rFonts w:asciiTheme="majorHAnsi" w:hAnsiTheme="majorHAnsi"/>
          <w:sz w:val="22"/>
        </w:rPr>
        <w:tab/>
        <w:t xml:space="preserve">Braithwaite J, Hibbert PD, Jaffe A, et al. Quality of health care for children in Australia, 2012-2013. </w:t>
      </w:r>
      <w:r w:rsidRPr="00080F25">
        <w:rPr>
          <w:rFonts w:asciiTheme="majorHAnsi" w:hAnsiTheme="majorHAnsi"/>
          <w:i/>
          <w:sz w:val="22"/>
        </w:rPr>
        <w:t>JAMA</w:t>
      </w:r>
      <w:r w:rsidRPr="001F639F">
        <w:rPr>
          <w:rFonts w:asciiTheme="majorHAnsi" w:hAnsiTheme="majorHAnsi"/>
          <w:sz w:val="22"/>
        </w:rPr>
        <w:t>. 2018;319(11):1113-24.</w:t>
      </w:r>
    </w:p>
    <w:p w14:paraId="0A32116E" w14:textId="77777777" w:rsidR="00D25378" w:rsidRPr="001F639F" w:rsidRDefault="00D25378" w:rsidP="00301834">
      <w:pPr>
        <w:pStyle w:val="EndNoteBibliography"/>
        <w:spacing w:after="0" w:line="360" w:lineRule="auto"/>
        <w:ind w:left="720" w:hanging="720"/>
        <w:rPr>
          <w:rFonts w:asciiTheme="majorHAnsi" w:hAnsiTheme="majorHAnsi"/>
          <w:sz w:val="22"/>
        </w:rPr>
      </w:pPr>
      <w:r w:rsidRPr="001F639F">
        <w:rPr>
          <w:rFonts w:asciiTheme="majorHAnsi" w:hAnsiTheme="majorHAnsi"/>
          <w:sz w:val="22"/>
        </w:rPr>
        <w:t>2.</w:t>
      </w:r>
      <w:r w:rsidRPr="001F639F">
        <w:rPr>
          <w:rFonts w:asciiTheme="majorHAnsi" w:hAnsiTheme="majorHAnsi"/>
          <w:sz w:val="22"/>
        </w:rPr>
        <w:tab/>
        <w:t xml:space="preserve">Hooper TD, Hibbert PD, Mealing N, Wiles LK, Jaffe A, White L, et al. CareTrack Kids-part 2. Assessing the appropriateness of the healthcare delivered to Australian children: study protocol for a retrospective medical record review. </w:t>
      </w:r>
      <w:r w:rsidRPr="00080F25">
        <w:rPr>
          <w:rFonts w:asciiTheme="majorHAnsi" w:hAnsiTheme="majorHAnsi"/>
          <w:i/>
          <w:sz w:val="22"/>
        </w:rPr>
        <w:t>BMJ Open</w:t>
      </w:r>
      <w:r w:rsidRPr="001F639F">
        <w:rPr>
          <w:rFonts w:asciiTheme="majorHAnsi" w:hAnsiTheme="majorHAnsi"/>
          <w:sz w:val="22"/>
        </w:rPr>
        <w:t>. 2015;5(4):e007749.</w:t>
      </w:r>
    </w:p>
    <w:p w14:paraId="3DD35E3C" w14:textId="77777777" w:rsidR="00D25378" w:rsidRPr="001F639F" w:rsidRDefault="00D25378" w:rsidP="00301834">
      <w:pPr>
        <w:pStyle w:val="EndNoteBibliography"/>
        <w:spacing w:after="0" w:line="360" w:lineRule="auto"/>
        <w:ind w:left="720" w:hanging="720"/>
        <w:rPr>
          <w:rFonts w:asciiTheme="majorHAnsi" w:hAnsiTheme="majorHAnsi"/>
          <w:sz w:val="22"/>
        </w:rPr>
      </w:pPr>
      <w:r w:rsidRPr="001F639F">
        <w:rPr>
          <w:rFonts w:asciiTheme="majorHAnsi" w:hAnsiTheme="majorHAnsi"/>
          <w:sz w:val="22"/>
        </w:rPr>
        <w:t>3.</w:t>
      </w:r>
      <w:r w:rsidRPr="001F639F">
        <w:rPr>
          <w:rFonts w:asciiTheme="majorHAnsi" w:hAnsiTheme="majorHAnsi"/>
          <w:sz w:val="22"/>
        </w:rPr>
        <w:tab/>
        <w:t>Britt H. Top 100 problems most frequently managed by General Practitioners, limited to patients 0-17, BEACH 2011-12 weighted data. [Personal communication] 2012.</w:t>
      </w:r>
    </w:p>
    <w:p w14:paraId="70D30341" w14:textId="77777777" w:rsidR="00D25378" w:rsidRPr="001F639F" w:rsidRDefault="00D25378" w:rsidP="00301834">
      <w:pPr>
        <w:pStyle w:val="EndNoteBibliography"/>
        <w:spacing w:after="0" w:line="360" w:lineRule="auto"/>
        <w:ind w:left="720" w:hanging="720"/>
        <w:rPr>
          <w:rFonts w:asciiTheme="majorHAnsi" w:hAnsiTheme="majorHAnsi"/>
          <w:sz w:val="22"/>
        </w:rPr>
      </w:pPr>
      <w:r w:rsidRPr="001F639F">
        <w:rPr>
          <w:rFonts w:asciiTheme="majorHAnsi" w:hAnsiTheme="majorHAnsi"/>
          <w:sz w:val="22"/>
        </w:rPr>
        <w:t>4.</w:t>
      </w:r>
      <w:r w:rsidRPr="001F639F">
        <w:rPr>
          <w:rFonts w:asciiTheme="majorHAnsi" w:hAnsiTheme="majorHAnsi"/>
          <w:sz w:val="22"/>
        </w:rPr>
        <w:tab/>
        <w:t xml:space="preserve">Hiscock H, Roberts G, Efron D, Sewell JR, Bryson HE, Price AM, et al. Children Attending Paediatricians Study: a national prospective audit of outpatient practice from the Australian Paediatric Research Network. </w:t>
      </w:r>
      <w:r w:rsidRPr="00080F25">
        <w:rPr>
          <w:rFonts w:asciiTheme="majorHAnsi" w:hAnsiTheme="majorHAnsi"/>
          <w:i/>
          <w:sz w:val="22"/>
        </w:rPr>
        <w:t>Med</w:t>
      </w:r>
      <w:r w:rsidR="00080F25" w:rsidRPr="00080F25">
        <w:rPr>
          <w:rFonts w:asciiTheme="majorHAnsi" w:hAnsiTheme="majorHAnsi"/>
          <w:i/>
          <w:sz w:val="22"/>
        </w:rPr>
        <w:t xml:space="preserve"> </w:t>
      </w:r>
      <w:r w:rsidRPr="00080F25">
        <w:rPr>
          <w:rFonts w:asciiTheme="majorHAnsi" w:hAnsiTheme="majorHAnsi"/>
          <w:i/>
          <w:sz w:val="22"/>
        </w:rPr>
        <w:t>J</w:t>
      </w:r>
      <w:r w:rsidR="00080F25" w:rsidRPr="00080F25">
        <w:rPr>
          <w:rFonts w:asciiTheme="majorHAnsi" w:hAnsiTheme="majorHAnsi"/>
          <w:i/>
          <w:sz w:val="22"/>
        </w:rPr>
        <w:t xml:space="preserve"> </w:t>
      </w:r>
      <w:r w:rsidRPr="00080F25">
        <w:rPr>
          <w:rFonts w:asciiTheme="majorHAnsi" w:hAnsiTheme="majorHAnsi"/>
          <w:i/>
          <w:sz w:val="22"/>
        </w:rPr>
        <w:t>Aust</w:t>
      </w:r>
      <w:r w:rsidRPr="001F639F">
        <w:rPr>
          <w:rFonts w:asciiTheme="majorHAnsi" w:hAnsiTheme="majorHAnsi"/>
          <w:sz w:val="22"/>
        </w:rPr>
        <w:t>. 2011;194(8):392-7.</w:t>
      </w:r>
    </w:p>
    <w:p w14:paraId="6A30BE2F" w14:textId="77777777" w:rsidR="00D25378" w:rsidRPr="001F639F" w:rsidRDefault="00D25378" w:rsidP="00301834">
      <w:pPr>
        <w:pStyle w:val="EndNoteBibliography"/>
        <w:spacing w:after="0" w:line="360" w:lineRule="auto"/>
        <w:ind w:left="720" w:hanging="720"/>
        <w:rPr>
          <w:rFonts w:asciiTheme="majorHAnsi" w:hAnsiTheme="majorHAnsi"/>
          <w:sz w:val="22"/>
        </w:rPr>
      </w:pPr>
      <w:r w:rsidRPr="001F639F">
        <w:rPr>
          <w:rFonts w:asciiTheme="majorHAnsi" w:hAnsiTheme="majorHAnsi"/>
          <w:sz w:val="22"/>
        </w:rPr>
        <w:t>5.</w:t>
      </w:r>
      <w:r w:rsidRPr="001F639F">
        <w:rPr>
          <w:rFonts w:asciiTheme="majorHAnsi" w:hAnsiTheme="majorHAnsi"/>
          <w:sz w:val="22"/>
        </w:rPr>
        <w:tab/>
        <w:t>NSW Health. New South Wales Children’s and General Hospitals 2011–12. Inpatient admission data. [Personal communication]. Sydney: NSW Health; 2013.</w:t>
      </w:r>
    </w:p>
    <w:p w14:paraId="6AFD0EBA" w14:textId="77777777" w:rsidR="00D25378" w:rsidRPr="001F639F" w:rsidRDefault="00D25378" w:rsidP="00301834">
      <w:pPr>
        <w:pStyle w:val="EndNoteBibliography"/>
        <w:spacing w:after="0" w:line="360" w:lineRule="auto"/>
        <w:ind w:left="720" w:hanging="720"/>
        <w:rPr>
          <w:rFonts w:asciiTheme="majorHAnsi" w:hAnsiTheme="majorHAnsi"/>
          <w:sz w:val="22"/>
        </w:rPr>
      </w:pPr>
      <w:r w:rsidRPr="001F639F">
        <w:rPr>
          <w:rFonts w:asciiTheme="majorHAnsi" w:hAnsiTheme="majorHAnsi"/>
          <w:sz w:val="22"/>
        </w:rPr>
        <w:t>6.</w:t>
      </w:r>
      <w:r w:rsidRPr="001F639F">
        <w:rPr>
          <w:rFonts w:asciiTheme="majorHAnsi" w:hAnsiTheme="majorHAnsi"/>
          <w:sz w:val="22"/>
        </w:rPr>
        <w:tab/>
        <w:t>NSW Health. New South Wales Children’s and General Hospitals 2011–12. SNOMED-CT Emergency department data. [Personal communication]. Sydney: NSW Health; 2013.</w:t>
      </w:r>
    </w:p>
    <w:p w14:paraId="092AE6DE" w14:textId="77777777" w:rsidR="00D25378" w:rsidRPr="001F639F" w:rsidRDefault="00D25378" w:rsidP="00301834">
      <w:pPr>
        <w:pStyle w:val="EndNoteBibliography"/>
        <w:spacing w:after="0" w:line="360" w:lineRule="auto"/>
        <w:ind w:left="720" w:hanging="720"/>
        <w:rPr>
          <w:rFonts w:asciiTheme="majorHAnsi" w:hAnsiTheme="majorHAnsi"/>
          <w:sz w:val="22"/>
        </w:rPr>
      </w:pPr>
      <w:r w:rsidRPr="001F639F">
        <w:rPr>
          <w:rFonts w:asciiTheme="majorHAnsi" w:hAnsiTheme="majorHAnsi"/>
          <w:sz w:val="22"/>
        </w:rPr>
        <w:t>7.</w:t>
      </w:r>
      <w:r w:rsidRPr="001F639F">
        <w:rPr>
          <w:rFonts w:asciiTheme="majorHAnsi" w:hAnsiTheme="majorHAnsi"/>
          <w:sz w:val="22"/>
        </w:rPr>
        <w:tab/>
        <w:t>Queensland Health, New South Wales Health, South Australian Department of Health. Population estimates for children aged 0-15, by AU. [Personal communication] 2017.</w:t>
      </w:r>
    </w:p>
    <w:p w14:paraId="4DE77856" w14:textId="132F50D6" w:rsidR="00D25378" w:rsidRDefault="00D25378" w:rsidP="00301834">
      <w:pPr>
        <w:pStyle w:val="EndNoteBibliography"/>
        <w:spacing w:after="0" w:line="360" w:lineRule="auto"/>
        <w:ind w:left="720" w:hanging="720"/>
        <w:rPr>
          <w:rFonts w:asciiTheme="majorHAnsi" w:hAnsiTheme="majorHAnsi"/>
          <w:sz w:val="22"/>
        </w:rPr>
      </w:pPr>
      <w:r w:rsidRPr="001F639F">
        <w:rPr>
          <w:rFonts w:asciiTheme="majorHAnsi" w:hAnsiTheme="majorHAnsi"/>
          <w:sz w:val="22"/>
        </w:rPr>
        <w:t>8.</w:t>
      </w:r>
      <w:r w:rsidRPr="001F639F">
        <w:rPr>
          <w:rFonts w:asciiTheme="majorHAnsi" w:hAnsiTheme="majorHAnsi"/>
          <w:sz w:val="22"/>
        </w:rPr>
        <w:tab/>
        <w:t>Koyama L, Clifford S, Hiscock H, Carr S, Gold L, Wake M. The ecology of medical care for children in Australia. In: University of Melbourne, editor. University of Melbourne Scholarly Selective Student Monograph,. Melbourne, Australia</w:t>
      </w:r>
      <w:r w:rsidR="00080F25">
        <w:rPr>
          <w:rFonts w:asciiTheme="majorHAnsi" w:hAnsiTheme="majorHAnsi"/>
          <w:sz w:val="22"/>
        </w:rPr>
        <w:t xml:space="preserve">; </w:t>
      </w:r>
      <w:r w:rsidRPr="001F639F">
        <w:rPr>
          <w:rFonts w:asciiTheme="majorHAnsi" w:hAnsiTheme="majorHAnsi"/>
          <w:sz w:val="22"/>
        </w:rPr>
        <w:t>2014.</w:t>
      </w:r>
    </w:p>
    <w:p w14:paraId="193CD093" w14:textId="270424AD" w:rsidR="00301834" w:rsidRDefault="00301834" w:rsidP="00301834">
      <w:pPr>
        <w:pStyle w:val="EndNoteBibliography"/>
        <w:spacing w:after="0" w:line="360" w:lineRule="auto"/>
        <w:ind w:left="720" w:hanging="720"/>
        <w:rPr>
          <w:rFonts w:asciiTheme="majorHAnsi" w:hAnsiTheme="majorHAnsi"/>
          <w:sz w:val="22"/>
        </w:rPr>
      </w:pPr>
      <w:r>
        <w:rPr>
          <w:rFonts w:asciiTheme="majorHAnsi" w:hAnsiTheme="majorHAnsi"/>
          <w:sz w:val="22"/>
        </w:rPr>
        <w:t>9.</w:t>
      </w:r>
      <w:r>
        <w:rPr>
          <w:rFonts w:asciiTheme="majorHAnsi" w:hAnsiTheme="majorHAnsi"/>
          <w:sz w:val="22"/>
        </w:rPr>
        <w:tab/>
      </w:r>
      <w:r w:rsidRPr="00301834">
        <w:rPr>
          <w:rFonts w:asciiTheme="majorHAnsi" w:hAnsiTheme="majorHAnsi"/>
          <w:sz w:val="22"/>
        </w:rPr>
        <w:t>Lewis TH. Complex Survey Data Analysis with SAS</w:t>
      </w:r>
      <w:r>
        <w:rPr>
          <w:rFonts w:asciiTheme="majorHAnsi" w:hAnsiTheme="majorHAnsi"/>
          <w:sz w:val="22"/>
        </w:rPr>
        <w:t>.</w:t>
      </w:r>
      <w:r w:rsidRPr="00301834">
        <w:rPr>
          <w:rFonts w:asciiTheme="majorHAnsi" w:hAnsiTheme="majorHAnsi"/>
          <w:sz w:val="22"/>
        </w:rPr>
        <w:t xml:space="preserve"> </w:t>
      </w:r>
      <w:r>
        <w:rPr>
          <w:rFonts w:asciiTheme="majorHAnsi" w:hAnsiTheme="majorHAnsi"/>
          <w:sz w:val="22"/>
        </w:rPr>
        <w:t xml:space="preserve">Boca Raton, FL: </w:t>
      </w:r>
      <w:r w:rsidRPr="00301834">
        <w:rPr>
          <w:rFonts w:asciiTheme="majorHAnsi" w:hAnsiTheme="majorHAnsi"/>
          <w:sz w:val="22"/>
        </w:rPr>
        <w:t>CRC Press; 2016.</w:t>
      </w:r>
    </w:p>
    <w:p w14:paraId="4886A2DE" w14:textId="31DCD348" w:rsidR="00301834" w:rsidRPr="001F639F" w:rsidRDefault="00301834" w:rsidP="00301834">
      <w:pPr>
        <w:pStyle w:val="EndNoteBibliography"/>
        <w:spacing w:after="0" w:line="360" w:lineRule="auto"/>
        <w:ind w:left="720" w:hanging="720"/>
        <w:rPr>
          <w:rFonts w:asciiTheme="majorHAnsi" w:hAnsiTheme="majorHAnsi"/>
          <w:sz w:val="22"/>
        </w:rPr>
      </w:pPr>
      <w:r>
        <w:rPr>
          <w:rFonts w:asciiTheme="majorHAnsi" w:hAnsiTheme="majorHAnsi"/>
          <w:sz w:val="22"/>
        </w:rPr>
        <w:t>10.</w:t>
      </w:r>
      <w:r w:rsidRPr="00301834">
        <w:t xml:space="preserve"> </w:t>
      </w:r>
      <w:r>
        <w:tab/>
      </w:r>
      <w:r w:rsidRPr="00301834">
        <w:rPr>
          <w:rFonts w:asciiTheme="majorHAnsi" w:hAnsiTheme="majorHAnsi"/>
          <w:sz w:val="22"/>
        </w:rPr>
        <w:t>Heeringa SG, West BT, Berglund PA. Applied survey data analysis. Boca Raton: CRC Press; 2010.</w:t>
      </w:r>
    </w:p>
    <w:p w14:paraId="44006318" w14:textId="50CF1F52" w:rsidR="00D25378" w:rsidRPr="001F639F" w:rsidRDefault="00301834" w:rsidP="00301834">
      <w:pPr>
        <w:pStyle w:val="EndNoteBibliography"/>
        <w:spacing w:after="0" w:line="360" w:lineRule="auto"/>
        <w:rPr>
          <w:rFonts w:asciiTheme="majorHAnsi" w:hAnsiTheme="majorHAnsi"/>
          <w:sz w:val="22"/>
        </w:rPr>
      </w:pPr>
      <w:r>
        <w:rPr>
          <w:rFonts w:asciiTheme="majorHAnsi" w:hAnsiTheme="majorHAnsi"/>
          <w:sz w:val="22"/>
        </w:rPr>
        <w:t>11</w:t>
      </w:r>
      <w:r w:rsidR="00D25378" w:rsidRPr="001F639F">
        <w:rPr>
          <w:rFonts w:asciiTheme="majorHAnsi" w:hAnsiTheme="majorHAnsi"/>
          <w:sz w:val="22"/>
        </w:rPr>
        <w:t>.</w:t>
      </w:r>
      <w:r w:rsidR="00D25378" w:rsidRPr="001F639F">
        <w:rPr>
          <w:rFonts w:asciiTheme="majorHAnsi" w:hAnsiTheme="majorHAnsi"/>
          <w:sz w:val="22"/>
        </w:rPr>
        <w:tab/>
        <w:t xml:space="preserve">Lohr S. Sampling: design and analysis. </w:t>
      </w:r>
      <w:r w:rsidR="00080F25">
        <w:rPr>
          <w:rFonts w:asciiTheme="majorHAnsi" w:hAnsiTheme="majorHAnsi"/>
          <w:sz w:val="22"/>
        </w:rPr>
        <w:t>2nd</w:t>
      </w:r>
      <w:r w:rsidR="00D25378" w:rsidRPr="001F639F">
        <w:rPr>
          <w:rFonts w:asciiTheme="majorHAnsi" w:hAnsiTheme="majorHAnsi"/>
          <w:sz w:val="22"/>
        </w:rPr>
        <w:t xml:space="preserve"> ed. Boston: Brooks/Cole; 2009.</w:t>
      </w:r>
    </w:p>
    <w:p w14:paraId="5DE6601E" w14:textId="65C3F824" w:rsidR="00D25378" w:rsidRPr="001F639F" w:rsidRDefault="00D25378" w:rsidP="00301834">
      <w:pPr>
        <w:pStyle w:val="EndNoteBibliography"/>
        <w:spacing w:line="360" w:lineRule="auto"/>
        <w:rPr>
          <w:rFonts w:asciiTheme="majorHAnsi" w:hAnsiTheme="majorHAnsi"/>
          <w:sz w:val="22"/>
        </w:rPr>
      </w:pPr>
    </w:p>
    <w:p w14:paraId="6A0234EA" w14:textId="77777777" w:rsidR="00D25378" w:rsidRDefault="00D25378" w:rsidP="00A47BA4">
      <w:pPr>
        <w:pStyle w:val="Heading2"/>
        <w:spacing w:before="120" w:after="120"/>
        <w:ind w:left="425" w:hanging="425"/>
      </w:pPr>
    </w:p>
    <w:p w14:paraId="71B4E2ED" w14:textId="77777777" w:rsidR="0032207F" w:rsidRDefault="0032207F"/>
    <w:sectPr w:rsidR="0032207F" w:rsidSect="0099587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FABC52" w14:textId="77777777" w:rsidR="00A83829" w:rsidRDefault="00A83829" w:rsidP="00D25378">
      <w:pPr>
        <w:spacing w:after="0" w:line="240" w:lineRule="auto"/>
      </w:pPr>
      <w:r>
        <w:separator/>
      </w:r>
    </w:p>
  </w:endnote>
  <w:endnote w:type="continuationSeparator" w:id="0">
    <w:p w14:paraId="15542806" w14:textId="77777777" w:rsidR="00A83829" w:rsidRDefault="00A83829" w:rsidP="00D25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0516694"/>
      <w:docPartObj>
        <w:docPartGallery w:val="Page Numbers (Bottom of Page)"/>
        <w:docPartUnique/>
      </w:docPartObj>
    </w:sdtPr>
    <w:sdtEndPr>
      <w:rPr>
        <w:noProof/>
      </w:rPr>
    </w:sdtEndPr>
    <w:sdtContent>
      <w:p w14:paraId="475427D4" w14:textId="538C958D" w:rsidR="00B97767" w:rsidRDefault="00B97767">
        <w:pPr>
          <w:pStyle w:val="Footer"/>
          <w:jc w:val="right"/>
        </w:pPr>
        <w:r>
          <w:fldChar w:fldCharType="begin"/>
        </w:r>
        <w:r>
          <w:instrText xml:space="preserve"> PAGE   \* MERGEFORMAT </w:instrText>
        </w:r>
        <w:r>
          <w:fldChar w:fldCharType="separate"/>
        </w:r>
        <w:r w:rsidR="00995870">
          <w:rPr>
            <w:noProof/>
          </w:rPr>
          <w:t>1</w:t>
        </w:r>
        <w:r>
          <w:rPr>
            <w:noProof/>
          </w:rPr>
          <w:fldChar w:fldCharType="end"/>
        </w:r>
      </w:p>
    </w:sdtContent>
  </w:sdt>
  <w:p w14:paraId="44C1C1E7" w14:textId="77777777" w:rsidR="00B97767" w:rsidRDefault="00B977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F23C9" w14:textId="77777777" w:rsidR="00A83829" w:rsidRDefault="00A83829" w:rsidP="00D25378">
      <w:pPr>
        <w:spacing w:after="0" w:line="240" w:lineRule="auto"/>
      </w:pPr>
      <w:r>
        <w:separator/>
      </w:r>
    </w:p>
  </w:footnote>
  <w:footnote w:type="continuationSeparator" w:id="0">
    <w:p w14:paraId="22977BB1" w14:textId="77777777" w:rsidR="00A83829" w:rsidRDefault="00A83829" w:rsidP="00D25378">
      <w:pPr>
        <w:spacing w:after="0" w:line="240" w:lineRule="auto"/>
      </w:pPr>
      <w:r>
        <w:continuationSeparator/>
      </w:r>
    </w:p>
  </w:footnote>
  <w:footnote w:id="1">
    <w:p w14:paraId="3F9FEB10" w14:textId="77777777" w:rsidR="00D25378" w:rsidRDefault="00D25378">
      <w:pPr>
        <w:pStyle w:val="FootnoteText"/>
      </w:pPr>
      <w:r>
        <w:rPr>
          <w:rStyle w:val="FootnoteReference"/>
        </w:rPr>
        <w:footnoteRef/>
      </w:r>
      <w:r>
        <w:t xml:space="preserve"> The published protocol included occasions of care provided</w:t>
      </w:r>
      <w:r w:rsidRPr="00D57DE7">
        <w:t xml:space="preserve"> </w:t>
      </w:r>
      <w:r>
        <w:t>by clinical psychologists, for selected conditions; this aspect was deemed infeasible during implementation and removed. The nominal percentage of occasions of care allocated to psychologist was re-distributed, pro rata, to the other HCPs retained in the study.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A5490"/>
    <w:multiLevelType w:val="hybridMultilevel"/>
    <w:tmpl w:val="52CCEC2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uise Wiles [2]">
    <w15:presenceInfo w15:providerId="None" w15:userId="Louise Wi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0&lt;/ScanUnformatted&gt;&lt;ScanChanges&gt;0&lt;/ScanChanges&gt;&lt;Suspended&gt;1&lt;/Suspended&gt;&lt;/ENInstantFormat&gt;"/>
  </w:docVars>
  <w:rsids>
    <w:rsidRoot w:val="00D25378"/>
    <w:rsid w:val="00080F25"/>
    <w:rsid w:val="000B0F7D"/>
    <w:rsid w:val="00301834"/>
    <w:rsid w:val="0032207F"/>
    <w:rsid w:val="00370B41"/>
    <w:rsid w:val="00425996"/>
    <w:rsid w:val="00541BD6"/>
    <w:rsid w:val="0065768D"/>
    <w:rsid w:val="006B3461"/>
    <w:rsid w:val="006C0F28"/>
    <w:rsid w:val="00730F27"/>
    <w:rsid w:val="007902A7"/>
    <w:rsid w:val="008D078F"/>
    <w:rsid w:val="00995870"/>
    <w:rsid w:val="00A83829"/>
    <w:rsid w:val="00B97767"/>
    <w:rsid w:val="00D25378"/>
    <w:rsid w:val="00D952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1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378"/>
  </w:style>
  <w:style w:type="paragraph" w:styleId="Heading1">
    <w:name w:val="heading 1"/>
    <w:basedOn w:val="Normal"/>
    <w:next w:val="Normal"/>
    <w:link w:val="Heading1Char"/>
    <w:uiPriority w:val="9"/>
    <w:qFormat/>
    <w:rsid w:val="00D253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253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2537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537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2537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25378"/>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D2537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D253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378"/>
    <w:rPr>
      <w:rFonts w:ascii="Segoe UI" w:hAnsi="Segoe UI" w:cs="Segoe UI"/>
      <w:sz w:val="18"/>
      <w:szCs w:val="18"/>
    </w:rPr>
  </w:style>
  <w:style w:type="paragraph" w:customStyle="1" w:styleId="EndNoteBibliographyTitle">
    <w:name w:val="EndNote Bibliography Title"/>
    <w:basedOn w:val="Normal"/>
    <w:link w:val="EndNoteBibliographyTitleChar"/>
    <w:rsid w:val="00D25378"/>
    <w:pPr>
      <w:spacing w:after="0"/>
      <w:jc w:val="center"/>
    </w:pPr>
    <w:rPr>
      <w:rFonts w:ascii="Calibri Light" w:hAnsi="Calibri Light" w:cs="Calibri Light"/>
      <w:noProof/>
      <w:sz w:val="26"/>
      <w:lang w:val="en-US"/>
    </w:rPr>
  </w:style>
  <w:style w:type="character" w:customStyle="1" w:styleId="EndNoteBibliographyTitleChar">
    <w:name w:val="EndNote Bibliography Title Char"/>
    <w:basedOn w:val="DefaultParagraphFont"/>
    <w:link w:val="EndNoteBibliographyTitle"/>
    <w:rsid w:val="00D25378"/>
    <w:rPr>
      <w:rFonts w:ascii="Calibri Light" w:hAnsi="Calibri Light" w:cs="Calibri Light"/>
      <w:noProof/>
      <w:sz w:val="26"/>
      <w:lang w:val="en-US"/>
    </w:rPr>
  </w:style>
  <w:style w:type="paragraph" w:customStyle="1" w:styleId="EndNoteBibliography">
    <w:name w:val="EndNote Bibliography"/>
    <w:basedOn w:val="Normal"/>
    <w:link w:val="EndNoteBibliographyChar"/>
    <w:rsid w:val="00D25378"/>
    <w:pPr>
      <w:spacing w:line="240" w:lineRule="auto"/>
    </w:pPr>
    <w:rPr>
      <w:rFonts w:ascii="Calibri Light" w:hAnsi="Calibri Light" w:cs="Calibri Light"/>
      <w:noProof/>
      <w:sz w:val="26"/>
      <w:lang w:val="en-US"/>
    </w:rPr>
  </w:style>
  <w:style w:type="character" w:customStyle="1" w:styleId="EndNoteBibliographyChar">
    <w:name w:val="EndNote Bibliography Char"/>
    <w:basedOn w:val="DefaultParagraphFont"/>
    <w:link w:val="EndNoteBibliography"/>
    <w:rsid w:val="00D25378"/>
    <w:rPr>
      <w:rFonts w:ascii="Calibri Light" w:hAnsi="Calibri Light" w:cs="Calibri Light"/>
      <w:noProof/>
      <w:sz w:val="26"/>
      <w:lang w:val="en-US"/>
    </w:rPr>
  </w:style>
  <w:style w:type="character" w:styleId="Hyperlink">
    <w:name w:val="Hyperlink"/>
    <w:basedOn w:val="DefaultParagraphFont"/>
    <w:uiPriority w:val="99"/>
    <w:unhideWhenUsed/>
    <w:rsid w:val="00D25378"/>
    <w:rPr>
      <w:color w:val="0563C1" w:themeColor="hyperlink"/>
      <w:u w:val="single"/>
    </w:rPr>
  </w:style>
  <w:style w:type="character" w:customStyle="1" w:styleId="UnresolvedMention1">
    <w:name w:val="Unresolved Mention1"/>
    <w:basedOn w:val="DefaultParagraphFont"/>
    <w:uiPriority w:val="99"/>
    <w:semiHidden/>
    <w:unhideWhenUsed/>
    <w:rsid w:val="00D25378"/>
    <w:rPr>
      <w:color w:val="808080"/>
      <w:shd w:val="clear" w:color="auto" w:fill="E6E6E6"/>
    </w:rPr>
  </w:style>
  <w:style w:type="character" w:styleId="CommentReference">
    <w:name w:val="annotation reference"/>
    <w:basedOn w:val="DefaultParagraphFont"/>
    <w:uiPriority w:val="99"/>
    <w:semiHidden/>
    <w:unhideWhenUsed/>
    <w:rsid w:val="00D25378"/>
    <w:rPr>
      <w:sz w:val="16"/>
      <w:szCs w:val="16"/>
    </w:rPr>
  </w:style>
  <w:style w:type="paragraph" w:styleId="CommentText">
    <w:name w:val="annotation text"/>
    <w:basedOn w:val="Normal"/>
    <w:link w:val="CommentTextChar"/>
    <w:uiPriority w:val="99"/>
    <w:unhideWhenUsed/>
    <w:rsid w:val="00D25378"/>
    <w:pPr>
      <w:spacing w:line="240" w:lineRule="auto"/>
    </w:pPr>
    <w:rPr>
      <w:sz w:val="20"/>
      <w:szCs w:val="20"/>
    </w:rPr>
  </w:style>
  <w:style w:type="character" w:customStyle="1" w:styleId="CommentTextChar">
    <w:name w:val="Comment Text Char"/>
    <w:basedOn w:val="DefaultParagraphFont"/>
    <w:link w:val="CommentText"/>
    <w:uiPriority w:val="99"/>
    <w:rsid w:val="00D25378"/>
    <w:rPr>
      <w:sz w:val="20"/>
      <w:szCs w:val="20"/>
    </w:rPr>
  </w:style>
  <w:style w:type="paragraph" w:styleId="CommentSubject">
    <w:name w:val="annotation subject"/>
    <w:basedOn w:val="CommentText"/>
    <w:next w:val="CommentText"/>
    <w:link w:val="CommentSubjectChar"/>
    <w:uiPriority w:val="99"/>
    <w:semiHidden/>
    <w:unhideWhenUsed/>
    <w:rsid w:val="00D25378"/>
    <w:rPr>
      <w:b/>
      <w:bCs/>
    </w:rPr>
  </w:style>
  <w:style w:type="character" w:customStyle="1" w:styleId="CommentSubjectChar">
    <w:name w:val="Comment Subject Char"/>
    <w:basedOn w:val="CommentTextChar"/>
    <w:link w:val="CommentSubject"/>
    <w:uiPriority w:val="99"/>
    <w:semiHidden/>
    <w:rsid w:val="00D25378"/>
    <w:rPr>
      <w:b/>
      <w:bCs/>
      <w:sz w:val="20"/>
      <w:szCs w:val="20"/>
    </w:rPr>
  </w:style>
  <w:style w:type="table" w:styleId="TableGrid">
    <w:name w:val="Table Grid"/>
    <w:basedOn w:val="TableNormal"/>
    <w:uiPriority w:val="39"/>
    <w:rsid w:val="00D253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253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5378"/>
    <w:rPr>
      <w:sz w:val="20"/>
      <w:szCs w:val="20"/>
    </w:rPr>
  </w:style>
  <w:style w:type="character" w:styleId="FootnoteReference">
    <w:name w:val="footnote reference"/>
    <w:basedOn w:val="DefaultParagraphFont"/>
    <w:uiPriority w:val="99"/>
    <w:semiHidden/>
    <w:unhideWhenUsed/>
    <w:rsid w:val="00D25378"/>
    <w:rPr>
      <w:vertAlign w:val="superscript"/>
    </w:rPr>
  </w:style>
  <w:style w:type="paragraph" w:styleId="Header">
    <w:name w:val="header"/>
    <w:basedOn w:val="Normal"/>
    <w:link w:val="HeaderChar"/>
    <w:uiPriority w:val="99"/>
    <w:unhideWhenUsed/>
    <w:rsid w:val="00D25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5378"/>
  </w:style>
  <w:style w:type="paragraph" w:styleId="Footer">
    <w:name w:val="footer"/>
    <w:basedOn w:val="Normal"/>
    <w:link w:val="FooterChar"/>
    <w:uiPriority w:val="99"/>
    <w:unhideWhenUsed/>
    <w:rsid w:val="00D25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5378"/>
  </w:style>
  <w:style w:type="paragraph" w:styleId="Revision">
    <w:name w:val="Revision"/>
    <w:hidden/>
    <w:uiPriority w:val="99"/>
    <w:semiHidden/>
    <w:rsid w:val="00D25378"/>
    <w:pPr>
      <w:spacing w:after="0" w:line="240" w:lineRule="auto"/>
    </w:pPr>
  </w:style>
  <w:style w:type="character" w:styleId="LineNumber">
    <w:name w:val="line number"/>
    <w:basedOn w:val="DefaultParagraphFont"/>
    <w:uiPriority w:val="99"/>
    <w:semiHidden/>
    <w:unhideWhenUsed/>
    <w:rsid w:val="00B977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378"/>
  </w:style>
  <w:style w:type="paragraph" w:styleId="Heading1">
    <w:name w:val="heading 1"/>
    <w:basedOn w:val="Normal"/>
    <w:next w:val="Normal"/>
    <w:link w:val="Heading1Char"/>
    <w:uiPriority w:val="9"/>
    <w:qFormat/>
    <w:rsid w:val="00D253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253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2537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537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2537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25378"/>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D2537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D253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378"/>
    <w:rPr>
      <w:rFonts w:ascii="Segoe UI" w:hAnsi="Segoe UI" w:cs="Segoe UI"/>
      <w:sz w:val="18"/>
      <w:szCs w:val="18"/>
    </w:rPr>
  </w:style>
  <w:style w:type="paragraph" w:customStyle="1" w:styleId="EndNoteBibliographyTitle">
    <w:name w:val="EndNote Bibliography Title"/>
    <w:basedOn w:val="Normal"/>
    <w:link w:val="EndNoteBibliographyTitleChar"/>
    <w:rsid w:val="00D25378"/>
    <w:pPr>
      <w:spacing w:after="0"/>
      <w:jc w:val="center"/>
    </w:pPr>
    <w:rPr>
      <w:rFonts w:ascii="Calibri Light" w:hAnsi="Calibri Light" w:cs="Calibri Light"/>
      <w:noProof/>
      <w:sz w:val="26"/>
      <w:lang w:val="en-US"/>
    </w:rPr>
  </w:style>
  <w:style w:type="character" w:customStyle="1" w:styleId="EndNoteBibliographyTitleChar">
    <w:name w:val="EndNote Bibliography Title Char"/>
    <w:basedOn w:val="DefaultParagraphFont"/>
    <w:link w:val="EndNoteBibliographyTitle"/>
    <w:rsid w:val="00D25378"/>
    <w:rPr>
      <w:rFonts w:ascii="Calibri Light" w:hAnsi="Calibri Light" w:cs="Calibri Light"/>
      <w:noProof/>
      <w:sz w:val="26"/>
      <w:lang w:val="en-US"/>
    </w:rPr>
  </w:style>
  <w:style w:type="paragraph" w:customStyle="1" w:styleId="EndNoteBibliography">
    <w:name w:val="EndNote Bibliography"/>
    <w:basedOn w:val="Normal"/>
    <w:link w:val="EndNoteBibliographyChar"/>
    <w:rsid w:val="00D25378"/>
    <w:pPr>
      <w:spacing w:line="240" w:lineRule="auto"/>
    </w:pPr>
    <w:rPr>
      <w:rFonts w:ascii="Calibri Light" w:hAnsi="Calibri Light" w:cs="Calibri Light"/>
      <w:noProof/>
      <w:sz w:val="26"/>
      <w:lang w:val="en-US"/>
    </w:rPr>
  </w:style>
  <w:style w:type="character" w:customStyle="1" w:styleId="EndNoteBibliographyChar">
    <w:name w:val="EndNote Bibliography Char"/>
    <w:basedOn w:val="DefaultParagraphFont"/>
    <w:link w:val="EndNoteBibliography"/>
    <w:rsid w:val="00D25378"/>
    <w:rPr>
      <w:rFonts w:ascii="Calibri Light" w:hAnsi="Calibri Light" w:cs="Calibri Light"/>
      <w:noProof/>
      <w:sz w:val="26"/>
      <w:lang w:val="en-US"/>
    </w:rPr>
  </w:style>
  <w:style w:type="character" w:styleId="Hyperlink">
    <w:name w:val="Hyperlink"/>
    <w:basedOn w:val="DefaultParagraphFont"/>
    <w:uiPriority w:val="99"/>
    <w:unhideWhenUsed/>
    <w:rsid w:val="00D25378"/>
    <w:rPr>
      <w:color w:val="0563C1" w:themeColor="hyperlink"/>
      <w:u w:val="single"/>
    </w:rPr>
  </w:style>
  <w:style w:type="character" w:customStyle="1" w:styleId="UnresolvedMention1">
    <w:name w:val="Unresolved Mention1"/>
    <w:basedOn w:val="DefaultParagraphFont"/>
    <w:uiPriority w:val="99"/>
    <w:semiHidden/>
    <w:unhideWhenUsed/>
    <w:rsid w:val="00D25378"/>
    <w:rPr>
      <w:color w:val="808080"/>
      <w:shd w:val="clear" w:color="auto" w:fill="E6E6E6"/>
    </w:rPr>
  </w:style>
  <w:style w:type="character" w:styleId="CommentReference">
    <w:name w:val="annotation reference"/>
    <w:basedOn w:val="DefaultParagraphFont"/>
    <w:uiPriority w:val="99"/>
    <w:semiHidden/>
    <w:unhideWhenUsed/>
    <w:rsid w:val="00D25378"/>
    <w:rPr>
      <w:sz w:val="16"/>
      <w:szCs w:val="16"/>
    </w:rPr>
  </w:style>
  <w:style w:type="paragraph" w:styleId="CommentText">
    <w:name w:val="annotation text"/>
    <w:basedOn w:val="Normal"/>
    <w:link w:val="CommentTextChar"/>
    <w:uiPriority w:val="99"/>
    <w:unhideWhenUsed/>
    <w:rsid w:val="00D25378"/>
    <w:pPr>
      <w:spacing w:line="240" w:lineRule="auto"/>
    </w:pPr>
    <w:rPr>
      <w:sz w:val="20"/>
      <w:szCs w:val="20"/>
    </w:rPr>
  </w:style>
  <w:style w:type="character" w:customStyle="1" w:styleId="CommentTextChar">
    <w:name w:val="Comment Text Char"/>
    <w:basedOn w:val="DefaultParagraphFont"/>
    <w:link w:val="CommentText"/>
    <w:uiPriority w:val="99"/>
    <w:rsid w:val="00D25378"/>
    <w:rPr>
      <w:sz w:val="20"/>
      <w:szCs w:val="20"/>
    </w:rPr>
  </w:style>
  <w:style w:type="paragraph" w:styleId="CommentSubject">
    <w:name w:val="annotation subject"/>
    <w:basedOn w:val="CommentText"/>
    <w:next w:val="CommentText"/>
    <w:link w:val="CommentSubjectChar"/>
    <w:uiPriority w:val="99"/>
    <w:semiHidden/>
    <w:unhideWhenUsed/>
    <w:rsid w:val="00D25378"/>
    <w:rPr>
      <w:b/>
      <w:bCs/>
    </w:rPr>
  </w:style>
  <w:style w:type="character" w:customStyle="1" w:styleId="CommentSubjectChar">
    <w:name w:val="Comment Subject Char"/>
    <w:basedOn w:val="CommentTextChar"/>
    <w:link w:val="CommentSubject"/>
    <w:uiPriority w:val="99"/>
    <w:semiHidden/>
    <w:rsid w:val="00D25378"/>
    <w:rPr>
      <w:b/>
      <w:bCs/>
      <w:sz w:val="20"/>
      <w:szCs w:val="20"/>
    </w:rPr>
  </w:style>
  <w:style w:type="table" w:styleId="TableGrid">
    <w:name w:val="Table Grid"/>
    <w:basedOn w:val="TableNormal"/>
    <w:uiPriority w:val="39"/>
    <w:rsid w:val="00D253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253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5378"/>
    <w:rPr>
      <w:sz w:val="20"/>
      <w:szCs w:val="20"/>
    </w:rPr>
  </w:style>
  <w:style w:type="character" w:styleId="FootnoteReference">
    <w:name w:val="footnote reference"/>
    <w:basedOn w:val="DefaultParagraphFont"/>
    <w:uiPriority w:val="99"/>
    <w:semiHidden/>
    <w:unhideWhenUsed/>
    <w:rsid w:val="00D25378"/>
    <w:rPr>
      <w:vertAlign w:val="superscript"/>
    </w:rPr>
  </w:style>
  <w:style w:type="paragraph" w:styleId="Header">
    <w:name w:val="header"/>
    <w:basedOn w:val="Normal"/>
    <w:link w:val="HeaderChar"/>
    <w:uiPriority w:val="99"/>
    <w:unhideWhenUsed/>
    <w:rsid w:val="00D25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5378"/>
  </w:style>
  <w:style w:type="paragraph" w:styleId="Footer">
    <w:name w:val="footer"/>
    <w:basedOn w:val="Normal"/>
    <w:link w:val="FooterChar"/>
    <w:uiPriority w:val="99"/>
    <w:unhideWhenUsed/>
    <w:rsid w:val="00D25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5378"/>
  </w:style>
  <w:style w:type="paragraph" w:styleId="Revision">
    <w:name w:val="Revision"/>
    <w:hidden/>
    <w:uiPriority w:val="99"/>
    <w:semiHidden/>
    <w:rsid w:val="00D25378"/>
    <w:pPr>
      <w:spacing w:after="0" w:line="240" w:lineRule="auto"/>
    </w:pPr>
  </w:style>
  <w:style w:type="character" w:styleId="LineNumber">
    <w:name w:val="line number"/>
    <w:basedOn w:val="DefaultParagraphFont"/>
    <w:uiPriority w:val="99"/>
    <w:semiHidden/>
    <w:unhideWhenUsed/>
    <w:rsid w:val="00B97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2137</Words>
  <Characters>12184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Meagan Warwick</dc:creator>
  <cp:keywords/>
  <dc:description/>
  <cp:lastModifiedBy>LAMIRA</cp:lastModifiedBy>
  <cp:revision>5</cp:revision>
  <dcterms:created xsi:type="dcterms:W3CDTF">2019-10-17T03:29:00Z</dcterms:created>
  <dcterms:modified xsi:type="dcterms:W3CDTF">2019-11-08T06:53:00Z</dcterms:modified>
</cp:coreProperties>
</file>